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001-06351</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ELI LILLY AND COMPANY</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1900" w:type="dxa"/>
        <w:tblCellMar>
          <w:top w:w="0" w:type="dxa"/>
          <w:left w:w="0" w:type="dxa"/>
          <w:bottom w:w="0" w:type="dxa"/>
          <w:right w:w="0" w:type="dxa"/>
        </w:tblCellMar>
      </w:tblPr>
      <w:tr>
        <w:trPr>
          <w:trHeight w:val="172"/>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Indiana</w:t>
            </w:r>
          </w:p>
        </w:tc>
        <w:tc>
          <w:tcPr>
            <w:tcW w:w="3000" w:type="dxa"/>
            <w:vAlign w:val="bottom"/>
          </w:tcPr>
          <w:p>
            <w:pPr>
              <w:ind w:left="1900"/>
              <w:spacing w:after="0"/>
              <w:rPr>
                <w:sz w:val="20"/>
                <w:szCs w:val="20"/>
                <w:color w:val="auto"/>
              </w:rPr>
            </w:pPr>
            <w:r>
              <w:rPr>
                <w:rFonts w:ascii="Arial" w:cs="Arial" w:eastAsia="Arial" w:hAnsi="Arial"/>
                <w:sz w:val="14"/>
                <w:szCs w:val="14"/>
                <w:color w:val="auto"/>
              </w:rPr>
              <w:t>35-0470950</w:t>
            </w:r>
          </w:p>
        </w:tc>
      </w:tr>
      <w:tr>
        <w:trPr>
          <w:trHeight w:val="189"/>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(State or other jurisdiction of</w:t>
            </w:r>
          </w:p>
        </w:tc>
        <w:tc>
          <w:tcPr>
            <w:tcW w:w="3000" w:type="dxa"/>
            <w:vAlign w:val="bottom"/>
          </w:tcPr>
          <w:p>
            <w:pPr>
              <w:ind w:left="1920"/>
              <w:spacing w:after="0"/>
              <w:rPr>
                <w:sz w:val="20"/>
                <w:szCs w:val="20"/>
                <w:color w:val="auto"/>
              </w:rPr>
            </w:pPr>
            <w:r>
              <w:rPr>
                <w:rFonts w:ascii="Arial" w:cs="Arial" w:eastAsia="Arial" w:hAnsi="Arial"/>
                <w:sz w:val="14"/>
                <w:szCs w:val="14"/>
                <w:color w:val="auto"/>
              </w:rPr>
              <w:t>(I.R.S. Employer</w:t>
            </w:r>
          </w:p>
        </w:tc>
      </w:tr>
      <w:tr>
        <w:trPr>
          <w:trHeight w:val="189"/>
        </w:trPr>
        <w:tc>
          <w:tcPr>
            <w:tcW w:w="3780" w:type="dxa"/>
            <w:vAlign w:val="bottom"/>
          </w:tcPr>
          <w:p>
            <w:pPr>
              <w:jc w:val="center"/>
              <w:ind w:right="1828"/>
              <w:spacing w:after="0"/>
              <w:rPr>
                <w:sz w:val="20"/>
                <w:szCs w:val="20"/>
                <w:color w:val="auto"/>
              </w:rPr>
            </w:pPr>
            <w:r>
              <w:rPr>
                <w:rFonts w:ascii="Arial" w:cs="Arial" w:eastAsia="Arial" w:hAnsi="Arial"/>
                <w:sz w:val="14"/>
                <w:szCs w:val="14"/>
                <w:color w:val="auto"/>
              </w:rPr>
              <w:t>incorporation or organization)</w:t>
            </w:r>
          </w:p>
        </w:tc>
        <w:tc>
          <w:tcPr>
            <w:tcW w:w="3000" w:type="dxa"/>
            <w:vAlign w:val="bottom"/>
          </w:tcPr>
          <w:p>
            <w:pPr>
              <w:ind w:left="1880"/>
              <w:spacing w:after="0"/>
              <w:rPr>
                <w:sz w:val="20"/>
                <w:szCs w:val="20"/>
                <w:color w:val="auto"/>
              </w:rPr>
            </w:pPr>
            <w:r>
              <w:rPr>
                <w:rFonts w:ascii="Arial" w:cs="Arial" w:eastAsia="Arial" w:hAnsi="Arial"/>
                <w:sz w:val="14"/>
                <w:szCs w:val="14"/>
                <w:color w:val="auto"/>
              </w:rPr>
              <w:t>Identification No.)</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Lilly Corporate Center, Indianapolis, Indiana 46285</w:t>
      </w:r>
    </w:p>
    <w:p>
      <w:pPr>
        <w:jc w:val="center"/>
        <w:spacing w:after="0"/>
        <w:rPr>
          <w:sz w:val="20"/>
          <w:szCs w:val="20"/>
          <w:color w:val="auto"/>
        </w:rPr>
      </w:pPr>
      <w:r>
        <w:rPr>
          <w:rFonts w:ascii="Arial" w:cs="Arial" w:eastAsia="Arial" w:hAnsi="Arial"/>
          <w:sz w:val="16"/>
          <w:szCs w:val="16"/>
          <w:color w:val="auto"/>
        </w:rPr>
        <w:t>(Address and zip code of principal executive offices)</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120" w:type="dxa"/>
            <w:vAlign w:val="bottom"/>
            <w:gridSpan w:val="3"/>
          </w:tcPr>
          <w:p>
            <w:pPr>
              <w:ind w:left="1060"/>
              <w:spacing w:after="0"/>
              <w:rPr>
                <w:sz w:val="20"/>
                <w:szCs w:val="20"/>
                <w:color w:val="auto"/>
              </w:rPr>
            </w:pPr>
            <w:r>
              <w:rPr>
                <w:rFonts w:ascii="Arial" w:cs="Arial" w:eastAsia="Arial" w:hAnsi="Arial"/>
                <w:sz w:val="14"/>
                <w:szCs w:val="14"/>
                <w:b w:val="1"/>
                <w:bCs w:val="1"/>
                <w:color w:val="auto"/>
              </w:rPr>
              <w:t>Trading Symbol(s)</w:t>
            </w:r>
          </w:p>
        </w:tc>
        <w:tc>
          <w:tcPr>
            <w:tcW w:w="3980" w:type="dxa"/>
            <w:vAlign w:val="bottom"/>
            <w:gridSpan w:val="2"/>
          </w:tcPr>
          <w:p>
            <w:pPr>
              <w:ind w:left="8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198"/>
        </w:trPr>
        <w:tc>
          <w:tcPr>
            <w:tcW w:w="30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1.000% Notes due 2022</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LLY22</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7 1/8% Notes due 2025</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LLY25</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2026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LLY26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2.125% Notes due 2030</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LLY30</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0.625% Notes due 2031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0.500% Notes due 2033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6.77% Notes due 2036</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LLY36</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1.625% Notes due 2043</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LLY43</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1.700% Notes due 2049</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LLY49A</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1.125% Notes due 2051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LLY51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r>
        <w:trPr>
          <w:trHeight w:val="189"/>
        </w:trPr>
        <w:tc>
          <w:tcPr>
            <w:tcW w:w="3000" w:type="dxa"/>
            <w:vAlign w:val="bottom"/>
            <w:gridSpan w:val="2"/>
          </w:tcPr>
          <w:p>
            <w:pPr>
              <w:spacing w:after="0"/>
              <w:rPr>
                <w:sz w:val="20"/>
                <w:szCs w:val="20"/>
                <w:color w:val="auto"/>
              </w:rPr>
            </w:pPr>
            <w:r>
              <w:rPr>
                <w:rFonts w:ascii="Arial" w:cs="Arial" w:eastAsia="Arial" w:hAnsi="Arial"/>
                <w:sz w:val="14"/>
                <w:szCs w:val="14"/>
                <w:color w:val="auto"/>
              </w:rPr>
              <w:t>1.375% Notes due 2061</w:t>
            </w:r>
          </w:p>
        </w:tc>
        <w:tc>
          <w:tcPr>
            <w:tcW w:w="3120" w:type="dxa"/>
            <w:vAlign w:val="bottom"/>
            <w:gridSpan w:val="3"/>
          </w:tcPr>
          <w:p>
            <w:pPr>
              <w:ind w:left="1060"/>
              <w:spacing w:after="0"/>
              <w:rPr>
                <w:sz w:val="20"/>
                <w:szCs w:val="20"/>
                <w:color w:val="auto"/>
              </w:rPr>
            </w:pPr>
            <w:r>
              <w:rPr>
                <w:rFonts w:ascii="Arial" w:cs="Arial" w:eastAsia="Arial" w:hAnsi="Arial"/>
                <w:sz w:val="14"/>
                <w:szCs w:val="14"/>
                <w:color w:val="auto"/>
              </w:rPr>
              <w:t>LLY61</w:t>
            </w:r>
          </w:p>
        </w:tc>
        <w:tc>
          <w:tcPr>
            <w:tcW w:w="3980" w:type="dxa"/>
            <w:vAlign w:val="bottom"/>
            <w:gridSpan w:val="2"/>
          </w:tcPr>
          <w:p>
            <w:pPr>
              <w:ind w:left="820"/>
              <w:spacing w:after="0"/>
              <w:rPr>
                <w:sz w:val="20"/>
                <w:szCs w:val="20"/>
                <w:color w:val="auto"/>
              </w:rPr>
            </w:pPr>
            <w:r>
              <w:rPr>
                <w:rFonts w:ascii="Arial" w:cs="Arial" w:eastAsia="Arial" w:hAnsi="Arial"/>
                <w:sz w:val="14"/>
                <w:szCs w:val="14"/>
                <w:color w:val="auto"/>
              </w:rPr>
              <w:t>New York Stock Exchange</w:t>
            </w:r>
          </w:p>
        </w:tc>
      </w:tr>
    </w:tbl>
    <w:p>
      <w:pPr>
        <w:spacing w:after="0" w:line="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Exchange Act: </w:t>
      </w:r>
      <w:r>
        <w:rPr>
          <w:rFonts w:ascii="Arial" w:cs="Arial" w:eastAsia="Arial" w:hAnsi="Arial"/>
          <w:sz w:val="14"/>
          <w:szCs w:val="14"/>
          <w:color w:val="auto"/>
        </w:rPr>
        <w:t>None</w:t>
      </w:r>
    </w:p>
    <w:p>
      <w:pPr>
        <w:spacing w:after="0" w:line="29" w:lineRule="exact"/>
        <w:rPr>
          <w:sz w:val="24"/>
          <w:szCs w:val="24"/>
          <w:color w:val="auto"/>
        </w:rPr>
      </w:pPr>
    </w:p>
    <w:p>
      <w:pPr>
        <w:ind w:right="3700"/>
        <w:spacing w:after="0" w:line="20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7" w:lineRule="exact"/>
        <w:rPr>
          <w:sz w:val="24"/>
          <w:szCs w:val="24"/>
          <w:color w:val="auto"/>
        </w:rPr>
      </w:pPr>
    </w:p>
    <w:p>
      <w:pPr>
        <w:ind w:right="10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ind w:right="60"/>
        <w:spacing w:after="0" w:line="236"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6" w:lineRule="exact"/>
        <w:rPr>
          <w:sz w:val="24"/>
          <w:szCs w:val="24"/>
          <w:color w:val="auto"/>
        </w:rPr>
      </w:pPr>
    </w:p>
    <w:p>
      <w:pPr>
        <w:ind w:right="12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880" w:type="dxa"/>
        <w:tblCellMar>
          <w:top w:w="0" w:type="dxa"/>
          <w:left w:w="0" w:type="dxa"/>
          <w:bottom w:w="0" w:type="dxa"/>
          <w:right w:w="0" w:type="dxa"/>
        </w:tblCellMar>
      </w:tblPr>
      <w:tr>
        <w:trPr>
          <w:trHeight w:val="175"/>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w w:val="94"/>
              </w:rPr>
              <w:t xml:space="preserve">Large accelerated filer </w:t>
            </w:r>
            <w:r>
              <w:rPr>
                <w:rFonts w:ascii="MS PGothic" w:cs="MS PGothic" w:eastAsia="MS PGothic" w:hAnsi="MS PGothic"/>
                <w:sz w:val="13"/>
                <w:szCs w:val="13"/>
                <w:color w:val="auto"/>
                <w:w w:val="94"/>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Accelerated filer</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4940" w:type="dxa"/>
            <w:vAlign w:val="bottom"/>
          </w:tcPr>
          <w:p>
            <w:pPr>
              <w:jc w:val="right"/>
              <w:ind w:right="3477"/>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Smaller reporting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4940" w:type="dxa"/>
            <w:vAlign w:val="bottom"/>
          </w:tcPr>
          <w:p>
            <w:pPr>
              <w:spacing w:after="0"/>
              <w:rPr>
                <w:sz w:val="17"/>
                <w:szCs w:val="17"/>
                <w:color w:val="auto"/>
              </w:rPr>
            </w:pPr>
          </w:p>
        </w:tc>
        <w:tc>
          <w:tcPr>
            <w:tcW w:w="5160" w:type="dxa"/>
            <w:vAlign w:val="bottom"/>
          </w:tcPr>
          <w:p>
            <w:pPr>
              <w:jc w:val="right"/>
              <w:ind w:right="57"/>
              <w:spacing w:after="0"/>
              <w:rPr>
                <w:sz w:val="20"/>
                <w:szCs w:val="20"/>
                <w:color w:val="auto"/>
              </w:rPr>
            </w:pPr>
            <w:r>
              <w:rPr>
                <w:rFonts w:ascii="Arial" w:cs="Arial" w:eastAsia="Arial" w:hAnsi="Arial"/>
                <w:sz w:val="13"/>
                <w:szCs w:val="13"/>
                <w:color w:val="auto"/>
              </w:rPr>
              <w:t>Emerging growth company</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91" w:lineRule="exact"/>
        <w:rPr>
          <w:sz w:val="24"/>
          <w:szCs w:val="24"/>
          <w:color w:val="auto"/>
        </w:rPr>
      </w:pPr>
    </w:p>
    <w:p>
      <w:pPr>
        <w:ind w:right="380"/>
        <w:spacing w:after="0" w:line="14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360"/>
        <w:spacing w:after="0" w:line="14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260"/>
        <w:spacing w:after="0" w:line="242" w:lineRule="auto"/>
        <w:rPr>
          <w:sz w:val="20"/>
          <w:szCs w:val="20"/>
          <w:color w:val="auto"/>
        </w:rPr>
      </w:pPr>
      <w:r>
        <w:rPr>
          <w:rFonts w:ascii="Arial" w:cs="Arial" w:eastAsia="Arial" w:hAnsi="Arial"/>
          <w:sz w:val="13"/>
          <w:szCs w:val="13"/>
          <w:color w:val="auto"/>
        </w:rPr>
        <w:t>Aggregate market value of the common equity held by non-affiliates computed by reference to the price at which the common equity was last sold as of the last business day of the Registrant's most recently completed second fiscal quarter: approximately $193,649,000,000.</w:t>
      </w:r>
    </w:p>
    <w:p>
      <w:pPr>
        <w:spacing w:after="0" w:line="50" w:lineRule="exact"/>
        <w:rPr>
          <w:sz w:val="24"/>
          <w:szCs w:val="24"/>
          <w:color w:val="auto"/>
        </w:rPr>
      </w:pPr>
    </w:p>
    <w:p>
      <w:pPr>
        <w:spacing w:after="0"/>
        <w:rPr>
          <w:sz w:val="20"/>
          <w:szCs w:val="20"/>
          <w:color w:val="auto"/>
        </w:rPr>
      </w:pPr>
      <w:r>
        <w:rPr>
          <w:rFonts w:ascii="Arial" w:cs="Arial" w:eastAsia="Arial" w:hAnsi="Arial"/>
          <w:sz w:val="13"/>
          <w:szCs w:val="13"/>
          <w:color w:val="auto"/>
        </w:rPr>
        <w:t>Number of shares of common stock outstanding as of February 18, 2022: 952,347,126</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Registrant's Proxy Statement for the 2022 Annual Meeting of Shareholders have been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i w:val="1"/>
          <w:i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2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rPr>
              <w:t>Eli Lilly and Company</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8"/>
              </w:rPr>
              <w:t>Form 10-K</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540" w:type="dxa"/>
            <w:vAlign w:val="bottom"/>
            <w:gridSpan w:val="12"/>
          </w:tcPr>
          <w:p>
            <w:pPr>
              <w:jc w:val="center"/>
              <w:ind w:right="2420"/>
              <w:spacing w:after="0"/>
              <w:rPr>
                <w:sz w:val="20"/>
                <w:szCs w:val="20"/>
                <w:color w:val="auto"/>
              </w:rPr>
            </w:pPr>
            <w:r>
              <w:rPr>
                <w:rFonts w:ascii="Arial" w:cs="Arial" w:eastAsia="Arial" w:hAnsi="Arial"/>
                <w:sz w:val="18"/>
                <w:szCs w:val="18"/>
                <w:b w:val="1"/>
                <w:bCs w:val="1"/>
                <w:color w:val="auto"/>
                <w:w w:val="99"/>
              </w:rPr>
              <w:t>For the Year Ended December 31, 2021</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80" w:type="dxa"/>
            <w:vAlign w:val="bottom"/>
            <w:gridSpan w:val="10"/>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6"/>
          </w:tcPr>
          <w:p>
            <w:pPr>
              <w:ind w:left="420"/>
              <w:spacing w:after="0"/>
              <w:rPr>
                <w:sz w:val="20"/>
                <w:szCs w:val="20"/>
                <w:color w:val="auto"/>
              </w:rPr>
            </w:pPr>
            <w:r>
              <w:rPr>
                <w:rFonts w:ascii="Arial" w:cs="Arial" w:eastAsia="Arial" w:hAnsi="Arial"/>
                <w:sz w:val="18"/>
                <w:szCs w:val="18"/>
                <w:b w:val="1"/>
                <w:bCs w:val="1"/>
                <w:color w:val="auto"/>
              </w:rPr>
              <w:t>Page</w:t>
            </w: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Part I</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560" w:type="dxa"/>
            <w:vAlign w:val="bottom"/>
            <w:gridSpan w:val="4"/>
          </w:tcPr>
          <w:p>
            <w:pPr>
              <w:spacing w:after="0"/>
              <w:rPr>
                <w:rFonts w:ascii="Arial" w:cs="Arial" w:eastAsia="Arial" w:hAnsi="Arial"/>
                <w:sz w:val="18"/>
                <w:szCs w:val="18"/>
                <w:color w:val="0000FF"/>
                <w:w w:val="94"/>
              </w:rPr>
            </w:pPr>
            <w:hyperlink w:anchor="page5">
              <w:r>
                <w:rPr>
                  <w:rFonts w:ascii="Arial" w:cs="Arial" w:eastAsia="Arial" w:hAnsi="Arial"/>
                  <w:sz w:val="18"/>
                  <w:szCs w:val="18"/>
                  <w:color w:val="0000FF"/>
                  <w:w w:val="94"/>
                </w:rPr>
                <w:t>Item 1.</w:t>
              </w:r>
            </w:hyperlink>
          </w:p>
        </w:tc>
        <w:tc>
          <w:tcPr>
            <w:tcW w:w="700" w:type="dxa"/>
            <w:vAlign w:val="bottom"/>
            <w:gridSpan w:val="2"/>
          </w:tcPr>
          <w:p>
            <w:pPr>
              <w:spacing w:after="0"/>
              <w:rPr>
                <w:sz w:val="24"/>
                <w:szCs w:val="24"/>
                <w:color w:val="auto"/>
              </w:rPr>
            </w:pPr>
          </w:p>
        </w:tc>
        <w:tc>
          <w:tcPr>
            <w:tcW w:w="740" w:type="dxa"/>
            <w:vAlign w:val="bottom"/>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Business</w:t>
              </w:r>
            </w:hyperlink>
          </w:p>
        </w:tc>
        <w:tc>
          <w:tcPr>
            <w:tcW w:w="8060" w:type="dxa"/>
            <w:vAlign w:val="bottom"/>
            <w:gridSpan w:val="21"/>
          </w:tcPr>
          <w:p>
            <w:pPr>
              <w:spacing w:after="0"/>
              <w:rPr>
                <w:sz w:val="24"/>
                <w:szCs w:val="24"/>
                <w:color w:val="auto"/>
              </w:rPr>
            </w:pPr>
          </w:p>
        </w:tc>
        <w:tc>
          <w:tcPr>
            <w:tcW w:w="720" w:type="dxa"/>
            <w:vAlign w:val="bottom"/>
            <w:gridSpan w:val="4"/>
          </w:tcPr>
          <w:p>
            <w:pPr>
              <w:jc w:val="center"/>
              <w:ind w:left="45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Item 1A.</w:t>
              </w:r>
            </w:hyperlink>
          </w:p>
        </w:tc>
        <w:tc>
          <w:tcPr>
            <w:tcW w:w="620" w:type="dxa"/>
            <w:vAlign w:val="bottom"/>
          </w:tcPr>
          <w:p>
            <w:pPr>
              <w:spacing w:after="0"/>
              <w:rPr>
                <w:sz w:val="18"/>
                <w:szCs w:val="18"/>
                <w:color w:val="auto"/>
              </w:rPr>
            </w:pPr>
          </w:p>
        </w:tc>
        <w:tc>
          <w:tcPr>
            <w:tcW w:w="8800" w:type="dxa"/>
            <w:vAlign w:val="bottom"/>
            <w:gridSpan w:val="2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720" w:type="dxa"/>
            <w:vAlign w:val="bottom"/>
            <w:gridSpan w:val="4"/>
          </w:tcPr>
          <w:p>
            <w:pPr>
              <w:jc w:val="center"/>
              <w:ind w:left="4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23</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Item 1B.</w:t>
              </w:r>
            </w:hyperlink>
          </w:p>
        </w:tc>
        <w:tc>
          <w:tcPr>
            <w:tcW w:w="620" w:type="dxa"/>
            <w:vAlign w:val="bottom"/>
          </w:tcPr>
          <w:p>
            <w:pPr>
              <w:spacing w:after="0"/>
              <w:rPr>
                <w:sz w:val="18"/>
                <w:szCs w:val="18"/>
                <w:color w:val="auto"/>
              </w:rPr>
            </w:pPr>
          </w:p>
        </w:tc>
        <w:tc>
          <w:tcPr>
            <w:tcW w:w="8800" w:type="dxa"/>
            <w:vAlign w:val="bottom"/>
            <w:gridSpan w:val="2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Unresolved Staff Comments</w:t>
              </w:r>
            </w:hyperlink>
          </w:p>
        </w:tc>
        <w:tc>
          <w:tcPr>
            <w:tcW w:w="720" w:type="dxa"/>
            <w:vAlign w:val="bottom"/>
            <w:gridSpan w:val="4"/>
          </w:tcPr>
          <w:p>
            <w:pPr>
              <w:jc w:val="center"/>
              <w:ind w:left="430"/>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31</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2.</w:t>
              </w:r>
            </w:hyperlink>
          </w:p>
        </w:tc>
        <w:tc>
          <w:tcPr>
            <w:tcW w:w="620" w:type="dxa"/>
            <w:vAlign w:val="bottom"/>
          </w:tcPr>
          <w:p>
            <w:pPr>
              <w:spacing w:after="0"/>
              <w:rPr>
                <w:sz w:val="18"/>
                <w:szCs w:val="18"/>
                <w:color w:val="auto"/>
              </w:rPr>
            </w:pPr>
          </w:p>
        </w:tc>
        <w:tc>
          <w:tcPr>
            <w:tcW w:w="2260" w:type="dxa"/>
            <w:vAlign w:val="bottom"/>
            <w:gridSpan w:val="1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Properties</w:t>
              </w:r>
            </w:hyperlink>
          </w:p>
        </w:tc>
        <w:tc>
          <w:tcPr>
            <w:tcW w:w="6540" w:type="dxa"/>
            <w:vAlign w:val="bottom"/>
            <w:gridSpan w:val="12"/>
          </w:tcPr>
          <w:p>
            <w:pPr>
              <w:spacing w:after="0"/>
              <w:rPr>
                <w:sz w:val="18"/>
                <w:szCs w:val="18"/>
                <w:color w:val="auto"/>
              </w:rPr>
            </w:pPr>
          </w:p>
        </w:tc>
        <w:tc>
          <w:tcPr>
            <w:tcW w:w="580" w:type="dxa"/>
            <w:vAlign w:val="bottom"/>
            <w:gridSpan w:val="2"/>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31</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3.</w:t>
              </w:r>
            </w:hyperlink>
          </w:p>
        </w:tc>
        <w:tc>
          <w:tcPr>
            <w:tcW w:w="620" w:type="dxa"/>
            <w:vAlign w:val="bottom"/>
          </w:tcPr>
          <w:p>
            <w:pPr>
              <w:spacing w:after="0"/>
              <w:rPr>
                <w:sz w:val="18"/>
                <w:szCs w:val="18"/>
                <w:color w:val="auto"/>
              </w:rPr>
            </w:pPr>
          </w:p>
        </w:tc>
        <w:tc>
          <w:tcPr>
            <w:tcW w:w="150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Legal Proceedings</w:t>
              </w:r>
            </w:hyperlink>
          </w:p>
        </w:tc>
        <w:tc>
          <w:tcPr>
            <w:tcW w:w="7300" w:type="dxa"/>
            <w:vAlign w:val="bottom"/>
            <w:gridSpan w:val="16"/>
          </w:tcPr>
          <w:p>
            <w:pPr>
              <w:spacing w:after="0"/>
              <w:rPr>
                <w:sz w:val="18"/>
                <w:szCs w:val="18"/>
                <w:color w:val="auto"/>
              </w:rPr>
            </w:pPr>
          </w:p>
        </w:tc>
        <w:tc>
          <w:tcPr>
            <w:tcW w:w="720" w:type="dxa"/>
            <w:vAlign w:val="bottom"/>
            <w:gridSpan w:val="4"/>
          </w:tcPr>
          <w:p>
            <w:pPr>
              <w:jc w:val="center"/>
              <w:ind w:left="430"/>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31</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w:t>
              </w:r>
            </w:hyperlink>
          </w:p>
        </w:tc>
        <w:tc>
          <w:tcPr>
            <w:tcW w:w="8800" w:type="dxa"/>
            <w:vAlign w:val="bottom"/>
            <w:gridSpan w:val="2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Mine Safety Disclosures</w:t>
              </w:r>
            </w:hyperlink>
          </w:p>
        </w:tc>
        <w:tc>
          <w:tcPr>
            <w:tcW w:w="720" w:type="dxa"/>
            <w:vAlign w:val="bottom"/>
            <w:gridSpan w:val="4"/>
          </w:tcPr>
          <w:p>
            <w:pPr>
              <w:jc w:val="center"/>
              <w:ind w:left="430"/>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31</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80"/>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Part II</w:t>
              </w:r>
            </w:hyperlink>
          </w:p>
        </w:tc>
        <w:tc>
          <w:tcPr>
            <w:tcW w:w="80" w:type="dxa"/>
            <w:vAlign w:val="bottom"/>
            <w:tcBorders>
              <w:top w:val="single" w:sz="8" w:color="0000FF"/>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79"/>
        </w:trPr>
        <w:tc>
          <w:tcPr>
            <w:tcW w:w="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5.</w:t>
              </w:r>
            </w:hyperlink>
          </w:p>
        </w:tc>
        <w:tc>
          <w:tcPr>
            <w:tcW w:w="8800" w:type="dxa"/>
            <w:vAlign w:val="bottom"/>
            <w:gridSpan w:val="2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Market for the Registrant's Common Equity, Related Stockholder Matters, and Issuer Purchases of Equity</w:t>
              </w:r>
            </w:hyperlink>
          </w:p>
        </w:tc>
        <w:tc>
          <w:tcPr>
            <w:tcW w:w="720" w:type="dxa"/>
            <w:vAlign w:val="bottom"/>
            <w:gridSpan w:val="4"/>
          </w:tcPr>
          <w:p>
            <w:pPr>
              <w:jc w:val="center"/>
              <w:ind w:left="430"/>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32">
              <w:r>
                <w:rPr>
                  <w:rFonts w:ascii="Arial" w:cs="Arial" w:eastAsia="Arial" w:hAnsi="Arial"/>
                  <w:sz w:val="18"/>
                  <w:szCs w:val="18"/>
                  <w:color w:val="0000FF"/>
                  <w:w w:val="98"/>
                </w:rPr>
                <w:t>Securities</w:t>
              </w:r>
            </w:hyperlink>
          </w:p>
        </w:tc>
        <w:tc>
          <w:tcPr>
            <w:tcW w:w="7560" w:type="dxa"/>
            <w:vAlign w:val="bottom"/>
            <w:tcBorders>
              <w:top w:val="single" w:sz="8" w:color="0000FF"/>
            </w:tcBorders>
            <w:gridSpan w:val="19"/>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9"/>
        </w:trPr>
        <w:tc>
          <w:tcPr>
            <w:tcW w:w="40" w:type="dxa"/>
            <w:vAlign w:val="bottom"/>
          </w:tcPr>
          <w:p>
            <w:pPr>
              <w:spacing w:after="0"/>
              <w:rPr>
                <w:sz w:val="18"/>
                <w:szCs w:val="18"/>
                <w:color w:val="auto"/>
              </w:rPr>
            </w:pPr>
          </w:p>
        </w:tc>
        <w:tc>
          <w:tcPr>
            <w:tcW w:w="560" w:type="dxa"/>
            <w:vAlign w:val="bottom"/>
            <w:gridSpan w:val="4"/>
          </w:tcPr>
          <w:p>
            <w:pPr>
              <w:spacing w:after="0"/>
              <w:rPr>
                <w:rFonts w:ascii="Arial" w:cs="Arial" w:eastAsia="Arial" w:hAnsi="Arial"/>
                <w:sz w:val="18"/>
                <w:szCs w:val="18"/>
                <w:color w:val="0000FF"/>
                <w:w w:val="94"/>
              </w:rPr>
            </w:pPr>
            <w:hyperlink w:anchor="page33">
              <w:r>
                <w:rPr>
                  <w:rFonts w:ascii="Arial" w:cs="Arial" w:eastAsia="Arial" w:hAnsi="Arial"/>
                  <w:sz w:val="18"/>
                  <w:szCs w:val="18"/>
                  <w:color w:val="0000FF"/>
                  <w:w w:val="94"/>
                </w:rPr>
                <w:t>Item 6.</w:t>
              </w:r>
            </w:hyperlink>
          </w:p>
        </w:tc>
        <w:tc>
          <w:tcPr>
            <w:tcW w:w="700" w:type="dxa"/>
            <w:vAlign w:val="bottom"/>
            <w:gridSpan w:val="2"/>
          </w:tcPr>
          <w:p>
            <w:pPr>
              <w:spacing w:after="0"/>
              <w:rPr>
                <w:sz w:val="18"/>
                <w:szCs w:val="18"/>
                <w:color w:val="auto"/>
              </w:rPr>
            </w:pPr>
          </w:p>
        </w:tc>
        <w:tc>
          <w:tcPr>
            <w:tcW w:w="880" w:type="dxa"/>
            <w:vAlign w:val="bottom"/>
            <w:gridSpan w:val="3"/>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[Reserved]</w:t>
              </w:r>
            </w:hyperlink>
          </w:p>
        </w:tc>
        <w:tc>
          <w:tcPr>
            <w:tcW w:w="7920" w:type="dxa"/>
            <w:vAlign w:val="bottom"/>
            <w:gridSpan w:val="19"/>
          </w:tcPr>
          <w:p>
            <w:pPr>
              <w:spacing w:after="0"/>
              <w:rPr>
                <w:sz w:val="18"/>
                <w:szCs w:val="18"/>
                <w:color w:val="auto"/>
              </w:rPr>
            </w:pPr>
          </w:p>
        </w:tc>
        <w:tc>
          <w:tcPr>
            <w:tcW w:w="580" w:type="dxa"/>
            <w:vAlign w:val="bottom"/>
            <w:gridSpan w:val="2"/>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34</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60" w:type="dxa"/>
            <w:vAlign w:val="bottom"/>
            <w:gridSpan w:val="4"/>
          </w:tcPr>
          <w:p>
            <w:pPr>
              <w:spacing w:after="0"/>
              <w:rPr>
                <w:rFonts w:ascii="Arial" w:cs="Arial" w:eastAsia="Arial" w:hAnsi="Arial"/>
                <w:sz w:val="18"/>
                <w:szCs w:val="18"/>
                <w:color w:val="0000FF"/>
                <w:w w:val="94"/>
              </w:rPr>
            </w:pPr>
            <w:hyperlink w:anchor="page34">
              <w:r>
                <w:rPr>
                  <w:rFonts w:ascii="Arial" w:cs="Arial" w:eastAsia="Arial" w:hAnsi="Arial"/>
                  <w:sz w:val="18"/>
                  <w:szCs w:val="18"/>
                  <w:color w:val="0000FF"/>
                  <w:w w:val="94"/>
                </w:rPr>
                <w:t>Item 7.</w:t>
              </w:r>
            </w:hyperlink>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0" w:type="dxa"/>
            <w:vAlign w:val="bottom"/>
            <w:gridSpan w:val="2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Results of Operations and Financial Condition</w:t>
              </w:r>
            </w:hyperlink>
          </w:p>
        </w:tc>
        <w:tc>
          <w:tcPr>
            <w:tcW w:w="720" w:type="dxa"/>
            <w:vAlign w:val="bottom"/>
            <w:gridSpan w:val="4"/>
          </w:tcPr>
          <w:p>
            <w:pPr>
              <w:jc w:val="center"/>
              <w:ind w:left="430"/>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Item 7A.</w:t>
              </w:r>
            </w:hyperlink>
          </w:p>
        </w:tc>
        <w:tc>
          <w:tcPr>
            <w:tcW w:w="620" w:type="dxa"/>
            <w:vAlign w:val="bottom"/>
          </w:tcPr>
          <w:p>
            <w:pPr>
              <w:spacing w:after="0"/>
              <w:rPr>
                <w:sz w:val="18"/>
                <w:szCs w:val="18"/>
                <w:color w:val="auto"/>
              </w:rPr>
            </w:pPr>
          </w:p>
        </w:tc>
        <w:tc>
          <w:tcPr>
            <w:tcW w:w="472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Quantitative and Qualitative Disclosures About Market Risk</w:t>
              </w:r>
            </w:hyperlink>
          </w:p>
        </w:tc>
        <w:tc>
          <w:tcPr>
            <w:tcW w:w="4080" w:type="dxa"/>
            <w:vAlign w:val="bottom"/>
            <w:gridSpan w:val="7"/>
          </w:tcPr>
          <w:p>
            <w:pPr>
              <w:spacing w:after="0"/>
              <w:rPr>
                <w:sz w:val="18"/>
                <w:szCs w:val="18"/>
                <w:color w:val="auto"/>
              </w:rPr>
            </w:pPr>
          </w:p>
        </w:tc>
        <w:tc>
          <w:tcPr>
            <w:tcW w:w="720" w:type="dxa"/>
            <w:vAlign w:val="bottom"/>
            <w:gridSpan w:val="4"/>
          </w:tcPr>
          <w:p>
            <w:pPr>
              <w:jc w:val="center"/>
              <w:ind w:left="430"/>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54</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8.</w:t>
              </w:r>
            </w:hyperlink>
          </w:p>
        </w:tc>
        <w:tc>
          <w:tcPr>
            <w:tcW w:w="620" w:type="dxa"/>
            <w:vAlign w:val="bottom"/>
          </w:tcPr>
          <w:p>
            <w:pPr>
              <w:spacing w:after="0"/>
              <w:rPr>
                <w:sz w:val="18"/>
                <w:szCs w:val="18"/>
                <w:color w:val="auto"/>
              </w:rPr>
            </w:pPr>
          </w:p>
        </w:tc>
        <w:tc>
          <w:tcPr>
            <w:tcW w:w="8800" w:type="dxa"/>
            <w:vAlign w:val="bottom"/>
            <w:gridSpan w:val="2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Financial Statements and Supplementary Data</w:t>
              </w:r>
            </w:hyperlink>
          </w:p>
        </w:tc>
        <w:tc>
          <w:tcPr>
            <w:tcW w:w="720" w:type="dxa"/>
            <w:vAlign w:val="bottom"/>
            <w:gridSpan w:val="4"/>
          </w:tcPr>
          <w:p>
            <w:pPr>
              <w:jc w:val="center"/>
              <w:ind w:left="430"/>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55</w:t>
              </w:r>
            </w:hyperlink>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60" w:type="dxa"/>
            <w:vAlign w:val="bottom"/>
            <w:gridSpan w:val="4"/>
          </w:tcPr>
          <w:p>
            <w:pPr>
              <w:spacing w:after="0"/>
              <w:rPr>
                <w:rFonts w:ascii="Arial" w:cs="Arial" w:eastAsia="Arial" w:hAnsi="Arial"/>
                <w:sz w:val="18"/>
                <w:szCs w:val="18"/>
                <w:color w:val="0000FF"/>
                <w:w w:val="94"/>
              </w:rPr>
            </w:pPr>
            <w:hyperlink w:anchor="page117">
              <w:r>
                <w:rPr>
                  <w:rFonts w:ascii="Arial" w:cs="Arial" w:eastAsia="Arial" w:hAnsi="Arial"/>
                  <w:sz w:val="18"/>
                  <w:szCs w:val="18"/>
                  <w:color w:val="0000FF"/>
                  <w:w w:val="94"/>
                </w:rPr>
                <w:t>Item 9.</w:t>
              </w:r>
            </w:hyperlink>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140" w:type="dxa"/>
            <w:vAlign w:val="bottom"/>
            <w:gridSpan w:val="19"/>
          </w:tcPr>
          <w:p>
            <w:pPr>
              <w:spacing w:after="0"/>
              <w:rPr>
                <w:rFonts w:ascii="Arial" w:cs="Arial" w:eastAsia="Arial" w:hAnsi="Arial"/>
                <w:sz w:val="18"/>
                <w:szCs w:val="18"/>
                <w:color w:val="0000FF"/>
                <w:w w:val="99"/>
              </w:rPr>
            </w:pPr>
            <w:hyperlink w:anchor="page117">
              <w:r>
                <w:rPr>
                  <w:rFonts w:ascii="Arial" w:cs="Arial" w:eastAsia="Arial" w:hAnsi="Arial"/>
                  <w:sz w:val="18"/>
                  <w:szCs w:val="18"/>
                  <w:color w:val="0000FF"/>
                  <w:w w:val="99"/>
                </w:rPr>
                <w:t>Changes in and Disagreements with Accountants on Accounting and Financial Disclosure</w:t>
              </w:r>
            </w:hyperlink>
          </w:p>
        </w:tc>
        <w:tc>
          <w:tcPr>
            <w:tcW w:w="1660" w:type="dxa"/>
            <w:vAlign w:val="bottom"/>
            <w:gridSpan w:val="3"/>
          </w:tcPr>
          <w:p>
            <w:pPr>
              <w:spacing w:after="0"/>
              <w:rPr>
                <w:sz w:val="18"/>
                <w:szCs w:val="18"/>
                <w:color w:val="auto"/>
              </w:rPr>
            </w:pPr>
          </w:p>
        </w:tc>
        <w:tc>
          <w:tcPr>
            <w:tcW w:w="840" w:type="dxa"/>
            <w:vAlign w:val="bottom"/>
            <w:gridSpan w:val="5"/>
          </w:tcPr>
          <w:p>
            <w:pPr>
              <w:jc w:val="center"/>
              <w:ind w:left="330"/>
              <w:spacing w:after="0"/>
              <w:rPr>
                <w:rFonts w:ascii="Arial" w:cs="Arial" w:eastAsia="Arial" w:hAnsi="Arial"/>
                <w:sz w:val="18"/>
                <w:szCs w:val="18"/>
                <w:color w:val="0000FF"/>
                <w:w w:val="99"/>
              </w:rPr>
            </w:pPr>
            <w:hyperlink w:anchor="page117">
              <w:r>
                <w:rPr>
                  <w:rFonts w:ascii="Arial" w:cs="Arial" w:eastAsia="Arial" w:hAnsi="Arial"/>
                  <w:sz w:val="18"/>
                  <w:szCs w:val="18"/>
                  <w:color w:val="0000FF"/>
                  <w:w w:val="99"/>
                </w:rPr>
                <w:t>118</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5"/>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Item 9A.</w:t>
              </w:r>
            </w:hyperlink>
          </w:p>
        </w:tc>
        <w:tc>
          <w:tcPr>
            <w:tcW w:w="620" w:type="dxa"/>
            <w:vAlign w:val="bottom"/>
          </w:tcPr>
          <w:p>
            <w:pPr>
              <w:spacing w:after="0"/>
              <w:rPr>
                <w:sz w:val="18"/>
                <w:szCs w:val="18"/>
                <w:color w:val="auto"/>
              </w:rPr>
            </w:pPr>
          </w:p>
        </w:tc>
        <w:tc>
          <w:tcPr>
            <w:tcW w:w="2000" w:type="dxa"/>
            <w:vAlign w:val="bottom"/>
            <w:gridSpan w:val="9"/>
          </w:tcPr>
          <w:p>
            <w:pPr>
              <w:spacing w:after="0"/>
              <w:rPr>
                <w:rFonts w:ascii="Arial" w:cs="Arial" w:eastAsia="Arial" w:hAnsi="Arial"/>
                <w:sz w:val="18"/>
                <w:szCs w:val="18"/>
                <w:color w:val="0000FF"/>
                <w:w w:val="99"/>
              </w:rPr>
            </w:pPr>
            <w:hyperlink w:anchor="page118">
              <w:r>
                <w:rPr>
                  <w:rFonts w:ascii="Arial" w:cs="Arial" w:eastAsia="Arial" w:hAnsi="Arial"/>
                  <w:sz w:val="18"/>
                  <w:szCs w:val="18"/>
                  <w:color w:val="0000FF"/>
                  <w:w w:val="99"/>
                </w:rPr>
                <w:t>Controls and Procedures</w:t>
              </w:r>
            </w:hyperlink>
          </w:p>
        </w:tc>
        <w:tc>
          <w:tcPr>
            <w:tcW w:w="6800" w:type="dxa"/>
            <w:vAlign w:val="bottom"/>
            <w:gridSpan w:val="13"/>
          </w:tcPr>
          <w:p>
            <w:pPr>
              <w:spacing w:after="0"/>
              <w:rPr>
                <w:sz w:val="18"/>
                <w:szCs w:val="18"/>
                <w:color w:val="auto"/>
              </w:rPr>
            </w:pPr>
          </w:p>
        </w:tc>
        <w:tc>
          <w:tcPr>
            <w:tcW w:w="840" w:type="dxa"/>
            <w:vAlign w:val="bottom"/>
            <w:gridSpan w:val="5"/>
          </w:tcPr>
          <w:p>
            <w:pPr>
              <w:jc w:val="center"/>
              <w:ind w:left="330"/>
              <w:spacing w:after="0"/>
              <w:rPr>
                <w:rFonts w:ascii="Arial" w:cs="Arial" w:eastAsia="Arial" w:hAnsi="Arial"/>
                <w:sz w:val="18"/>
                <w:szCs w:val="18"/>
                <w:color w:val="0000FF"/>
                <w:w w:val="99"/>
              </w:rPr>
            </w:pPr>
            <w:hyperlink w:anchor="page118">
              <w:r>
                <w:rPr>
                  <w:rFonts w:ascii="Arial" w:cs="Arial" w:eastAsia="Arial" w:hAnsi="Arial"/>
                  <w:sz w:val="18"/>
                  <w:szCs w:val="18"/>
                  <w:color w:val="0000FF"/>
                  <w:w w:val="99"/>
                </w:rPr>
                <w:t>118</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Item 9B.</w:t>
              </w:r>
            </w:hyperlink>
          </w:p>
        </w:tc>
        <w:tc>
          <w:tcPr>
            <w:tcW w:w="620" w:type="dxa"/>
            <w:vAlign w:val="bottom"/>
          </w:tcPr>
          <w:p>
            <w:pPr>
              <w:spacing w:after="0"/>
              <w:rPr>
                <w:sz w:val="18"/>
                <w:szCs w:val="18"/>
                <w:color w:val="auto"/>
              </w:rPr>
            </w:pPr>
          </w:p>
        </w:tc>
        <w:tc>
          <w:tcPr>
            <w:tcW w:w="2000" w:type="dxa"/>
            <w:vAlign w:val="bottom"/>
            <w:gridSpan w:val="9"/>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Other Information</w:t>
              </w:r>
            </w:hyperlink>
          </w:p>
        </w:tc>
        <w:tc>
          <w:tcPr>
            <w:tcW w:w="6800" w:type="dxa"/>
            <w:vAlign w:val="bottom"/>
            <w:gridSpan w:val="13"/>
          </w:tcPr>
          <w:p>
            <w:pPr>
              <w:spacing w:after="0"/>
              <w:rPr>
                <w:sz w:val="18"/>
                <w:szCs w:val="18"/>
                <w:color w:val="auto"/>
              </w:rPr>
            </w:pPr>
          </w:p>
        </w:tc>
        <w:tc>
          <w:tcPr>
            <w:tcW w:w="840" w:type="dxa"/>
            <w:vAlign w:val="bottom"/>
            <w:gridSpan w:val="5"/>
          </w:tcPr>
          <w:p>
            <w:pPr>
              <w:jc w:val="center"/>
              <w:ind w:left="330"/>
              <w:spacing w:after="0"/>
              <w:rPr>
                <w:rFonts w:ascii="Arial" w:cs="Arial" w:eastAsia="Arial" w:hAnsi="Arial"/>
                <w:sz w:val="18"/>
                <w:szCs w:val="18"/>
                <w:color w:val="0000FF"/>
                <w:w w:val="99"/>
              </w:rPr>
            </w:pPr>
            <w:hyperlink w:anchor="page118">
              <w:r>
                <w:rPr>
                  <w:rFonts w:ascii="Arial" w:cs="Arial" w:eastAsia="Arial" w:hAnsi="Arial"/>
                  <w:sz w:val="18"/>
                  <w:szCs w:val="18"/>
                  <w:color w:val="0000FF"/>
                  <w:w w:val="99"/>
                </w:rPr>
                <w:t>118</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5"/>
          </w:tcPr>
          <w:p>
            <w:pPr>
              <w:spacing w:after="0"/>
              <w:rPr>
                <w:rFonts w:ascii="Arial" w:cs="Arial" w:eastAsia="Arial" w:hAnsi="Arial"/>
                <w:sz w:val="18"/>
                <w:szCs w:val="18"/>
                <w:color w:val="0000FF"/>
                <w:w w:val="88"/>
              </w:rPr>
            </w:pPr>
            <w:hyperlink w:anchor="page118">
              <w:r>
                <w:rPr>
                  <w:rFonts w:ascii="Arial" w:cs="Arial" w:eastAsia="Arial" w:hAnsi="Arial"/>
                  <w:sz w:val="18"/>
                  <w:szCs w:val="18"/>
                  <w:color w:val="0000FF"/>
                  <w:w w:val="88"/>
                </w:rPr>
                <w:t>Item 9C.</w:t>
              </w:r>
            </w:hyperlink>
          </w:p>
        </w:tc>
        <w:tc>
          <w:tcPr>
            <w:tcW w:w="620" w:type="dxa"/>
            <w:vAlign w:val="bottom"/>
          </w:tcPr>
          <w:p>
            <w:pPr>
              <w:spacing w:after="0"/>
              <w:rPr>
                <w:sz w:val="18"/>
                <w:szCs w:val="18"/>
                <w:color w:val="auto"/>
              </w:rPr>
            </w:pPr>
          </w:p>
        </w:tc>
        <w:tc>
          <w:tcPr>
            <w:tcW w:w="8800" w:type="dxa"/>
            <w:vAlign w:val="bottom"/>
            <w:gridSpan w:val="22"/>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Disclosure Regarding Foreign Jurisdictions that Prevent Inspections</w:t>
              </w:r>
            </w:hyperlink>
          </w:p>
        </w:tc>
        <w:tc>
          <w:tcPr>
            <w:tcW w:w="840" w:type="dxa"/>
            <w:vAlign w:val="bottom"/>
            <w:gridSpan w:val="5"/>
          </w:tcPr>
          <w:p>
            <w:pPr>
              <w:jc w:val="center"/>
              <w:ind w:left="330"/>
              <w:spacing w:after="0"/>
              <w:rPr>
                <w:rFonts w:ascii="Arial" w:cs="Arial" w:eastAsia="Arial" w:hAnsi="Arial"/>
                <w:sz w:val="18"/>
                <w:szCs w:val="18"/>
                <w:color w:val="0000FF"/>
                <w:w w:val="99"/>
              </w:rPr>
            </w:pPr>
            <w:hyperlink w:anchor="page118">
              <w:r>
                <w:rPr>
                  <w:rFonts w:ascii="Arial" w:cs="Arial" w:eastAsia="Arial" w:hAnsi="Arial"/>
                  <w:sz w:val="18"/>
                  <w:szCs w:val="18"/>
                  <w:color w:val="0000FF"/>
                  <w:w w:val="99"/>
                </w:rPr>
                <w:t>118</w:t>
              </w:r>
            </w:hyperlink>
          </w:p>
        </w:tc>
        <w:tc>
          <w:tcPr>
            <w:tcW w:w="300" w:type="dxa"/>
            <w:vAlign w:val="bottom"/>
          </w:tcPr>
          <w:p>
            <w:pPr>
              <w:spacing w:after="0"/>
              <w:rPr>
                <w:sz w:val="18"/>
                <w:szCs w:val="18"/>
                <w:color w:val="auto"/>
              </w:rPr>
            </w:pPr>
          </w:p>
        </w:tc>
      </w:tr>
      <w:tr>
        <w:trPr>
          <w:trHeight w:val="480"/>
        </w:trPr>
        <w:tc>
          <w:tcPr>
            <w:tcW w:w="40" w:type="dxa"/>
            <w:vAlign w:val="bottom"/>
          </w:tcPr>
          <w:p>
            <w:pPr>
              <w:spacing w:after="0"/>
              <w:rPr>
                <w:sz w:val="24"/>
                <w:szCs w:val="24"/>
                <w:color w:val="auto"/>
              </w:rPr>
            </w:pPr>
          </w:p>
        </w:tc>
        <w:tc>
          <w:tcPr>
            <w:tcW w:w="640" w:type="dxa"/>
            <w:vAlign w:val="bottom"/>
            <w:tcBorders>
              <w:top w:val="single" w:sz="8" w:color="0000FF"/>
            </w:tcBorders>
            <w:gridSpan w:val="5"/>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Part III</w:t>
              </w:r>
            </w:hyperlink>
          </w:p>
        </w:tc>
        <w:tc>
          <w:tcPr>
            <w:tcW w:w="6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Item 10.</w:t>
              </w:r>
            </w:hyperlink>
          </w:p>
        </w:tc>
        <w:tc>
          <w:tcPr>
            <w:tcW w:w="8800" w:type="dxa"/>
            <w:vAlign w:val="bottom"/>
            <w:gridSpan w:val="22"/>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Directors, Executive Officers, and Corporate Governance</w:t>
              </w:r>
            </w:hyperlink>
          </w:p>
        </w:tc>
        <w:tc>
          <w:tcPr>
            <w:tcW w:w="840" w:type="dxa"/>
            <w:vAlign w:val="bottom"/>
            <w:gridSpan w:val="5"/>
          </w:tcPr>
          <w:p>
            <w:pPr>
              <w:jc w:val="center"/>
              <w:ind w:left="330"/>
              <w:spacing w:after="0"/>
              <w:rPr>
                <w:rFonts w:ascii="Arial" w:cs="Arial" w:eastAsia="Arial" w:hAnsi="Arial"/>
                <w:sz w:val="18"/>
                <w:szCs w:val="18"/>
                <w:color w:val="0000FF"/>
                <w:w w:val="99"/>
              </w:rPr>
            </w:pPr>
            <w:hyperlink w:anchor="page119">
              <w:r>
                <w:rPr>
                  <w:rFonts w:ascii="Arial" w:cs="Arial" w:eastAsia="Arial" w:hAnsi="Arial"/>
                  <w:sz w:val="18"/>
                  <w:szCs w:val="18"/>
                  <w:color w:val="0000FF"/>
                  <w:w w:val="99"/>
                </w:rPr>
                <w:t>119</w:t>
              </w:r>
            </w:hyperlink>
          </w:p>
        </w:tc>
        <w:tc>
          <w:tcPr>
            <w:tcW w:w="3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Item 11.</w:t>
              </w:r>
            </w:hyperlink>
          </w:p>
        </w:tc>
        <w:tc>
          <w:tcPr>
            <w:tcW w:w="8800" w:type="dxa"/>
            <w:vAlign w:val="bottom"/>
            <w:gridSpan w:val="22"/>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Executive Compensation</w:t>
              </w:r>
            </w:hyperlink>
          </w:p>
        </w:tc>
        <w:tc>
          <w:tcPr>
            <w:tcW w:w="840" w:type="dxa"/>
            <w:vAlign w:val="bottom"/>
            <w:gridSpan w:val="5"/>
          </w:tcPr>
          <w:p>
            <w:pPr>
              <w:jc w:val="center"/>
              <w:ind w:left="330"/>
              <w:spacing w:after="0"/>
              <w:rPr>
                <w:rFonts w:ascii="Arial" w:cs="Arial" w:eastAsia="Arial" w:hAnsi="Arial"/>
                <w:sz w:val="18"/>
                <w:szCs w:val="18"/>
                <w:color w:val="0000FF"/>
                <w:w w:val="99"/>
              </w:rPr>
            </w:pPr>
            <w:hyperlink w:anchor="page119">
              <w:r>
                <w:rPr>
                  <w:rFonts w:ascii="Arial" w:cs="Arial" w:eastAsia="Arial" w:hAnsi="Arial"/>
                  <w:sz w:val="18"/>
                  <w:szCs w:val="18"/>
                  <w:color w:val="0000FF"/>
                  <w:w w:val="99"/>
                </w:rPr>
                <w:t>119</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Item 12.</w:t>
              </w:r>
            </w:hyperlink>
          </w:p>
        </w:tc>
        <w:tc>
          <w:tcPr>
            <w:tcW w:w="8800" w:type="dxa"/>
            <w:vAlign w:val="bottom"/>
            <w:gridSpan w:val="22"/>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Security Ownership of Certain Beneficial Owners and Management and Related Stockholder Matters</w:t>
              </w:r>
            </w:hyperlink>
          </w:p>
        </w:tc>
        <w:tc>
          <w:tcPr>
            <w:tcW w:w="840" w:type="dxa"/>
            <w:vAlign w:val="bottom"/>
            <w:gridSpan w:val="5"/>
          </w:tcPr>
          <w:p>
            <w:pPr>
              <w:jc w:val="center"/>
              <w:ind w:left="330"/>
              <w:spacing w:after="0"/>
              <w:rPr>
                <w:rFonts w:ascii="Arial" w:cs="Arial" w:eastAsia="Arial" w:hAnsi="Arial"/>
                <w:sz w:val="18"/>
                <w:szCs w:val="18"/>
                <w:color w:val="0000FF"/>
                <w:w w:val="99"/>
              </w:rPr>
            </w:pPr>
            <w:hyperlink w:anchor="page119">
              <w:r>
                <w:rPr>
                  <w:rFonts w:ascii="Arial" w:cs="Arial" w:eastAsia="Arial" w:hAnsi="Arial"/>
                  <w:sz w:val="18"/>
                  <w:szCs w:val="18"/>
                  <w:color w:val="0000FF"/>
                  <w:w w:val="99"/>
                </w:rPr>
                <w:t>120</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Item 13.</w:t>
              </w:r>
            </w:hyperlink>
          </w:p>
        </w:tc>
        <w:tc>
          <w:tcPr>
            <w:tcW w:w="8800" w:type="dxa"/>
            <w:vAlign w:val="bottom"/>
            <w:gridSpan w:val="22"/>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Certain Relationships and Related Transactions, and Director Independence</w:t>
              </w:r>
            </w:hyperlink>
          </w:p>
        </w:tc>
        <w:tc>
          <w:tcPr>
            <w:tcW w:w="840" w:type="dxa"/>
            <w:vAlign w:val="bottom"/>
            <w:gridSpan w:val="5"/>
          </w:tcPr>
          <w:p>
            <w:pPr>
              <w:jc w:val="center"/>
              <w:ind w:left="330"/>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120</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Item 14.</w:t>
              </w:r>
            </w:hyperlink>
          </w:p>
        </w:tc>
        <w:tc>
          <w:tcPr>
            <w:tcW w:w="8800" w:type="dxa"/>
            <w:vAlign w:val="bottom"/>
            <w:gridSpan w:val="22"/>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Principal Accountant Fees and Services</w:t>
              </w:r>
            </w:hyperlink>
          </w:p>
        </w:tc>
        <w:tc>
          <w:tcPr>
            <w:tcW w:w="840" w:type="dxa"/>
            <w:vAlign w:val="bottom"/>
            <w:gridSpan w:val="5"/>
          </w:tcPr>
          <w:p>
            <w:pPr>
              <w:jc w:val="center"/>
              <w:ind w:left="330"/>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120</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Item 15.</w:t>
              </w:r>
            </w:hyperlink>
          </w:p>
        </w:tc>
        <w:tc>
          <w:tcPr>
            <w:tcW w:w="8800" w:type="dxa"/>
            <w:vAlign w:val="bottom"/>
            <w:gridSpan w:val="22"/>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Exhibits and Financial Statement Schedules</w:t>
              </w:r>
            </w:hyperlink>
          </w:p>
        </w:tc>
        <w:tc>
          <w:tcPr>
            <w:tcW w:w="840" w:type="dxa"/>
            <w:vAlign w:val="bottom"/>
            <w:gridSpan w:val="5"/>
          </w:tcPr>
          <w:p>
            <w:pPr>
              <w:jc w:val="center"/>
              <w:ind w:left="330"/>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121</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280" w:type="dxa"/>
            <w:vAlign w:val="bottom"/>
            <w:gridSpan w:val="10"/>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Item 16.</w:t>
              </w:r>
            </w:hyperlink>
          </w:p>
        </w:tc>
        <w:tc>
          <w:tcPr>
            <w:tcW w:w="8800" w:type="dxa"/>
            <w:vAlign w:val="bottom"/>
            <w:gridSpan w:val="22"/>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Form 10-K Summary</w:t>
              </w:r>
            </w:hyperlink>
          </w:p>
        </w:tc>
        <w:tc>
          <w:tcPr>
            <w:tcW w:w="840" w:type="dxa"/>
            <w:vAlign w:val="bottom"/>
            <w:gridSpan w:val="5"/>
          </w:tcPr>
          <w:p>
            <w:pPr>
              <w:jc w:val="center"/>
              <w:ind w:left="330"/>
              <w:spacing w:after="0"/>
              <w:rPr>
                <w:rFonts w:ascii="Arial" w:cs="Arial" w:eastAsia="Arial" w:hAnsi="Arial"/>
                <w:sz w:val="18"/>
                <w:szCs w:val="18"/>
                <w:color w:val="0000FF"/>
                <w:w w:val="99"/>
              </w:rPr>
            </w:pPr>
            <w:hyperlink w:anchor="page123">
              <w:r>
                <w:rPr>
                  <w:rFonts w:ascii="Arial" w:cs="Arial" w:eastAsia="Arial" w:hAnsi="Arial"/>
                  <w:sz w:val="18"/>
                  <w:szCs w:val="18"/>
                  <w:color w:val="0000FF"/>
                  <w:w w:val="99"/>
                </w:rPr>
                <w:t>123</w:t>
              </w:r>
            </w:hyperlink>
          </w:p>
        </w:tc>
        <w:tc>
          <w:tcPr>
            <w:tcW w:w="3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925"/>
        </w:trPr>
        <w:tc>
          <w:tcPr>
            <w:tcW w:w="460" w:type="dxa"/>
            <w:vAlign w:val="bottom"/>
            <w:gridSpan w:val="2"/>
          </w:tcPr>
          <w:p>
            <w:pPr>
              <w:jc w:val="right"/>
              <w:ind w:right="270"/>
              <w:spacing w:after="0"/>
              <w:rPr>
                <w:sz w:val="20"/>
                <w:szCs w:val="20"/>
                <w:color w:val="auto"/>
              </w:rPr>
            </w:pPr>
            <w:r>
              <w:rPr>
                <w:rFonts w:ascii="Arial" w:cs="Arial" w:eastAsia="Arial" w:hAnsi="Arial"/>
                <w:sz w:val="18"/>
                <w:szCs w:val="18"/>
                <w:b w:val="1"/>
                <w:bCs w:val="1"/>
                <w:i w:val="1"/>
                <w:iCs w:val="1"/>
                <w:color w:val="auto"/>
                <w:w w:val="79"/>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auto"/>
        </w:rPr>
        <w:t>Forward-Looking Statements</w:t>
      </w:r>
    </w:p>
    <w:p>
      <w:pPr>
        <w:spacing w:after="0" w:line="15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Annual Report on Form 10-K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In particular, information appearing under "Business," "Risk Factors," and "Management's Discussion and Analysis of Results of Operations and Financial Condition" includes forward-looking statements. Forward-looking statements include all statements that do not relate solely to historical or current facts, and generally can be identified by the use of words such as "may," "believe," "will," "expect," "project," "estimate," "intend," "anticipate," "plan," "continue," or similar expressions or future or conditional verbs.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materially from those expressed in forward-looking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46" w:lineRule="exact"/>
        <w:rPr>
          <w:sz w:val="20"/>
          <w:szCs w:val="20"/>
          <w:color w:val="auto"/>
        </w:rPr>
      </w:pPr>
    </w:p>
    <w:p>
      <w:pPr>
        <w:ind w:left="340" w:right="80" w:hanging="332"/>
        <w:spacing w:after="0" w:line="26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evolving COVID-19 pandemic or any future pandemic, epidemic, or similar public health threat and the global response thereto;</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related to our efforts to develop, manufacture, and distribute potential treatments for COVID-19;</w:t>
      </w:r>
    </w:p>
    <w:p>
      <w:pPr>
        <w:spacing w:after="0" w:line="63"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outcome of acquisitions and business development transactions and related integration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and/or biosimilar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 package exclusivity;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breaches, or operating failures;</w:t>
      </w:r>
    </w:p>
    <w:p>
      <w:pPr>
        <w:spacing w:after="0" w:line="63" w:lineRule="exact"/>
        <w:rPr>
          <w:rFonts w:ascii="Arial" w:cs="Arial" w:eastAsia="Arial" w:hAnsi="Arial"/>
          <w:sz w:val="18"/>
          <w:szCs w:val="18"/>
          <w:color w:val="auto"/>
        </w:rPr>
      </w:pPr>
    </w:p>
    <w:p>
      <w:pPr>
        <w:ind w:left="340" w:right="480" w:hanging="332"/>
        <w:spacing w:after="0" w:line="26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commercial activities as we are largely self-insured;</w:t>
      </w:r>
    </w:p>
    <w:p>
      <w:pPr>
        <w:spacing w:after="0" w:line="35"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demand, labor shortages, third-party performance, or regulatory actions relating to our facilities;</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340" w:right="340" w:hanging="332"/>
        <w:spacing w:after="0" w:line="26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payers affecting pricing of, reimbursement for, and access to pharmaceuticals;</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devaluations in foreign currency exchange rates, changes in interest rates, and inflation;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 w:name="page4"/>
    <w:bookmarkEnd w:id="3"/>
    <w:p>
      <w:pPr>
        <w:ind w:left="340" w:right="36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macroeconomic conditions, trade disruptions, global disputes, unrest, war, or other costs, uncertainties and risks related to engaging in business in foreign jurisdictions;</w:t>
      </w:r>
    </w:p>
    <w:p>
      <w:pPr>
        <w:spacing w:after="0" w:line="35" w:lineRule="exact"/>
        <w:rPr>
          <w:rFonts w:ascii="Arial" w:cs="Arial" w:eastAsia="Arial" w:hAnsi="Arial"/>
          <w:sz w:val="18"/>
          <w:szCs w:val="18"/>
          <w:color w:val="auto"/>
        </w:rPr>
      </w:pPr>
    </w:p>
    <w:p>
      <w:pPr>
        <w:ind w:left="340" w:right="60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 promulgated by the Financial Accounting Standards Board and the Securities and Exchange Commission (SEC); and</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Investors should also carefully read the factors described under Item 1A, "Risk Factors" in this Annual Report on Form 10-K for a description of certain risks that could, among other things, cause our actual results to differ from those expressed in forward-looking statements. Investors should understand that it is not possible to predict or identify all such factors and should not consider the risks described above and under Item 1A, "Risk Factors" to be a complete statement of all potential risks and uncertainties.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All forward-looking statements speak only as of the date of this Annual Report and are expressly qualified in their entirety by the risk factors and cautionary statements included in this Annual Report. Except as is required by law, we expressly disclaim any obligation to publicly release any revisions to forward-looking statements to reflect events after the date of this Annual Report.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t>Part 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  Business</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Eli Lilly and Company (referred to as the company, Lilly, we, or us) was incorporated in 1901 in Indiana to succeed to the drug manufacturing business founded in Indianapolis, Indiana, in 1876 by Colonel Eli Lilly. We discover, develop, manufacture, and market products in a single business segment—human pharmaceutical products.</w:t>
      </w:r>
    </w:p>
    <w:p>
      <w:pPr>
        <w:spacing w:after="0" w:line="9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Most of the products we sell today were discovered or developed by our own scientists, and our long-term success depends on our ability to continually discover or acquire, develop, and commercialize innovative new medicines.</w:t>
      </w:r>
    </w:p>
    <w:p>
      <w:pPr>
        <w:spacing w:after="0" w:line="9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manufacture and distribute our products through facilities in the United States (U.S.), including Puerto Rico, and 7 other countries. Our products are sold in approximately 120 countries.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include: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products</w:t>
      </w:r>
      <w:r>
        <w:rPr>
          <w:rFonts w:ascii="Arial" w:cs="Arial" w:eastAsia="Arial" w:hAnsi="Arial"/>
          <w:sz w:val="18"/>
          <w:szCs w:val="18"/>
          <w:color w:val="auto"/>
        </w:rPr>
        <w:t>, including:</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in collaboration with Boehringer Ingelheim, a long-acting human insulin analog for the treatment of diabetes.</w:t>
      </w:r>
    </w:p>
    <w:p>
      <w:pPr>
        <w:spacing w:after="0" w:line="63" w:lineRule="exact"/>
        <w:rPr>
          <w:rFonts w:ascii="Arial" w:cs="Arial" w:eastAsia="Arial" w:hAnsi="Arial"/>
          <w:sz w:val="18"/>
          <w:szCs w:val="18"/>
          <w:i w:val="1"/>
          <w:iCs w:val="1"/>
          <w:color w:val="auto"/>
        </w:rPr>
      </w:pPr>
    </w:p>
    <w:p>
      <w:pPr>
        <w:ind w:left="660" w:right="360" w:hanging="328"/>
        <w:spacing w:after="0" w:line="22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Humalog</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Humalog Mix 75/25, Humalog U-100, Humalog U-200, Humalog Mix 50/50</w:t>
      </w:r>
      <w:r>
        <w:rPr>
          <w:rFonts w:ascii="Arial" w:cs="Arial" w:eastAsia="Arial" w:hAnsi="Arial"/>
          <w:sz w:val="18"/>
          <w:szCs w:val="18"/>
          <w:color w:val="auto"/>
        </w:rPr>
        <w:t>,</w:t>
      </w:r>
      <w:r>
        <w:rPr>
          <w:rFonts w:ascii="Arial" w:cs="Arial" w:eastAsia="Arial" w:hAnsi="Arial"/>
          <w:sz w:val="18"/>
          <w:szCs w:val="18"/>
          <w:i w:val="1"/>
          <w:iCs w:val="1"/>
          <w:color w:val="auto"/>
        </w:rPr>
        <w:t xml:space="preserve"> insulin lispro, insulin lispro protamine</w:t>
      </w:r>
      <w:r>
        <w:rPr>
          <w:rFonts w:ascii="Arial" w:cs="Arial" w:eastAsia="Arial" w:hAnsi="Arial"/>
          <w:sz w:val="18"/>
          <w:szCs w:val="18"/>
          <w:color w:val="auto"/>
        </w:rPr>
        <w:t>, and</w:t>
      </w:r>
      <w:r>
        <w:rPr>
          <w:rFonts w:ascii="Arial" w:cs="Arial" w:eastAsia="Arial" w:hAnsi="Arial"/>
          <w:sz w:val="18"/>
          <w:szCs w:val="18"/>
          <w:i w:val="1"/>
          <w:iCs w:val="1"/>
          <w:color w:val="auto"/>
        </w:rPr>
        <w:t xml:space="preserve"> insulin lispro mix 75/25, </w:t>
      </w:r>
      <w:r>
        <w:rPr>
          <w:rFonts w:ascii="Arial" w:cs="Arial" w:eastAsia="Arial" w:hAnsi="Arial"/>
          <w:sz w:val="18"/>
          <w:szCs w:val="18"/>
          <w:color w:val="auto"/>
        </w:rPr>
        <w:t>human insulin analogs for the treatment of diabetes.</w:t>
      </w:r>
    </w:p>
    <w:p>
      <w:pPr>
        <w:spacing w:after="0" w:line="90" w:lineRule="exact"/>
        <w:rPr>
          <w:rFonts w:ascii="Arial" w:cs="Arial" w:eastAsia="Arial" w:hAnsi="Arial"/>
          <w:sz w:val="18"/>
          <w:szCs w:val="18"/>
          <w:color w:val="auto"/>
        </w:rPr>
      </w:pPr>
    </w:p>
    <w:p>
      <w:pPr>
        <w:ind w:left="660" w:right="20" w:hanging="328"/>
        <w:spacing w:after="0" w:line="22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Humulin</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Humulin 70/30, Humulin N, Humulin R, </w:t>
      </w:r>
      <w:r>
        <w:rPr>
          <w:rFonts w:ascii="Arial" w:cs="Arial" w:eastAsia="Arial" w:hAnsi="Arial"/>
          <w:sz w:val="18"/>
          <w:szCs w:val="18"/>
          <w:color w:val="auto"/>
        </w:rPr>
        <w:t>and</w:t>
      </w:r>
      <w:r>
        <w:rPr>
          <w:rFonts w:ascii="Arial" w:cs="Arial" w:eastAsia="Arial" w:hAnsi="Arial"/>
          <w:sz w:val="18"/>
          <w:szCs w:val="18"/>
          <w:i w:val="1"/>
          <w:iCs w:val="1"/>
          <w:color w:val="auto"/>
        </w:rPr>
        <w:t xml:space="preserve"> Humulin U-500</w:t>
      </w:r>
      <w:r>
        <w:rPr>
          <w:rFonts w:ascii="Arial" w:cs="Arial" w:eastAsia="Arial" w:hAnsi="Arial"/>
          <w:sz w:val="18"/>
          <w:szCs w:val="18"/>
          <w:color w:val="auto"/>
        </w:rPr>
        <w:t>, human insulins of recombinant DNA origin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w:t>
      </w:r>
    </w:p>
    <w:p>
      <w:pPr>
        <w:spacing w:after="0" w:line="90" w:lineRule="exact"/>
        <w:rPr>
          <w:rFonts w:ascii="Arial" w:cs="Arial" w:eastAsia="Arial" w:hAnsi="Arial"/>
          <w:sz w:val="18"/>
          <w:szCs w:val="18"/>
          <w:color w:val="auto"/>
        </w:rPr>
      </w:pPr>
    </w:p>
    <w:p>
      <w:pPr>
        <w:ind w:left="660" w:right="260" w:hanging="328"/>
        <w:spacing w:after="0" w:line="23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w:t>
      </w:r>
      <w:r>
        <w:rPr>
          <w:rFonts w:ascii="Arial" w:cs="Arial" w:eastAsia="Arial" w:hAnsi="Arial"/>
          <w:sz w:val="18"/>
          <w:szCs w:val="18"/>
          <w:color w:val="auto"/>
        </w:rPr>
        <w:t>, in collaboration with Boehringer Ingelheim, for the treatment of type 2 diabetes; to reduce the risk of cardiovascular</w:t>
      </w:r>
      <w:r>
        <w:rPr>
          <w:rFonts w:ascii="Arial" w:cs="Arial" w:eastAsia="Arial" w:hAnsi="Arial"/>
          <w:sz w:val="18"/>
          <w:szCs w:val="18"/>
          <w:i w:val="1"/>
          <w:iCs w:val="1"/>
          <w:color w:val="auto"/>
        </w:rPr>
        <w:t xml:space="preserve"> </w:t>
      </w:r>
      <w:r>
        <w:rPr>
          <w:rFonts w:ascii="Arial" w:cs="Arial" w:eastAsia="Arial" w:hAnsi="Arial"/>
          <w:sz w:val="18"/>
          <w:szCs w:val="18"/>
          <w:color w:val="auto"/>
        </w:rPr>
        <w:t>death in adult patients with type 2 diabetes and established cardiovascular disease; and to reduce the risk of cardiovascular death and hospitalizations for heart failure in adults with heart failure and reduced ejection fraction.</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Trajenta</w:t>
      </w:r>
      <w:r>
        <w:rPr>
          <w:rFonts w:ascii="Arial" w:cs="Arial" w:eastAsia="Arial" w:hAnsi="Arial"/>
          <w:sz w:val="23"/>
          <w:szCs w:val="23"/>
          <w:color w:val="auto"/>
          <w:vertAlign w:val="superscript"/>
        </w:rPr>
        <w:t>®</w:t>
      </w:r>
      <w:r>
        <w:rPr>
          <w:rFonts w:ascii="Arial" w:cs="Arial" w:eastAsia="Arial" w:hAnsi="Arial"/>
          <w:sz w:val="18"/>
          <w:szCs w:val="18"/>
          <w:color w:val="auto"/>
        </w:rPr>
        <w:t>, in collaboration with Boehringer Ingelheim, for the treatment of type 2 diabetes.</w:t>
      </w:r>
    </w:p>
    <w:p>
      <w:pPr>
        <w:spacing w:after="0" w:line="59" w:lineRule="exact"/>
        <w:rPr>
          <w:rFonts w:ascii="Arial" w:cs="Arial" w:eastAsia="Arial" w:hAnsi="Arial"/>
          <w:sz w:val="18"/>
          <w:szCs w:val="18"/>
          <w:color w:val="auto"/>
        </w:rPr>
      </w:pPr>
    </w:p>
    <w:p>
      <w:pPr>
        <w:ind w:left="660" w:right="360" w:hanging="328"/>
        <w:spacing w:after="0" w:line="22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Trulicit</w:t>
      </w:r>
      <w:r>
        <w:rPr>
          <w:rFonts w:ascii="Arial" w:cs="Arial" w:eastAsia="Arial" w:hAnsi="Arial"/>
          <w:sz w:val="18"/>
          <w:szCs w:val="18"/>
          <w:color w:val="auto"/>
        </w:rPr>
        <w:t>y</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type 2 diabetes and to reduce the risk of major adverse cardiovascular events in adult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type 2 diabetes and established cardiovascular disease or multiple cardiovascular risk factors.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4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3"/>
          <w:szCs w:val="23"/>
          <w:color w:val="auto"/>
          <w:vertAlign w:val="superscript"/>
        </w:rPr>
        <w:t>®</w:t>
      </w:r>
      <w:r>
        <w:rPr>
          <w:rFonts w:ascii="Arial" w:cs="Arial" w:eastAsia="Arial" w:hAnsi="Arial"/>
          <w:sz w:val="18"/>
          <w:szCs w:val="18"/>
          <w:color w:val="auto"/>
        </w:rPr>
        <w:t>, for the first-line treatment, in combination with two other agents, of advanced non-small cell lung cancer (NSCLC) for</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non-squamous cell histology and no epidermal growth factor receptor or anaplastic lymphoma kinase genomic tumor aberrations; for the first-line treatment, in combination with another agent, of advanced non-squamous NSCLC;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88" w:lineRule="exact"/>
        <w:rPr>
          <w:rFonts w:ascii="Arial" w:cs="Arial" w:eastAsia="Arial" w:hAnsi="Arial"/>
          <w:sz w:val="18"/>
          <w:szCs w:val="18"/>
          <w:color w:val="auto"/>
        </w:rPr>
      </w:pPr>
    </w:p>
    <w:p>
      <w:pPr>
        <w:ind w:left="660" w:right="120" w:hanging="328"/>
        <w:spacing w:after="0" w:line="24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Cyramza</w:t>
      </w:r>
      <w:r>
        <w:rPr>
          <w:rFonts w:ascii="Arial" w:cs="Arial" w:eastAsia="Arial" w:hAnsi="Arial"/>
          <w:sz w:val="23"/>
          <w:szCs w:val="23"/>
          <w:color w:val="auto"/>
          <w:vertAlign w:val="superscript"/>
        </w:rPr>
        <w:t>®</w:t>
      </w:r>
      <w:r>
        <w:rPr>
          <w:rFonts w:ascii="Arial" w:cs="Arial" w:eastAsia="Arial" w:hAnsi="Arial"/>
          <w:sz w:val="18"/>
          <w:szCs w:val="18"/>
          <w:color w:val="auto"/>
        </w:rPr>
        <w:t>, for use as monotherapy or in combination with another agent as a second-line treatment of advanced or metastatic</w:t>
      </w:r>
      <w:r>
        <w:rPr>
          <w:rFonts w:ascii="Arial" w:cs="Arial" w:eastAsia="Arial" w:hAnsi="Arial"/>
          <w:sz w:val="18"/>
          <w:szCs w:val="18"/>
          <w:i w:val="1"/>
          <w:iCs w:val="1"/>
          <w:color w:val="auto"/>
        </w:rPr>
        <w:t xml:space="preserve"> </w:t>
      </w:r>
      <w:r>
        <w:rPr>
          <w:rFonts w:ascii="Arial" w:cs="Arial" w:eastAsia="Arial" w:hAnsi="Arial"/>
          <w:sz w:val="18"/>
          <w:szCs w:val="18"/>
          <w:color w:val="auto"/>
        </w:rPr>
        <w:t>gastric cancer or gastro-esophageal junction adenocarcinoma; in combination with another agent as a second-line treatment of metastatic NSCLC; in combination with another agent as a second-line treatment of metastatic colorectal cancer; as a monotherapy as a second-line treatment of hepatocellular carcinoma; and in combination with another agent as a first-line treatment of adult patients with metastatic NSCLC with activating epidermal growth factor receptor mutations.</w:t>
      </w:r>
    </w:p>
    <w:p>
      <w:pPr>
        <w:spacing w:after="0" w:line="91"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3"/>
          <w:szCs w:val="23"/>
          <w:color w:val="auto"/>
          <w:vertAlign w:val="superscript"/>
        </w:rPr>
        <w:t>®</w:t>
      </w:r>
      <w:r>
        <w:rPr>
          <w:rFonts w:ascii="Arial" w:cs="Arial" w:eastAsia="Arial" w:hAnsi="Arial"/>
          <w:sz w:val="18"/>
          <w:szCs w:val="18"/>
          <w:color w:val="auto"/>
        </w:rPr>
        <w:t>, indicated both as monotherapy and in combination with another agent for the treatment of certain types of colorectal</w:t>
      </w:r>
      <w:r>
        <w:rPr>
          <w:rFonts w:ascii="Arial" w:cs="Arial" w:eastAsia="Arial" w:hAnsi="Arial"/>
          <w:sz w:val="18"/>
          <w:szCs w:val="18"/>
          <w:i w:val="1"/>
          <w:iCs w:val="1"/>
          <w:color w:val="auto"/>
        </w:rPr>
        <w:t xml:space="preserve"> </w:t>
      </w:r>
      <w:r>
        <w:rPr>
          <w:rFonts w:ascii="Arial" w:cs="Arial" w:eastAsia="Arial" w:hAnsi="Arial"/>
          <w:sz w:val="18"/>
          <w:szCs w:val="18"/>
          <w:color w:val="auto"/>
        </w:rPr>
        <w:t>cancers; and as monotherapy, in combination with chemotherapy, or in combination with radiation therapy for the treatment of certain types of head and neck cancers.</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ind w:left="660" w:right="160" w:hanging="328"/>
        <w:spacing w:after="0" w:line="23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Retevmo</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metastatic NSCLC in adult patients; for the treatment of advanced metastatic medullary thyroid</w:t>
      </w:r>
      <w:r>
        <w:rPr>
          <w:rFonts w:ascii="Arial" w:cs="Arial" w:eastAsia="Arial" w:hAnsi="Arial"/>
          <w:sz w:val="18"/>
          <w:szCs w:val="18"/>
          <w:i w:val="1"/>
          <w:iCs w:val="1"/>
          <w:color w:val="auto"/>
        </w:rPr>
        <w:t xml:space="preserve"> </w:t>
      </w:r>
      <w:r>
        <w:rPr>
          <w:rFonts w:ascii="Arial" w:cs="Arial" w:eastAsia="Arial" w:hAnsi="Arial"/>
          <w:sz w:val="18"/>
          <w:szCs w:val="18"/>
          <w:color w:val="auto"/>
        </w:rPr>
        <w:t>cancer who require systemic therapy in adult and pediatric patients; and for the treatment of advanced metastatic thyroid cancer in adult and pediatric patients who require systemic therapy and are radioactive iodin-refractory.</w:t>
      </w:r>
    </w:p>
    <w:p>
      <w:pPr>
        <w:spacing w:after="0" w:line="91" w:lineRule="exact"/>
        <w:rPr>
          <w:rFonts w:ascii="Arial" w:cs="Arial" w:eastAsia="Arial" w:hAnsi="Arial"/>
          <w:sz w:val="18"/>
          <w:szCs w:val="18"/>
          <w:color w:val="auto"/>
        </w:rPr>
      </w:pPr>
    </w:p>
    <w:p>
      <w:pPr>
        <w:ind w:left="660" w:right="160" w:hanging="328"/>
        <w:spacing w:after="0" w:line="22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Tyvyt</w:t>
      </w:r>
      <w:r>
        <w:rPr>
          <w:rFonts w:ascii="Arial" w:cs="Arial" w:eastAsia="Arial" w:hAnsi="Arial"/>
          <w:sz w:val="23"/>
          <w:szCs w:val="23"/>
          <w:color w:val="auto"/>
          <w:vertAlign w:val="superscript"/>
        </w:rPr>
        <w:t>®</w:t>
      </w:r>
      <w:r>
        <w:rPr>
          <w:rFonts w:ascii="Arial" w:cs="Arial" w:eastAsia="Arial" w:hAnsi="Arial"/>
          <w:sz w:val="18"/>
          <w:szCs w:val="18"/>
          <w:color w:val="auto"/>
        </w:rPr>
        <w:t>, in collaboration with Innovent Biologics, Inc., for the treatment of relapsed or refractory classic Hodgkin's lymphoma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first-line treatment of non-squamous NSCLC in combination with Alimta and another agent in China.</w:t>
      </w:r>
    </w:p>
    <w:p>
      <w:pPr>
        <w:spacing w:after="0" w:line="90" w:lineRule="exact"/>
        <w:rPr>
          <w:rFonts w:ascii="Arial" w:cs="Arial" w:eastAsia="Arial" w:hAnsi="Arial"/>
          <w:sz w:val="18"/>
          <w:szCs w:val="18"/>
          <w:color w:val="auto"/>
        </w:rPr>
      </w:pPr>
    </w:p>
    <w:p>
      <w:pPr>
        <w:ind w:left="660" w:right="320" w:hanging="328"/>
        <w:spacing w:after="0" w:line="23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Verzenio</w:t>
      </w:r>
      <w:r>
        <w:rPr>
          <w:rFonts w:ascii="Arial" w:cs="Arial" w:eastAsia="Arial" w:hAnsi="Arial"/>
          <w:sz w:val="23"/>
          <w:szCs w:val="23"/>
          <w:color w:val="auto"/>
          <w:vertAlign w:val="superscript"/>
        </w:rPr>
        <w:t>®</w:t>
      </w:r>
      <w:r>
        <w:rPr>
          <w:rFonts w:ascii="Arial" w:cs="Arial" w:eastAsia="Arial" w:hAnsi="Arial"/>
          <w:sz w:val="18"/>
          <w:szCs w:val="18"/>
          <w:color w:val="auto"/>
        </w:rPr>
        <w:t>, for use as monotherapy or in combination with endocrine therapy for the treatment of HR+, HER2- metastatic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 and in combination with endocrine therapy for treatment of HR+, HER2-, node positive, early breast cancer at high risk of recurrence and a Ki-67 score at least 20%, as determined by a U.S. Food and Drug Administration (FDA) approved test.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20" w:hanging="328"/>
        <w:spacing w:after="0" w:line="22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Olumiant</w:t>
      </w:r>
      <w:r>
        <w:rPr>
          <w:rFonts w:ascii="Arial" w:cs="Arial" w:eastAsia="Arial" w:hAnsi="Arial"/>
          <w:sz w:val="23"/>
          <w:szCs w:val="23"/>
          <w:color w:val="auto"/>
          <w:vertAlign w:val="superscript"/>
        </w:rPr>
        <w:t>®</w:t>
      </w:r>
      <w:r>
        <w:rPr>
          <w:rFonts w:ascii="Arial" w:cs="Arial" w:eastAsia="Arial" w:hAnsi="Arial"/>
          <w:sz w:val="18"/>
          <w:szCs w:val="18"/>
          <w:color w:val="auto"/>
        </w:rPr>
        <w:t>, in collaboration with Incyte Corporation, for the treatment of adults with moderately-to-severely active rheumatoid arthritis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moderate to severe atopic dermatitis.</w:t>
      </w:r>
    </w:p>
    <w:p>
      <w:pPr>
        <w:spacing w:after="0" w:line="90" w:lineRule="exact"/>
        <w:rPr>
          <w:rFonts w:ascii="Arial" w:cs="Arial" w:eastAsia="Arial" w:hAnsi="Arial"/>
          <w:sz w:val="18"/>
          <w:szCs w:val="18"/>
          <w:color w:val="auto"/>
        </w:rPr>
      </w:pPr>
    </w:p>
    <w:p>
      <w:pPr>
        <w:ind w:left="660" w:right="58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Baricitinib </w:t>
      </w:r>
      <w:r>
        <w:rPr>
          <w:rFonts w:ascii="Arial" w:cs="Arial" w:eastAsia="Arial" w:hAnsi="Arial"/>
          <w:sz w:val="18"/>
          <w:szCs w:val="18"/>
          <w:color w:val="auto"/>
        </w:rPr>
        <w:t>was granted Emergency Use Authorization (EUA) in 2021 for the treatment of COVID-19 in hospitalized adults and</w:t>
      </w:r>
      <w:r>
        <w:rPr>
          <w:rFonts w:ascii="Arial" w:cs="Arial" w:eastAsia="Arial" w:hAnsi="Arial"/>
          <w:sz w:val="18"/>
          <w:szCs w:val="18"/>
          <w:i w:val="1"/>
          <w:iCs w:val="1"/>
          <w:color w:val="auto"/>
        </w:rPr>
        <w:t xml:space="preserve"> </w:t>
      </w:r>
      <w:r>
        <w:rPr>
          <w:rFonts w:ascii="Arial" w:cs="Arial" w:eastAsia="Arial" w:hAnsi="Arial"/>
          <w:sz w:val="18"/>
          <w:szCs w:val="18"/>
          <w:color w:val="auto"/>
        </w:rPr>
        <w:t>pediatric patients 2 years of age or older requiring supplemental oxygen, non-invasive or invasive mechanical ventilation, or extracorporeal membrane oxygenation.</w:t>
      </w:r>
    </w:p>
    <w:p>
      <w:pPr>
        <w:spacing w:after="0" w:line="67" w:lineRule="exact"/>
        <w:rPr>
          <w:rFonts w:ascii="Arial" w:cs="Arial" w:eastAsia="Arial" w:hAnsi="Arial"/>
          <w:sz w:val="18"/>
          <w:szCs w:val="18"/>
          <w:color w:val="auto"/>
        </w:rPr>
      </w:pPr>
    </w:p>
    <w:p>
      <w:pPr>
        <w:ind w:left="660" w:right="120" w:hanging="328"/>
        <w:spacing w:after="0" w:line="22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Taltz</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adults and pediatric patients aged 6 years or older with moderate-to-severe plaque psoriasis, adults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active psoriatic arthritis, adults with ankylosing spondylitis, and adults with active non-radiographic axial spondyloarthritis.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620" w:hanging="328"/>
        <w:spacing w:after="0" w:line="22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fibromyalgia, and chronic musculoskeletal pain due to chronic low back pain or chronic pain due to osteoarthritis.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Emgality</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for migraine prevention and the treatment of episodic cluster headache in adults.</w:t>
      </w:r>
    </w:p>
    <w:p>
      <w:pPr>
        <w:spacing w:after="0" w:line="59" w:lineRule="exact"/>
        <w:rPr>
          <w:rFonts w:ascii="Arial" w:cs="Arial" w:eastAsia="Arial" w:hAnsi="Arial"/>
          <w:sz w:val="18"/>
          <w:szCs w:val="18"/>
          <w:color w:val="auto"/>
        </w:rPr>
      </w:pPr>
    </w:p>
    <w:p>
      <w:pPr>
        <w:ind w:left="660" w:right="780" w:hanging="328"/>
        <w:spacing w:after="0" w:line="23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therapies</w:t>
      </w:r>
      <w:r>
        <w:rPr>
          <w:rFonts w:ascii="Arial" w:cs="Arial" w:eastAsia="Arial" w:hAnsi="Arial"/>
          <w:sz w:val="18"/>
          <w:szCs w:val="18"/>
          <w:color w:val="auto"/>
        </w:rPr>
        <w:t>, including:</w:t>
      </w:r>
    </w:p>
    <w:p>
      <w:pPr>
        <w:spacing w:after="0" w:line="121" w:lineRule="exact"/>
        <w:rPr>
          <w:sz w:val="20"/>
          <w:szCs w:val="20"/>
          <w:color w:val="auto"/>
        </w:rPr>
      </w:pPr>
    </w:p>
    <w:p>
      <w:pPr>
        <w:ind w:left="660" w:right="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Bamlanivimab </w:t>
      </w:r>
      <w:r>
        <w:rPr>
          <w:rFonts w:ascii="Arial" w:cs="Arial" w:eastAsia="Arial" w:hAnsi="Arial"/>
          <w:sz w:val="18"/>
          <w:szCs w:val="18"/>
          <w:color w:val="auto"/>
        </w:rPr>
        <w:t>and</w:t>
      </w:r>
      <w:r>
        <w:rPr>
          <w:rFonts w:ascii="Arial" w:cs="Arial" w:eastAsia="Arial" w:hAnsi="Arial"/>
          <w:sz w:val="18"/>
          <w:szCs w:val="18"/>
          <w:i w:val="1"/>
          <w:iCs w:val="1"/>
          <w:color w:val="auto"/>
        </w:rPr>
        <w:t xml:space="preserve"> etesevimab</w:t>
      </w:r>
      <w:r>
        <w:rPr>
          <w:rFonts w:ascii="Arial" w:cs="Arial" w:eastAsia="Arial" w:hAnsi="Arial"/>
          <w:sz w:val="18"/>
          <w:szCs w:val="18"/>
          <w:color w:val="auto"/>
        </w:rPr>
        <w:t>, administered together, for the treatment of mild-to-moderate COVID-19 in adults and pediatric</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from birth to 12 years old with positive results of direct SARS-CoV-2 viral testing and who are at high risk for progression to severe COVID-19, including hospitalization or death (EUA granted in 2021). In January 2022, the FDA revised the EUA for bamlanivimab and etesevimab administered together to limit their use to only when the patient is likely to have been infected with or exposed to a variant that is susceptible to this combination treatment.</w:t>
      </w:r>
    </w:p>
    <w:p>
      <w:pPr>
        <w:spacing w:after="0" w:line="75"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Bebtelovimab</w:t>
      </w:r>
      <w:r>
        <w:rPr>
          <w:rFonts w:ascii="Arial" w:cs="Arial" w:eastAsia="Arial" w:hAnsi="Arial"/>
          <w:sz w:val="18"/>
          <w:szCs w:val="18"/>
          <w:color w:val="auto"/>
        </w:rPr>
        <w:t>, for the treatment of mild-to-moderate COVID-19 in adults and pediatric patients (12 years of age and older and</w:t>
      </w:r>
      <w:r>
        <w:rPr>
          <w:rFonts w:ascii="Arial" w:cs="Arial" w:eastAsia="Arial" w:hAnsi="Arial"/>
          <w:sz w:val="18"/>
          <w:szCs w:val="18"/>
          <w:i w:val="1"/>
          <w:iCs w:val="1"/>
          <w:color w:val="auto"/>
        </w:rPr>
        <w:t xml:space="preserve"> </w:t>
      </w:r>
      <w:r>
        <w:rPr>
          <w:rFonts w:ascii="Arial" w:cs="Arial" w:eastAsia="Arial" w:hAnsi="Arial"/>
          <w:sz w:val="18"/>
          <w:szCs w:val="18"/>
          <w:color w:val="auto"/>
        </w:rPr>
        <w:t>weighing at least 40 kilograms) with positive results of direct SARS-CoV-2 viral testing, and who are at high risk for progression to severe COVID-19, including hospitalization or death, and for whom alternative COVID-19 treatment options approved or authorized by the FDA are not accessible or clinically appropriate (EUA granted in 2022).</w:t>
      </w:r>
    </w:p>
    <w:p>
      <w:pPr>
        <w:spacing w:after="0" w:line="71"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Cialis</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erectile dysfunction and benign prostatic hyperplasia.</w:t>
      </w:r>
    </w:p>
    <w:p>
      <w:pPr>
        <w:spacing w:after="0" w:line="59" w:lineRule="exact"/>
        <w:rPr>
          <w:rFonts w:ascii="Arial" w:cs="Arial" w:eastAsia="Arial" w:hAnsi="Arial"/>
          <w:sz w:val="18"/>
          <w:szCs w:val="18"/>
          <w:i w:val="1"/>
          <w:iCs w:val="1"/>
          <w:color w:val="auto"/>
        </w:rPr>
      </w:pPr>
    </w:p>
    <w:p>
      <w:pPr>
        <w:ind w:left="660" w:hanging="328"/>
        <w:spacing w:after="0" w:line="22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3"/>
          <w:szCs w:val="23"/>
          <w:color w:val="auto"/>
          <w:vertAlign w:val="superscript"/>
        </w:rPr>
        <w:t>®</w:t>
      </w:r>
      <w:r>
        <w:rPr>
          <w:rFonts w:ascii="Arial" w:cs="Arial" w:eastAsia="Arial" w:hAnsi="Arial"/>
          <w:sz w:val="18"/>
          <w:szCs w:val="18"/>
          <w:color w:val="auto"/>
        </w:rPr>
        <w:t>, 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 and comply with local regulations.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0"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promote our major products in the U.S. through sales representatives who engage with physicians and other health care professionals. We also educate healthcare providers about our products in various other ways, including promoting in online health care channels, distributing literature and samples of certain products to physicians, and exhibiting at medical meetings. In addition, we advertise certain products directly to consumers in the U.S., and we maintain websites and other media channels with information about our major products. We supplement our employee sales force with contract sales organizations to leverage our resources and reach additional patients in need.</w:t>
      </w:r>
    </w:p>
    <w:p>
      <w:pPr>
        <w:spacing w:after="0" w:line="9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group purchasing organizations, government and long-term care institutions, hospitals, and certain retail pharmacies. We enter into arrangements with these organizations providing for discounts or rebates on our products.</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U.S., most of our products are distributed through wholesalers that serve pharmacies, physicians and other health care professionals, and hospitals. In 2021, 2020, and 2019, three wholesale distributors in the U.S.—McKesson Corporation, AmerisourceBergen Corporation, and Cardinal Health, Inc.—each accounted for between 15 percent and 20 percent of our consolidated revenue. No other customer accounted for more than 10 percent of our consolidated revenue in any of these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the U.S.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Outside the U.S., we promote our products to healthcare providers primarily through sales representatives and other health care channels. While the products we market vary from country to country, diabetes products constitute the largest single group of our consolidated revenue. Distribution patterns for our products also vary from country to country. In most countries in which we operate, we maintain our own sales organizations, but in some smaller countries we market our products through third-party distributors, some of which we have engaged through distribution and promotion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Collaborations</w:t>
      </w:r>
    </w:p>
    <w:p>
      <w:pPr>
        <w:spacing w:after="0" w:line="139"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Certain of our products are marketed in arrangements with other pharmaceutical companies. For example, we and Boehringer Ingelheim have a global agreement to develop and commercialize a portfolio of diabetes products, including Trajenta, Jentadueto</w:t>
      </w:r>
      <w:r>
        <w:rPr>
          <w:rFonts w:ascii="Arial" w:cs="Arial" w:eastAsia="Arial" w:hAnsi="Arial"/>
          <w:sz w:val="23"/>
          <w:szCs w:val="23"/>
          <w:color w:val="auto"/>
          <w:vertAlign w:val="superscript"/>
        </w:rPr>
        <w:t>®</w:t>
      </w:r>
      <w:r>
        <w:rPr>
          <w:rFonts w:ascii="Arial" w:cs="Arial" w:eastAsia="Arial" w:hAnsi="Arial"/>
          <w:sz w:val="18"/>
          <w:szCs w:val="18"/>
          <w:color w:val="auto"/>
        </w:rPr>
        <w:t>, Jardiance, Glyxambi</w:t>
      </w:r>
      <w:r>
        <w:rPr>
          <w:rFonts w:ascii="Arial" w:cs="Arial" w:eastAsia="Arial" w:hAnsi="Arial"/>
          <w:sz w:val="23"/>
          <w:szCs w:val="23"/>
          <w:color w:val="auto"/>
          <w:vertAlign w:val="superscript"/>
        </w:rPr>
        <w:t>®</w:t>
      </w:r>
      <w:r>
        <w:rPr>
          <w:rFonts w:ascii="Arial" w:cs="Arial" w:eastAsia="Arial" w:hAnsi="Arial"/>
          <w:sz w:val="18"/>
          <w:szCs w:val="18"/>
          <w:color w:val="auto"/>
        </w:rPr>
        <w:t>, Synjardy</w:t>
      </w:r>
      <w:r>
        <w:rPr>
          <w:rFonts w:ascii="Arial" w:cs="Arial" w:eastAsia="Arial" w:hAnsi="Arial"/>
          <w:sz w:val="23"/>
          <w:szCs w:val="23"/>
          <w:color w:val="auto"/>
          <w:vertAlign w:val="superscript"/>
        </w:rPr>
        <w:t>®</w:t>
      </w:r>
      <w:r>
        <w:rPr>
          <w:rFonts w:ascii="Arial" w:cs="Arial" w:eastAsia="Arial" w:hAnsi="Arial"/>
          <w:sz w:val="18"/>
          <w:szCs w:val="18"/>
          <w:color w:val="auto"/>
        </w:rPr>
        <w:t>,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XR, and Basaglar.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Item 8, "Financial Statements and Supplementary Data - Note 4, Collaborations and Other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products compete globally with many other pharmaceutical products in highly competitive markets.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Important competitive factors include effectiveness, safety, and ease of use; formulary placement, price, and demonstrated cost-effectiveness; marketing effectiveness; and research and development of new products, processes, modalities, and uses. Most new products that we introduce must compete with other branded, biosimilar, or generic products already on the market or that are later developed by competitors. When competitors introduce new products or delivery systems with therapeutic or cost advantages, including by developing new modalities, our products become subject to decreased sales, progressive price reductions, or both.</w:t>
      </w:r>
    </w:p>
    <w:p>
      <w:pPr>
        <w:spacing w:after="0" w:line="9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believe our long-term competitive success depends on discovering and developing (either alone or in collaboration with others) or acquiring innovative, cost-effective products that provide improved outcomes for patients and deliver value to payers, and continuously improving the productivity of our operations in a highly competitive environment. There can be no assurance that our efforts will result in commercially successful products, and it is possible that our products will be, or will become, uncompetitive from time to time as a result of products developed by our competitors.</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Generic Pharmaceuticals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One of the biggest competitive challenges we face is from generic pharmaceuticals. In the U.S. and Europe, the regulatory approval process for pharmaceuticals (other than biological products (biologics)) exempts generics from costly and time-consuming clinical trials to demonstrate their safety and efficacy, allowing generic manufacturers to rely on the safety and efficacy of the innovator product. As a result, generic manufacturers generally invest far fewer resources than we do in research and development and can price their products significantly lower than our branded products. Accordingly, when a branded non-biologic pharmaceutical loses its market exclusivity, it normally faces intense price competition from generic forms of the product, which can cause us to lose a significant portion of the product's revenue in a very short period of time.</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Further,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many countries outside the U.S., intellectual property protection is weak, and we must compete with generic or counterfeit versions of our products relatively shortly after launch.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number of our products and potential new medicines in our clinical-stage pipeline are biologics. In the U.S., the FDA regulates biologics under the Federal Food, Drug and Cosmetic Act, the Public Health Service Act, and implementing regulations. Competition for Lilly's biologics may be affected by the approval of follow-on biologics, also known as biosimilars. A biosimilar is a subsequent version of an approved innovator biologic that, due to its analytical and clinical similarity to the innovator biologic, may be approved based on an abbreviated data package that relies in part on the full testing required of the innovator biologic. Approval by the FDA ultimately depends on many factors, including a showing that the biosimilar is "highly similar" to the original product and has no clinically meaningful differences from the original product in terms of safety, purity, and potency.</w:t>
      </w:r>
    </w:p>
    <w:p>
      <w:pPr>
        <w:spacing w:after="0" w:line="9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Globally, most governments have developed abbreviated regulatory pathways to approve biosimilars as follow-ons to innovator-developed biologics, including the Biologics Price Competition and Innovation Act of 2009 (the BPCIA) in the U.S. A number of biosimilars have been licensed under the BPCIA and in Europe. The patent and regulatory exclusivity for the existing innovator biologic generally must expire in a given market before biosimilars may enter that market. However, in the U.S., the product exclusivity period under the BPCIA could be affected by recent government proposals and litigation. See "- Patents, Trademarks, and Other Intellectual Property Rights." In addition, the extent to which a biosimilar, once approved, will be substituted for the innovator biologic in a way that is similar to traditional generic substitution for non-biologic products is not yet entirely clear, and will depend on a number of regulatory and marketplace factors that are still developing. In the U.S., currently only a biosimilar product that is determined to be "interchangeable" by the FDA will be considered substitutable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FDA has begun to issue "interchangeable" designations for biosimilar products.</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Biosimilars may present both competitive challenges and opportunities. For example, a competitor company has developed a version of insulin lispro that competes with our product Humalog. On the other hand, in collaboration with Boehringer Ingelheim, we developed Basaglar, an insulin glargine product, which has the same amino acid sequence as a product currently marketed by a competitor and has launched as a follow-on biologic in the U.S., and as a biosimilar in Europe and Japan. However, in March 2020, the FDA began regulating all of our insulin products as "biologics" rather than "drugs." Based on FDA draft guidance, this change may lessen the amount of data required for competitor biosimilar products to enter the market, some of which could be designated as interchangeable and therefore substituted for our insulin products at U.S. pharmacies. For example, in June 2020, the FDA approved a New Drug Application (NDA) for Semglee, a follow-on insulin glargine product that competes with Basaglar in the U.S., and, in July 2021, Semglee received additional FDA approval as a biosimilar that is interchangeable to its reference insulin glargine product. The FDA's interpretation of important aspects of the laws regulating biosimilars continues to evolve and, therefore, the impact of these laws on our business remains subject to substantial uncertainty.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 Private Sector Dynamics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U.S. private sector, consolidation and integration among healthcare providers significantly affects the competitive marketplace for pharmaceuticals. Health plans, managed care organizations, pharmacy benefit managers, wholesalers, and other supply chain stakeholders have been consolidating into fewer, larger entities, thus enhancing their purchasing strength and importance. Private third-party insurers, as well as governments, typically maintain formularies that specify coverage (the conditions under which drugs are included on a plan's formulary) and reimbursement (the associated out-of-pocket cost to the consumer) to control costs by negotiating discounted prices in exchange for formulary inclusion.</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face increased pressure in pricing and usage negotiation, and compete fiercely for formulary placement, not only on the basis of product attributes such as efficacy, safety profile, or patient ease of use, but also by providing rebates. As payers and pharmaceutical companies continue to negotiate formulary placement and pricing, value-based agreements, where pricing is based on achievement (or not) of specified outcomes, are another tool that may become increasingly prevalent. Price is an increasingly important factor in formulary decisions, particularly in treatment areas in which the payer has taken the position that multiple branded products are therapeutically comparable. We expect these downward pricing pressures will continue to negatively affect our consolidated results of operations. In addition to formulary placement, changes in insurance designs continue to drive greater consumer cost-sharing through high deductible plans and higher co-insurance or co-pays. For additional information on pricing and reimbursement for our pharmaceutical products, see "- Regulations and Private Payer Actions Affecting Pharmaceutical Pricing, Reimbursement, and Access -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 In addition, as discussed below, for some products we have effective intellectual property protection in the form of data protection under pharmaceutical regulatory laws.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patent protection anticipated to be of most relevance to pharmaceuticals is provided by national patents claiming the active ingredient (the compound patent), particularly those in major markets such as the U.S., major European countries, and Japan. These patents may be issued based upon the filing of international patent applications, usually filed under the Patent Cooperation Treaty (PCT). Patent applications covering compounds are generally filed during the Discovery Phase of the drug discovery process, which is described in the "Research and Development" section below.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99" w:lineRule="exact"/>
        <w:rPr>
          <w:sz w:val="20"/>
          <w:szCs w:val="20"/>
          <w:color w:val="auto"/>
        </w:rPr>
      </w:pPr>
    </w:p>
    <w:p>
      <w:pPr>
        <w:ind w:left="660" w:right="3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grant is delayed during examination by the United States Patent and Trademark Office (USPTO).</w:t>
      </w:r>
    </w:p>
    <w:p>
      <w:pPr>
        <w:spacing w:after="0" w:line="89" w:lineRule="exact"/>
        <w:rPr>
          <w:rFonts w:ascii="Arial" w:cs="Arial" w:eastAsia="Arial" w:hAnsi="Arial"/>
          <w:sz w:val="18"/>
          <w:szCs w:val="18"/>
          <w:color w:val="auto"/>
        </w:rPr>
      </w:pPr>
    </w:p>
    <w:p>
      <w:pPr>
        <w:ind w:left="660" w:right="80" w:hanging="328"/>
        <w:spacing w:after="0" w:line="25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 holders that claim inventions subject to review by the FDA. To make up for a portion of the time invested in clinical trials and the FDA review process, a single patent for a pharmaceutical product may be eligible for patent term restoration. Patent term restoration is limited by a formula and cannot be calculated until product approval due to uncertainty about the duration of clinical trials and the time it takes the FDA to review an application. There is a five-year cap on any restoration, and no patent's expiration date may be extended beyond 14 years from FDA approval. Some countries outside the U.S. similarly offer forms of patent term restoration for patents claiming inventions subject to a local review by a regulatory agency. For example, Supplementary Protection Certificates are available to extend the life of a European patent up to an additional five years (subject to a 15-year cap from European Medicines Agency (EMA) approval). Also, in Japan, South Korea, and Australia, patent terms can be extended up to five years, depending on the length of regulatory review and other factors.</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9" w:name="page10"/>
    <w:bookmarkEnd w:id="9"/>
    <w:p>
      <w:pPr>
        <w:ind w:right="40"/>
        <w:spacing w:after="0" w:line="252" w:lineRule="auto"/>
        <w:rPr>
          <w:sz w:val="20"/>
          <w:szCs w:val="20"/>
          <w:color w:val="auto"/>
        </w:rPr>
      </w:pPr>
      <w:r>
        <w:rPr>
          <w:rFonts w:ascii="Arial" w:cs="Arial" w:eastAsia="Arial" w:hAnsi="Arial"/>
          <w:sz w:val="18"/>
          <w:szCs w:val="18"/>
          <w:color w:val="auto"/>
        </w:rPr>
        <w:t>Loss of effective patent protection for pharmaceuticals, especially for non-biologic products, typically results in the loss of effective market exclusivity for the product, which often results in severe and rapid decline in revenues for the product. However, in some cases the innovator company may retain exclusivity despite approval of the generic, biosimilar, or other follow-on versions of a new medicine beyond the expiration of the compound patent through manufacturing trade secrets, later-expiring patents on manufacturing processes, methods of use or formulations, or data protection that may be available under pharmaceutical regulatory laws. Changes to the laws and regulations governing these protections could result in earlier loss of effective market exclusivity. The primary forms of data protection are as follows:</w:t>
      </w:r>
    </w:p>
    <w:p>
      <w:pPr>
        <w:spacing w:after="0" w:line="100" w:lineRule="exact"/>
        <w:rPr>
          <w:sz w:val="20"/>
          <w:szCs w:val="20"/>
          <w:color w:val="auto"/>
        </w:rPr>
      </w:pPr>
    </w:p>
    <w:p>
      <w:pPr>
        <w:ind w:left="660" w:hanging="328"/>
        <w:spacing w:after="0" w:line="25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in reliance on the innovator company's regulatory submission data for the drug. The base period of data package protection depends on the country. For example, the period is generally five years in the U.S. (12 years for new biologics as described below), effectively 10 years in Europe, and eight years in Japan. The period begins on the date of product approval and runs concurrently with the patent term for any relevant patent.</w:t>
      </w:r>
    </w:p>
    <w:p>
      <w:pPr>
        <w:spacing w:after="0" w:line="99" w:lineRule="exact"/>
        <w:rPr>
          <w:rFonts w:ascii="Arial" w:cs="Arial" w:eastAsia="Arial" w:hAnsi="Arial"/>
          <w:sz w:val="18"/>
          <w:szCs w:val="18"/>
          <w:color w:val="auto"/>
        </w:rPr>
      </w:pPr>
    </w:p>
    <w:p>
      <w:pPr>
        <w:ind w:left="660" w:right="140" w:hanging="328"/>
        <w:spacing w:after="0" w:line="273"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Under the BPCIA, the FDA has the authority to approve biosimilars. A competitor seeking approval of a biosimilar must file an application to show its molecule is highly similar to an approved innovator biologic and include a certain amount of safety and efficacy data that the FDA will consider on a case-by-case basis. Under the data protection provisions of this law, the FDA cannot approve a biosimilar application until 12 years after initial marketing approval of the innovator biologic, subject to certain conditions.</w:t>
      </w:r>
    </w:p>
    <w:p>
      <w:pPr>
        <w:spacing w:after="0" w:line="82" w:lineRule="exact"/>
        <w:rPr>
          <w:rFonts w:ascii="Arial" w:cs="Arial" w:eastAsia="Arial" w:hAnsi="Arial"/>
          <w:sz w:val="17"/>
          <w:szCs w:val="17"/>
          <w:color w:val="auto"/>
        </w:rPr>
      </w:pPr>
    </w:p>
    <w:p>
      <w:pPr>
        <w:ind w:left="660" w:hanging="328"/>
        <w:spacing w:after="0" w:line="25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or adolescent populations within a specified time period. If granted, this "pediatric exclusivity" provides an additional six months of exclusivity, which is added to the term of data protection and, for products other than biologics, to the term of any relevant patents, to the extent these protections have not already expired. While the term of the pediatric exclusivity attaches to the term of any relevant patent, pediatric exclusivity is a regulatory exclusivity—i.e., a bar to generic or biosimilar approval, not a patent right.</w:t>
      </w:r>
    </w:p>
    <w:p>
      <w:pPr>
        <w:spacing w:after="0" w:line="99" w:lineRule="exact"/>
        <w:rPr>
          <w:rFonts w:ascii="Arial" w:cs="Arial" w:eastAsia="Arial" w:hAnsi="Arial"/>
          <w:sz w:val="18"/>
          <w:szCs w:val="18"/>
          <w:color w:val="auto"/>
        </w:rPr>
      </w:pPr>
    </w:p>
    <w:p>
      <w:pPr>
        <w:ind w:left="660" w:right="100" w:hanging="328"/>
        <w:spacing w:after="0" w:line="25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10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Outside the major markets, the adequacy and effectiveness of intellectual property protection for pharmaceuticals varies widely, and in a number of these markets we are unable to patent our products or to enforce the patents we receive for our products. Under the Trade-Related Aspects of Intellectual Property Agreement (TRIPs) administered by the World Trade Organization, more than 140 countries have agreed to provide non-discriminatory protection for most pharmaceutical inventions and to assure that adequate and effective rights are available to patent owners. Certain developing countries limit protection for biopharmaceutical products under their interpretation of "flexibilities" allowed under the agreement. Thus, some types of patents, such as those on new uses of compounds or new forms of molecules, are not available in certain developing countries. Further, many developing countries, and some developed countries, do not provide effective data package protection even though it is specified in TRIPs.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3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consider intellectual property protection for certain products, processes, uses, and formulations—particularly with respect to those products discussed below—to be important to our operations. In addition to the patents and data protection identified below, we may hold patents on manufacturing processes, formulations, devices, or uses that extend exclusivity beyond the dates shown below. For approved products, dates include, where applicable, pending or granted patent term extensions.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8" w:right="379" w:bottom="1440" w:gutter="0" w:footer="0" w:header="0"/>
        </w:sectPr>
      </w:pPr>
    </w:p>
    <w:bookmarkStart w:id="10" w:name="page11"/>
    <w:bookmarkEnd w:id="10"/>
    <w:p>
      <w:pPr>
        <w:ind w:right="180"/>
        <w:spacing w:after="0" w:line="261" w:lineRule="auto"/>
        <w:rPr>
          <w:sz w:val="20"/>
          <w:szCs w:val="20"/>
          <w:color w:val="auto"/>
        </w:rPr>
      </w:pPr>
      <w:r>
        <w:rPr>
          <w:rFonts w:ascii="Arial" w:cs="Arial" w:eastAsia="Arial" w:hAnsi="Arial"/>
          <w:sz w:val="18"/>
          <w:szCs w:val="18"/>
          <w:color w:val="auto"/>
        </w:rPr>
        <w:t>The most relevant U.S. patent protection or data protection and associated expiry dates for our major or recently launched patent-protected marketed products are as follows:</w:t>
      </w:r>
    </w:p>
    <w:p>
      <w:pPr>
        <w:spacing w:after="0" w:line="90" w:lineRule="exact"/>
        <w:rPr>
          <w:sz w:val="20"/>
          <w:szCs w:val="20"/>
          <w:color w:val="auto"/>
        </w:rPr>
      </w:pPr>
    </w:p>
    <w:p>
      <w:pPr>
        <w:ind w:left="660" w:right="84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Alimta is protected by pediatric exclusivity (2022). See Item 8, "Financial Statements and Supplementary Data - Note 16, Contingencies," for information regarding our settlement agreement with Eagle Pharmaceuticals, Inc. and its impact on our exclusivity for Alimta.</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Baqsimi</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protected by data protection (2022).</w:t>
      </w:r>
    </w:p>
    <w:p>
      <w:pPr>
        <w:spacing w:after="0" w:line="81" w:lineRule="exact"/>
        <w:rPr>
          <w:rFonts w:ascii="Arial" w:cs="Arial" w:eastAsia="Arial" w:hAnsi="Arial"/>
          <w:sz w:val="18"/>
          <w:szCs w:val="18"/>
          <w:i w:val="1"/>
          <w:i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Cyramza is protected by a compound patent and biologics data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Emgality is protected by a compound patent (2033) and biologics data protection (2030).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Jardiance, and the related combination product Glyxambi, is protected by a compound patent (2028).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Olumiant is protected by a compound patent (2032).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Retevmo is protected by a compound patent (2037) and by data protection (2025).</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Reyvow</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protected by a compound patent (2030).</w:t>
      </w:r>
    </w:p>
    <w:p>
      <w:pPr>
        <w:spacing w:after="0" w:line="81" w:lineRule="exact"/>
        <w:rPr>
          <w:rFonts w:ascii="Arial" w:cs="Arial" w:eastAsia="Arial" w:hAnsi="Arial"/>
          <w:sz w:val="18"/>
          <w:szCs w:val="18"/>
          <w:i w:val="1"/>
          <w:iCs w:val="1"/>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Taltz is protected by a compound patent (2030) and by biologics data protection (2028).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Trulicity is protected by a compound patent (2027) and by biologics data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Verzenio is protected by a compound patent (2031) and by data protection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Baqsimi is protected by data protection in Japan (2026).</w:t>
      </w:r>
    </w:p>
    <w:p>
      <w:pPr>
        <w:spacing w:after="0" w:line="11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Cyramza is protected by a compound patent (2028) and by data protection (2024) in major European countries, and by a compound patent (2026) and by data protection (2023) in Japan.</w:t>
      </w:r>
    </w:p>
    <w:p>
      <w:pPr>
        <w:spacing w:after="0" w:line="8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Emgality is protected by a compound patent (2033) and by data protection (2028) in major European countries, and by a compound patent (2035) and by data protection (2029) in Japan.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Jardiance is protected by a compound patent in major European countries (2029) and Japan (2030).</w:t>
      </w:r>
    </w:p>
    <w:p>
      <w:pPr>
        <w:spacing w:after="0" w:line="11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Olumiant is protected by a compound patent (2032) and by data protection (2027) in major European countries, and by a compound patent (2033) and by data protection (2025) in Japan.</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Retevmo is protected by a compound patent (2037) and by data protection (2031) in major European countries, and by a compound patent (2038) and by data protection (2029) in Japan.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Reyvow is protected by a compound patent (2026) and by data protection (2032) in Japan.</w:t>
      </w:r>
    </w:p>
    <w:p>
      <w:pPr>
        <w:spacing w:after="0" w:line="117"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Taltz is protected by a compound patent (2031) and data protection (2027) in major European countries and a compound patent (2030) and data protection (2024) in Japan.</w:t>
      </w:r>
    </w:p>
    <w:p>
      <w:pPr>
        <w:spacing w:after="0" w:line="89"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Trulicity is protected by a compound patent (2029) and by data protection (2024) in major European countries and by a compound patent (2029) and by data protection (2023) in Japan.</w:t>
      </w:r>
    </w:p>
    <w:p>
      <w:pPr>
        <w:spacing w:after="0" w:line="8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Verzenio is protected by a compound patent (2033) and data protection (2028) in major European countries and by a compound patent (2034) and data protection (2026) in Japan.</w:t>
      </w:r>
    </w:p>
    <w:p>
      <w:pPr>
        <w:spacing w:after="0" w:line="9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product candidates are currently under regulatory review. Upon approval, we expect relevant compound patent and data protections to apply:</w:t>
      </w:r>
    </w:p>
    <w:p>
      <w:pPr>
        <w:spacing w:after="0" w:line="9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commenced a rolling submission in the U.S. for donanemab for the treatment of Alzheimer's disease.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commenced a rolling submission in the U.S. for pirtobrutinib (LOXO-305) for the treatment of mantle cell lymphoma.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Reyvow has been submitted for regulatory review in certain major European countries for the acute treatment of migraine.</w:t>
      </w:r>
    </w:p>
    <w:p>
      <w:pPr>
        <w:spacing w:after="0" w:line="11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Tirzepatide has been submitted for regulatory review in the U.S., in Japan, and in certain major European countries as an adjunct to diet and exercise to improve glycemic control in adults with type 2 diabetes.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1" w:name="page12"/>
    <w:bookmarkEnd w:id="11"/>
    <w:p>
      <w:pPr>
        <w:ind w:right="260"/>
        <w:spacing w:after="0" w:line="253" w:lineRule="auto"/>
        <w:rPr>
          <w:sz w:val="20"/>
          <w:szCs w:val="20"/>
          <w:color w:val="auto"/>
        </w:rPr>
      </w:pPr>
      <w:r>
        <w:rPr>
          <w:rFonts w:ascii="Arial" w:cs="Arial" w:eastAsia="Arial" w:hAnsi="Arial"/>
          <w:sz w:val="18"/>
          <w:szCs w:val="18"/>
          <w:color w:val="auto"/>
        </w:rPr>
        <w:t>Worldwide, we sell all of our major products under trademarks consisting of our product names, logos, and unique product appearances (e.g., the appearance of our Trulicity autoinjector) which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 Trademark protection typically extends beyond the patent and data protection for a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 and Collaborations</w:t>
      </w:r>
    </w:p>
    <w:p>
      <w:pPr>
        <w:spacing w:after="0" w:line="13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Most of our major products are not subject to significant license and collaboration agreements. For information on our license and collaboration agreements, see Item 8, "Financial Statements and Supplementary Data - Note 4, Collaborations and Other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pharmaceuticals (other than biologics, which are discussed below in more detail) when the generic manufacturer has not conducted safety and efficacy studies but files an Abbreviated New Drug Application (ANDA). In an ANDA, the generic manufacturer must demonstrate only "pharmaceutical equivalence" and "bioequivalence" between the generic version and the NDA-approved drug—not safety and efficacy. Establishing pharmaceutical equivalence and bioequivalence is generally straightforward and inexpensive for the generic company.</w:t>
      </w:r>
    </w:p>
    <w:p>
      <w:pPr>
        <w:spacing w:after="0" w:line="10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Absent a patent challenge, the FDA cannot approve an ANDA until after certain of the innovator's patents expire. However, after the innovator has marketed its product for four years, a generic manufacturer may file an ANDA alleging that one or more or all of the patents listed in the innovator's NDA are invalid or not infringed. This allegation is commonly known as a "Paragraph IV certification." If the innovator responds by filing suit against the generic manufacturer, the FDA is then prohibited from approving the generic company's application for a</w:t>
      </w:r>
    </w:p>
    <w:p>
      <w:pPr>
        <w:spacing w:after="0" w:line="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30-month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Generic manufacturers use Paragraph IV certifications extensively to challenge patents on innovative pharmaceuticals. In addition, generic companies have shown willingness to launch "at risk," i.e., after receiving ANDA approval but before final resolution of their patent challenge.</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BPCIA, the FDA cannot approve an application for a biosimilar product until data protection expires, 12 years after initial marketing approval of the innovator biologic, and an application may not be submitted until four years following the date the innovator biologic was first approved. However, the BPCIA does provide a mechanism for a competitor to challenge the validity of an innovator's patents as early as four years after initial marketing approval of the innovator biologic.</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patent litigation scheme under the BPCIA, and the BPCIA itself, is complex and continues to be interpreted and implemented by the FDA as well as courts. Courts have held that biosimilar applicants are not required to engage in the BPCIA patent litigation scheme and patent holders retain the right to bring suit under normal patent law procedures if a biosimilar applicant attempts to commercialize a product prior to patent expiration. Further, in the U.S., the increased likelihood of generic and biosimilar challenges to innovators' intellectual property has increased the risk of loss of innovators' market exclusivity. See also "- Competition - Biosimilars." In addition, there is a procedure in U.S. patent law, known as inter partes review (IPR), which allows any member of the public to file a petition with the USPTO seeking the review of any issued U.S. patent for validity. IPRs are conducted before Administrative Patent Judges in the USPTO using a lower standard of proof than used in federal district court. In addition, the challenged patents are not accorded the presumption of validity as they are in federal district court. Generic drug companies and even some investment firms have engaged in the IPR process in attempts to invalidate our patents. The use of IPR proceedings after the institution of litigation pursuant to the BPCIA or Hatch-Waxman Act is currently a topic of debate among legislators. We expect additional changes to the Patent Trial and Appeal Board (PTAB), including potentially to the policy to discretionarily deny an otherwise meritorious petition for IPR in light of a concurrent district court proceeding. See "Risk Factors—Risks Related to Our Business—Our long-term success depends on intellectual property protection; if our intellectual property rights are invalidated, circumvented, or weakened, our business will be adversely affected."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2" w:name="page13"/>
    <w:bookmarkEnd w:id="12"/>
    <w:p>
      <w:pPr>
        <w:ind w:right="420"/>
        <w:spacing w:after="0" w:line="261"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w:t>
      </w:r>
    </w:p>
    <w:p>
      <w:pPr>
        <w:spacing w:after="0" w:line="9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For more information on administrative challenges and litigation involving our intellectual property rights, see Item 8, "Financial Statements and Supplementary Data - Note 16, Contingencies."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of Our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regulated extensively by numerous national, state, and local agencies.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Products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lengthy process of laboratory and clinical testing, data analysis, manufacturing development, and regulatory review necessary for governmental approvals of our products is extremely costly and can significantly delay product introductions and revenue generation. In addition, our operations are subject to complex federal, state, local, and foreign laws and regulations concerning relationships with healthcare providers and suppliers, the environment, occupational health and safety, data privacy, and other matters. Evolving regulatory priorities have intensified governmental scrutiny of our operations, including with respect to current Good Manufacturing Practices (cGMP), quality assurance, and similar regulations. Compliance with the laws and regulations affecting the manufacture and sale of current products and the discovery, development, and introduction of new products will continue to require substantial effort, expense, and capital investment.</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Of particular importance to our business is regulation by the FDA in the U.S. Pursuant to laws and regulations that include the Federal Food, Drug, and Cosmetic Act, the FDA has jurisdiction over all of our products and devices in the U.S. and administers requirements covering the testing, safety, effectiveness, manufacturing, quality control, distribution, labeling, marketing, promotion, advertising, dissemination of information, and post-marketing surveillance of those products.</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Following approval, our products remain subject to regulation by various agencies in connection with labeling, import, export, storage, recordkeeping, advertising, promotion, and safety reporting. We conduct extensive post-marketing surveillance of the safety of the products we sell. The FDA may withdraw approval if compliance with regulatory requirements and standards is not maintained or if problems occur after a product reaches the market. 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FDA extensively regulates all aspects of manufacturing quality for pharmaceuticals under its cGMP regulations. Outside the U.S., our products and operations are subject to similar regulatory requirements, notably by the EMA in Europe, the Ministry of Health, Labor and Welfare in Japan, and the National Medical Products Administration in China. Specific regulatory requirements vary from country to country. Regulatory requirements and approval processes outside the U.S. may differ from those in the U.S. and may involve additional costs, uncertainties, and risks.</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make substantial investments of capital and operating expenses to implement comprehensive, company-wide quality systems and controls in our manufacturing, product development, and process development operations in an effort to maintain sustained compliance with cGMP and similar regulations. However, in the event we fail to adhere to these requirements, we become subject to potential government investigations, regulatory and legal actions, product recalls and seizures, fines and penalties, interruption of production leading to product shortages, import bans or denials of import certifications, delays or denials in new product approvals, and reputational harm, any of which would adversely affect our business. Certain of our products are manufactured by third parties, and their failure to comply with these regulations could adversely affect us, including through failure to supply product to us or delays in new product approvals. Any determination by the FDA or other regulatory authorities of manufacturing or other deficiencies could adversely affect our business.</w:t>
      </w:r>
    </w:p>
    <w:p>
      <w:pPr>
        <w:spacing w:after="0" w:line="9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are also subject to a variety of federal, state, local, and foreign environmental, health and safety, and other laws and regulations that may affect our research, development or production efforts.</w:t>
      </w:r>
    </w:p>
    <w:p>
      <w:pPr>
        <w:spacing w:after="0" w:line="200" w:lineRule="exact"/>
        <w:rPr>
          <w:sz w:val="20"/>
          <w:szCs w:val="20"/>
          <w:color w:val="auto"/>
        </w:rPr>
      </w:pPr>
    </w:p>
    <w:p>
      <w:pPr>
        <w:spacing w:after="0" w:line="32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i w:val="1"/>
          <w:i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Emergency Use Authorizations</w:t>
      </w:r>
    </w:p>
    <w:p>
      <w:pPr>
        <w:spacing w:after="0" w:line="13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Secretary of Health and Human Services may authorize unapproved medical products to be manufactured, marketed, and sold in the context of an actual or potential emergency that has been designated by the government. After an emergency has been announced, the Secretary of Health and Human Services may authorize EUAs for the use of specific products based on criteria established by statute, including that the product at issue may be effective in diagnosing, treating, or preventing serious or life-threatening diseases when there are no adequate, approved, and available alternatives. An EUA is subject to additional conditions and restrictions, such as the obligation to provide fact sheets for healthcare providers administering the product and those to whom it is administered, adverse event monitoring and reporting, and recordkeeping and reporting requirements by product manufacturers. The FDA may also establish additional discretionary conditions of authorization that the FDA deems necessary or appropriate to protect the public health, including conditions related to product distribution, product administration and data collection and analysis concerning the safety and effectiveness of the product. In issuing an EUA, the FDA considers the totality of available scientific evidence regarding quality, safety and efficacy, including the known and potential risks of such products and the adequacy and availability of approved alternatives, among other factors. An EUA is not a substitute for obtaining FDA approval, licensure, or clearance for use of a product. An EUA terminates when the emergency determination underlying the EUA terminates, and EUAs can be revoked under other circumstances, the timing of which may occur unexpectedly or be difficult to predict.</w:t>
      </w:r>
    </w:p>
    <w:p>
      <w:pPr>
        <w:spacing w:after="0" w:line="10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Outside the U.S., the emergency use of medical products is subject to regulatory processes and requirements that differ from those in the U.S.</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COVID-19 pandemic has been designated as a national emergency in the U.S. On the basis of such determination, the Secretary of Health and Human Services declared that circumstances exist justifying the authorization of emergency use of drugs and biologics during the COVID-19 pandemic. The FDA has granted EUAs for bamlanivimab and etesevimab administered together, baricitinib, and bebtelovimab, and similar actions have been taken by other regulators in certain jurisdictions outside the U.S. However, the FDA has revised, and may in the future revise, any EUA for our COVID-19 antibodies in response to the prevalence of variants against which our antibodies have varying degrees of efficacy. For example, in January 2022, the FDA revised the EUA for bamlanivimab and etesevimab administered together to limit their use to only when the patient is likely to have been infected with or exposed to a variant that is susceptible to this combination treatment.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various other U.S. federal and state laws, as well as analogous foreign laws and regulations, including the federal anti-kickback statute, the False Claims Act, and state laws governing kickbacks, false claims, unfair trade practices, and consumer protection. These laws are administered by, among others, the Department of Justice, the Office of Inspector General of the Department of Health and Human Services, the Federal Trade Commission, the Office of Personnel Management, and state attorneys general. Over the past several years, state, federal, and foreign governments, agencies, and other regulatory bodies have increased their oversight, enforcement activities, and coordination with respect to pharmaceutical companies, which has resulted in intensified scrutiny, corporate criminal sanctions, and substantial civil settlements in the pharmaceutical industry.</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December 2020, the Office of Inspector General of the U.S. Department of Health and Human Services and the Centers for Medicare &amp; Medicaid Services (CMS) issued final rules expanding and modifying existing, and adding new, regulatory "safe harbors" and exceptions, respectively, under the anti-kickback statute and the Ethics in Patient Referrals Act. We are currently evaluating the impact, if any, these regulatory amendments will have upon becoming effective on our consolidated results of operations, liquidity, and financial position, which is uncertain at this time.</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outside the U.S., our business is heavily regulated and therefore involves significant interaction with foreign officials. Additionally, in many countries outside the U.S., healthcare providers who prescribe pharmaceuticals are employed by the government and purchasers of pharmaceuticals are government entities; therefore, our interactions with these prescribers and purchasers are subject to regulation under the FCPA.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4" w:name="page15"/>
    <w:bookmarkEnd w:id="14"/>
    <w:p>
      <w:pPr>
        <w:ind w:right="160"/>
        <w:spacing w:after="0" w:line="254"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have enhanced their laws and regulations in this area, increased their enforcement activities, and/or increased the level of cross-border coordination and information sharing.</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and could in the future become subject to administrative and legal proceedings and actions, which could include claims for civil penalties (including treble damages under the False Claims Act), criminal sanctions, and administrative remedies, including exclusion from U.S. federal and other health care programs. It is possible that an adverse outcome in future actions could have a material adverse impact on our consolidated results of operations, liquidity, and financial position.</w:t>
      </w:r>
    </w:p>
    <w:p>
      <w:pPr>
        <w:spacing w:after="0" w:line="9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are also subject to a variety of federal, state, local, and foreign environmental, health and safety, and other laws and regulations that may affect our research, development or production efforts.</w:t>
      </w:r>
    </w:p>
    <w:p>
      <w:pPr>
        <w:spacing w:after="0" w:line="122" w:lineRule="exact"/>
        <w:rPr>
          <w:sz w:val="20"/>
          <w:szCs w:val="20"/>
          <w:color w:val="auto"/>
        </w:rPr>
      </w:pPr>
    </w:p>
    <w:p>
      <w:pPr>
        <w:ind w:right="2500"/>
        <w:spacing w:after="0" w:line="388" w:lineRule="auto"/>
        <w:rPr>
          <w:sz w:val="20"/>
          <w:szCs w:val="20"/>
          <w:color w:val="auto"/>
        </w:rPr>
      </w:pPr>
      <w:r>
        <w:rPr>
          <w:rFonts w:ascii="Arial" w:cs="Arial" w:eastAsia="Arial" w:hAnsi="Arial"/>
          <w:sz w:val="18"/>
          <w:szCs w:val="18"/>
          <w:b w:val="1"/>
          <w:bCs w:val="1"/>
          <w:color w:val="auto"/>
        </w:rPr>
        <w:t>Regulations and Private Payer Actions Affecting Pharmaceutical Pricing, Reimbursement, and Access U.S.</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There continues to be considerable public and government scrutiny of pharmaceutical pricing, and measures to address the perceived high cost of pharmaceuticals are being considered at various levels of state and federal government. In addition, U.S. government action to reduce federal spending on entitlement programs, including Medicare and Medicaid, may affect payment for our products or services associated with the provision of our products. 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Restrictive or unfavorable pricing, coverage, or reimbursement determinations for our medicines or product candidates by governments, regulatory agencies, or private payers could also adversely impact our business and financial results. For example, in January 2022, the CMS proposed a national coverage determination (NCD) decision memorandum stating that the proposed NCD would cover FDA approved monoclonal antibodies that target amyloid for the treatment of Alzheimer's disease for people with Medicare only if they are enrolled in qualifying clinical trials (the Alzheimer’s Monoclonal Antibody NCD). If finalized in its current form, the proposed Alzheimer’s Monoclonal Antibody NCD would result in reduced coverage for, and negatively impact, our product candidate donanemab, and may negatively impact our business and financial results. The regulatory priorities of the current U.S. presidential administration could further intensify these efforts, which could have a material adverse impact on our business.</w:t>
      </w:r>
    </w:p>
    <w:p>
      <w:pPr>
        <w:spacing w:after="0" w:line="10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the U.S., we are required to provide rebates to the federal government and respective state governments on their purchases of our pharmaceuticals under various federal and state healthcare programs, including state Medicaid and Medicaid Managed Care programs (minimum of 23.1 percent plus adjustments for price increases over time) and discounts to private entities who treat patients in certain types of health care facilities intended to serve low-income and uninsured patients (known as 340B facilities). No rebates are required at this time in the Medicare Part B (physician and hospital outpatient) program where reimbursement is set on an "average sales price plus 4.3 percent" formula. Additionally, an annual fee is imposed on pharmaceutical manufacturers and importers that sell branded prescription drugs to specified government programs. Since 2019, the Bipartisan Budget Act has required manufacturers of brand-name drugs, biologics, and biosimilars to provide a discount of 70 percent of the cost of branded prescription drugs for Medicare Part D participants who are in the "doughnut hole" (the coverage gap in Medicare prescription drug coverage).</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Rebates are also negotiated in the private sector. We pay rebates to private payers that provide prescription drug benefits to seniors covered by Medicare and to private payers that provide prescription drug benefits to their customers. These rebates are affected by the introduction of competitive products and generics in the same class. Our approach to the rebates we offer to private payers that provide prescription drug benefits to seniors covered by Medicare may be impacted by the 2020 regulatory amendments to the anti-kickback statute's discount safe harbor, which have currently been stayed until at least January 1, 2026. Pending legislation could repeal the amendments to the discount safe harbor. Accordingly, their impact on our business is uncertain at this time.</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Outside the U.S.</w:t>
      </w:r>
    </w:p>
    <w:p>
      <w:pPr>
        <w:spacing w:after="0" w:line="1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Globally, public and private payers are increasingly restricting access to pharmaceuticals based on assessments of comparative effectiveness and value, including through the establishment of formal health technology assessment processes. In addition, third-party organizations, including professional associations, academic institutions, and non-profit entities associated with payers, are conducting and publishing comparative effectiveness and cost/benefit analyses on medicines, the impact of which are uncertain at this time.</w:t>
      </w:r>
    </w:p>
    <w:p>
      <w:pPr>
        <w:spacing w:after="0" w:line="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 We may experience additional pricing pressures resulting from the financial strain of the COVID-19 pandemic on government-funded healthcare systems around the world.</w:t>
      </w:r>
    </w:p>
    <w:p>
      <w:pPr>
        <w:spacing w:after="0" w:line="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regulatory, or payer developments. However, in general we expect to see continued focus on regulating pricing resulting in additional state, federal, and international legislative and regulatory developments that could have further negative effects on pricing and reimbursement for our products.</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See Item 7, "Management's Discussion and Analysis - Results of Operations - Executive Overview - Other Matters - Trends Affecting Pharmaceutical Pricing, Reimbursement, and Access" for additional information regarding recent legislative, administrative, and other pricing initiatives and their impact on our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commitment to research and development dates back more than 140 years. We invest heavily in research and development because we believe it is critical to our long-term competitiveness. At the end of 2021, we employed approximately 8,100 people in pharmaceutical research and development activities, including a substantial number of physicians, scientists holding graduate or postgraduate degrees, and highly skilled technical personnel.</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internal pharmaceutical research focuses primarily on the areas of diabetes, immunology, neuroscience, and oncology. During the past two years, we have also focused on researching and developing potential treatments for COVID-19. In addition to discovering and developing new medicines, we seek to expand the value of existing products through new uses, formulations, and therapeutic approaches that provide additional value to patients.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medicines. We also invest in external research and technologies that we believe complement and strengthen our own efforts. These investments can take many forms, including, among others, licensing arrangements, co-development agreements, co-promotion arrangements, joint ventures, acquisitions, and equity investments.</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Pharmaceutical development is time-consuming, expensive, and risky. Very few of the candidates discovered by researchers ultimately become approved medicines. The process from discovery to regulatory approval can take over a decade. Candidates can fail at any stage of the process, and even late-stage candidates sometimes fail to receive regulatory approval or achieve commercial success. The following describes in more detail the research and development process for pharmaceutical products: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00" w:hanging="230"/>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Phase</w:t>
      </w:r>
    </w:p>
    <w:p>
      <w:pPr>
        <w:spacing w:after="0" w:line="139" w:lineRule="exact"/>
        <w:rPr>
          <w:rFonts w:ascii="Arial" w:cs="Arial" w:eastAsia="Arial" w:hAnsi="Arial"/>
          <w:sz w:val="18"/>
          <w:szCs w:val="18"/>
          <w:b w:val="1"/>
          <w:bCs w:val="1"/>
          <w:color w:val="auto"/>
        </w:rPr>
      </w:pPr>
    </w:p>
    <w:p>
      <w:pPr>
        <w:ind w:left="42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the discovery phase, scientists identify, design, and synthesize promising candidates by analyzing their effect on biological targets thought to play a role in disease. Targets are often unproven and only candidates that have the desired effect on the target and meet other design criteria move to the next phase of development, which includes the initiation of studies in animals to support regulatory and safety requirements for clinical research in humans. The discovery phase can take years and the probability of any one candidate becoming a medicine is extremely low.</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6" w:name="page17"/>
    <w:bookmarkEnd w:id="16"/>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39" w:lineRule="exact"/>
        <w:rPr>
          <w:rFonts w:ascii="Arial" w:cs="Arial" w:eastAsia="Arial" w:hAnsi="Arial"/>
          <w:sz w:val="18"/>
          <w:szCs w:val="18"/>
          <w:b w:val="1"/>
          <w:bCs w:val="1"/>
          <w:color w:val="auto"/>
        </w:rPr>
      </w:pPr>
    </w:p>
    <w:p>
      <w:pPr>
        <w:ind w:left="420" w:right="2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Early development includes initial testing for safety and efficacy and early analyses of manufacturing requirements. Safety testing is initially performed in laboratory tests and animals, as necessary. In general, the first human tests (often referred to as Phase I) are conducted in small groups of subjects to assess safety and evaluate the potential dosing range. Subsequently, larger populations of patients are studied (Phase II) to identify initial signs of efficacy while continuing to assess safety. In parallel, scientists work to identify safe, effective, and economical manufacturing processes. Long-term animal studies continue to test for potential safety issues. Of the candidates that enter the early development phase, approximately 10 percent move to the late development phase. The early development phase varies but can take several years to complete.</w:t>
      </w:r>
    </w:p>
    <w:p>
      <w:pPr>
        <w:spacing w:after="0" w:line="76" w:lineRule="exact"/>
        <w:rPr>
          <w:rFonts w:ascii="Arial" w:cs="Arial" w:eastAsia="Arial" w:hAnsi="Arial"/>
          <w:sz w:val="18"/>
          <w:szCs w:val="18"/>
          <w:b w:val="1"/>
          <w:bCs w:val="1"/>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Late Development Phase</w:t>
      </w:r>
    </w:p>
    <w:p>
      <w:pPr>
        <w:spacing w:after="0" w:line="139" w:lineRule="exact"/>
        <w:rPr>
          <w:rFonts w:ascii="Arial" w:cs="Arial" w:eastAsia="Arial" w:hAnsi="Arial"/>
          <w:sz w:val="18"/>
          <w:szCs w:val="18"/>
          <w:b w:val="1"/>
          <w:bCs w:val="1"/>
          <w:color w:val="auto"/>
        </w:rPr>
      </w:pPr>
    </w:p>
    <w:p>
      <w:pPr>
        <w:ind w:left="4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Late phase development projects (typically Phase III) have met initial safety requirements and shown initial evidence of efficacy in earlier studies. As a result, these candidates generally have a higher likelihood of success and trials include larger patient populations to demonstrate safety and efficacy in the disease. These studies are designed to demonstrate the benefit and risk of the potential new medicine and may be compared to competitive therapies, placebo, or both. Phase III studies are generally conducted globally and are designed to support regulatory filings for marketing approval. The duration of Phase III testing varies by disease and may take two to four years.</w:t>
      </w:r>
    </w:p>
    <w:p>
      <w:pPr>
        <w:spacing w:after="0" w:line="78" w:lineRule="exact"/>
        <w:rPr>
          <w:rFonts w:ascii="Arial" w:cs="Arial" w:eastAsia="Arial" w:hAnsi="Arial"/>
          <w:sz w:val="18"/>
          <w:szCs w:val="18"/>
          <w:b w:val="1"/>
          <w:bCs w:val="1"/>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39" w:lineRule="exact"/>
        <w:rPr>
          <w:rFonts w:ascii="Arial" w:cs="Arial" w:eastAsia="Arial" w:hAnsi="Arial"/>
          <w:sz w:val="18"/>
          <w:szCs w:val="18"/>
          <w:b w:val="1"/>
          <w:bCs w:val="1"/>
          <w:color w:val="auto"/>
        </w:rPr>
      </w:pPr>
    </w:p>
    <w:p>
      <w:pPr>
        <w:ind w:left="42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Once a potential new medicine is submitted to regulatory agencies, the time to final marketing approval can vary from several months to several years, depending on the disease state, the strength and complexity of available data, the degree of unmet need, and the time required for the regulatory agency(ies) to evaluate the submission, which can depend on prioritization by regulators and other factors. There is no guarantee that a potential medicine will receive marketing approval, or that decisions on marketing approvals or indications will be consistent across geographic areas.</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believe our investments in research, both internally and in collaboration with others, have resulted in a robust pipeline of potential new medicines and new treatment indications in all stages of development. We currently have approximately 45 new medicine candidates in clinical development or under regulatory review, and a larger number of projects in the discovery phase. See Item 7, "Management's Discussion and Analysis - Results of Operations - Executive Overview - Late-Stage Pipeline," for more information on certain of our product candidates.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Product Supply</w:t>
      </w:r>
    </w:p>
    <w:p>
      <w:pPr>
        <w:spacing w:after="0" w:line="139" w:lineRule="exact"/>
        <w:rPr>
          <w:sz w:val="20"/>
          <w:szCs w:val="20"/>
          <w:color w:val="auto"/>
        </w:rPr>
      </w:pPr>
    </w:p>
    <w:p>
      <w:pPr>
        <w:jc w:val="both"/>
        <w:ind w:right="100"/>
        <w:spacing w:after="0" w:line="265" w:lineRule="auto"/>
        <w:rPr>
          <w:sz w:val="20"/>
          <w:szCs w:val="20"/>
          <w:color w:val="auto"/>
        </w:rPr>
      </w:pPr>
      <w:r>
        <w:rPr>
          <w:rFonts w:ascii="Arial" w:cs="Arial" w:eastAsia="Arial" w:hAnsi="Arial"/>
          <w:sz w:val="17"/>
          <w:szCs w:val="17"/>
          <w:color w:val="auto"/>
        </w:rPr>
        <w:t>Most of the principal materials we use in our manufacturing operations are available from more than one source. However, we obtain certain raw or intermediate materials primarily from only one source. We generally seek to maintain sufficient inventory to supply the market until an alternative source of supply could be implemented, in the event one of these suppliers was unable to provide the materials or product.</w:t>
      </w:r>
    </w:p>
    <w:p>
      <w:pPr>
        <w:ind w:right="540"/>
        <w:spacing w:after="0" w:line="261" w:lineRule="auto"/>
        <w:rPr>
          <w:sz w:val="20"/>
          <w:szCs w:val="20"/>
          <w:color w:val="auto"/>
        </w:rPr>
      </w:pPr>
      <w:r>
        <w:rPr>
          <w:rFonts w:ascii="Arial" w:cs="Arial" w:eastAsia="Arial" w:hAnsi="Arial"/>
          <w:sz w:val="18"/>
          <w:szCs w:val="18"/>
          <w:color w:val="auto"/>
        </w:rPr>
        <w:t>However, various developments from time to time lead to interruption or shortages in supply until we establish new sources or, in some cases, implement alternative processes.</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majority of our revenue comes from products produced in our own facilities. Our principal active ingredient manufacturing occurs at sites we own in the U.S., including Puerto Rico, and Ireland.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9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is intended to allow us to meet substantially all expected product demand while maintaining flexibility to reallocate manufacturing capacity to improve efficiency and respond to changes in supply and demand. To maintain a stable supply of our products, we use a variety of techniques including comprehensive quality systems, inventory management, and back-up sites.</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 w:name="page18"/>
    <w:bookmarkEnd w:id="17"/>
    <w:p>
      <w:pPr>
        <w:ind w:right="100"/>
        <w:spacing w:after="0" w:line="251" w:lineRule="auto"/>
        <w:rPr>
          <w:sz w:val="20"/>
          <w:szCs w:val="20"/>
          <w:color w:val="auto"/>
        </w:rPr>
      </w:pPr>
      <w:r>
        <w:rPr>
          <w:rFonts w:ascii="Arial" w:cs="Arial" w:eastAsia="Arial" w:hAnsi="Arial"/>
          <w:sz w:val="18"/>
          <w:szCs w:val="18"/>
          <w:color w:val="auto"/>
        </w:rPr>
        <w:t>However, pharmaceutical production processes are complex, highly regulated, and vary widely from product to product. Shifting or adding manufacturing capacity can be a very lengthy process requiring significant capital expenditures, process modifications, and regulatory approvals. Accordingly, developments such as unplanned plant shutdowns, manufacturing or quality assurance difficulties at one of our facilities or contracted facilities, failure or refusal of a supplier or contract manufacturer to supply contracted quantities, increases in demand on a supplier, or difficulties in predicting or variability in demand for our products, from time to time lead to interruption or higher costs in the supply of certain products or product shortages. Further, global transportation and logistics challenges, as well as tight labor markets, have caused, and in the future may cause, delays in, and/or increase costs related to, distribution of our medicines, the construction or acquisition of manufacturing capacity, procurement activity, and supplier or contract manufacturer arrangements. For more information on the additional risks we face in connection with any difficulties, disruptions, and shortages in the manufacturing, distribution, and sale of our products, see "Risk Factors - Risks Related to Our Business - Manufacturing and supply chain difficulties, disruptions, or shortages could lead to product supply problems."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 strain on global transportation, logistics, and labor markets caused by the COVID-19 pandemic and an increase in overall demand in our industry for certain materials have had, and may continue to have, a number of impacts on our business, including increased costs to provide a consistent supply of our medicines where they are needed and disruptions in the supply of our medicines. For more information, see Item 1A, "Risk Factors - Risks Related to Our Business - The COVID-19 pandemic has adversely impacted and may continue to adversely impact our business and operations. We are currently unable to predict the full extent to which the COVID-19 pandemic or any future pandemic, epidemic, or similar public health threat will adversely impact our business and operations in the future." and Item 7, "Management's Discussion and Analysis - Results of Operations - Executive Overview - COVID-19 Pandemic."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success depends in great measure on customer confidence in the quality of our products and in the integrity of the data that support their safety and effectiveness. Product quality arises from a total commitment to quality in all parts of our operations, including research and development, purchasing, facilities planning, manufacturing, distribution, and dissemination of information about our medicines.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in an effort to ensure that the product meets all applicable regulatory requirements and our internal standards. These tests may involve chemical and physical chemical analyses, microbiological testing, testing in animals, or a combination thereof. Additional assurance of quality is provided by quality assurance groups that audit and monitor all aspects of quality related to pharmaceutical manufacturing procedures and systems in company operations and at third-party suppliers.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2, 2022 in connection with the company's annual meeting of shareholders,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3"/>
        </w:trPr>
        <w:tc>
          <w:tcPr>
            <w:tcW w:w="1900" w:type="dxa"/>
            <w:vAlign w:val="bottom"/>
            <w:tcBorders>
              <w:top w:val="single" w:sz="8" w:color="auto"/>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580" w:type="dxa"/>
            <w:vAlign w:val="bottom"/>
            <w:tcBorders>
              <w:top w:val="single" w:sz="8" w:color="auto"/>
              <w:bottom w:val="single" w:sz="8" w:color="auto"/>
              <w:right w:val="single" w:sz="8" w:color="auto"/>
            </w:tcBorders>
          </w:tcPr>
          <w:p>
            <w:pPr>
              <w:ind w:left="3200"/>
              <w:spacing w:after="0"/>
              <w:rPr>
                <w:sz w:val="20"/>
                <w:szCs w:val="20"/>
                <w:color w:val="auto"/>
              </w:rPr>
            </w:pPr>
            <w:r>
              <w:rPr>
                <w:rFonts w:ascii="Arial" w:cs="Arial" w:eastAsia="Arial" w:hAnsi="Arial"/>
                <w:sz w:val="14"/>
                <w:szCs w:val="14"/>
                <w:b w:val="1"/>
                <w:bCs w:val="1"/>
                <w:color w:val="auto"/>
              </w:rPr>
              <w:t>Titles and Business Experience</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David A. Ricks</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54</w:t>
            </w:r>
          </w:p>
        </w:tc>
        <w:tc>
          <w:tcPr>
            <w:tcW w:w="85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Chair, President, and Chief Executive Officer (CEO) (since 2017). Previously, Mr. Ricks held various leadership roles with Lilly,</w:t>
            </w:r>
          </w:p>
        </w:tc>
        <w:tc>
          <w:tcPr>
            <w:tcW w:w="0" w:type="dxa"/>
            <w:vAlign w:val="bottom"/>
          </w:tcPr>
          <w:p>
            <w:pPr>
              <w:spacing w:after="0"/>
              <w:rPr>
                <w:sz w:val="1"/>
                <w:szCs w:val="1"/>
                <w:color w:val="auto"/>
              </w:rPr>
            </w:pPr>
          </w:p>
        </w:tc>
      </w:tr>
      <w:tr>
        <w:trPr>
          <w:trHeight w:val="105"/>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senior vice president and president, Lilly Bio-Medicines. Mr. Ricks has 25 years of service with Lilly.</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Anat Ashkenazi</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49</w:t>
            </w:r>
          </w:p>
        </w:tc>
        <w:tc>
          <w:tcPr>
            <w:tcW w:w="85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Senior Vice President and Chief Financial Officer (since 2021). Previously, Ms. Ashkenazi held various leadership roles with Lilly,</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including senior vice president, controller and chief financial officer, Lilly Research Laboratories, and vice president, finance and chief</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financial officer, Lilly Diabetes and Lilly global manufacturing and quality. Ms. Ashkenazi has 20 years of service with Lilly.</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Stephen F. Fry</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56</w:t>
            </w:r>
          </w:p>
        </w:tc>
        <w:tc>
          <w:tcPr>
            <w:tcW w:w="85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Senior Vice President, Human Resources and Diversity (since 2011). Previously, Mr. Fry held various leadership roles with Lilly,</w:t>
            </w:r>
          </w:p>
        </w:tc>
        <w:tc>
          <w:tcPr>
            <w:tcW w:w="0" w:type="dxa"/>
            <w:vAlign w:val="bottom"/>
          </w:tcPr>
          <w:p>
            <w:pPr>
              <w:spacing w:after="0"/>
              <w:rPr>
                <w:sz w:val="1"/>
                <w:szCs w:val="1"/>
                <w:color w:val="auto"/>
              </w:rPr>
            </w:pPr>
          </w:p>
        </w:tc>
      </w:tr>
      <w:tr>
        <w:trPr>
          <w:trHeight w:val="105"/>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including vice president, human resources. Mr. Fry has 34 years of service with Lilly.</w:t>
            </w:r>
          </w:p>
        </w:tc>
        <w:tc>
          <w:tcPr>
            <w:tcW w:w="0" w:type="dxa"/>
            <w:vAlign w:val="bottom"/>
          </w:tcPr>
          <w:p>
            <w:pPr>
              <w:spacing w:after="0"/>
              <w:rPr>
                <w:sz w:val="1"/>
                <w:szCs w:val="1"/>
                <w:color w:val="auto"/>
              </w:rPr>
            </w:pPr>
          </w:p>
        </w:tc>
      </w:tr>
      <w:tr>
        <w:trPr>
          <w:trHeight w:val="66"/>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Senior Vice President, General Counsel and Secretary (since 2020). Prior to joining Lilly, Ms. Hakim was senior vice president,</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Anat Hakim</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52</w:t>
            </w: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general counsel and secretary of WellCare Health Plans, Inc. (WellCare) from 2016 to 2018, and executive vice president, general</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counsel and secretary of WellCare from 2018 to 2020. Prior to joining WellCare, she served as divisional vice president and associate</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general counsel of intellectual property litigation at Abbott Laboratories from 2010 to 2013 and divisional vice president and associate</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general counsel of litigation from 2013 to 2016. Ms. Hakim has two years of service with Lilly.</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Edgardo Hernandez</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47</w:t>
            </w:r>
          </w:p>
        </w:tc>
        <w:tc>
          <w:tcPr>
            <w:tcW w:w="85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Senior Vice President and President, Manufacturing Operations (since 2021). Previously, Mr. Hernandez held various leadership roles</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with Lilly, including senior vice president, global parenteral drug product, delivery devices and regional manufacturing, and vice</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president, Fegersheim operations. Mr. Hernandez has 17 years of service with Lilly.</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Senior Vice President and President, Lilly Immunology, Lilly USA, and Chief Customer Officer (since 2021). Previously, Mr. Jonsson</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Patrik Jonsson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55</w:t>
            </w: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held various leadership roles with Lilly, including senior vice president and president, Lilly USA, and chief customer officer, senior vice</w:t>
            </w:r>
          </w:p>
        </w:tc>
        <w:tc>
          <w:tcPr>
            <w:tcW w:w="0" w:type="dxa"/>
            <w:vAlign w:val="bottom"/>
          </w:tcPr>
          <w:p>
            <w:pPr>
              <w:spacing w:after="0"/>
              <w:rPr>
                <w:sz w:val="1"/>
                <w:szCs w:val="1"/>
                <w:color w:val="auto"/>
              </w:rPr>
            </w:pPr>
          </w:p>
        </w:tc>
      </w:tr>
      <w:tr>
        <w:trPr>
          <w:trHeight w:val="105"/>
        </w:trPr>
        <w:tc>
          <w:tcPr>
            <w:tcW w:w="1900" w:type="dxa"/>
            <w:vAlign w:val="bottom"/>
            <w:tcBorders>
              <w:left w:val="single" w:sz="8" w:color="auto"/>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restart"/>
          </w:tcPr>
          <w:p>
            <w:pPr>
              <w:ind w:left="20"/>
              <w:spacing w:after="0" w:line="135" w:lineRule="exact"/>
              <w:rPr>
                <w:sz w:val="20"/>
                <w:szCs w:val="20"/>
                <w:color w:val="auto"/>
              </w:rPr>
            </w:pPr>
            <w:r>
              <w:rPr>
                <w:rFonts w:ascii="Arial" w:cs="Arial" w:eastAsia="Arial" w:hAnsi="Arial"/>
                <w:sz w:val="14"/>
                <w:szCs w:val="14"/>
                <w:color w:val="auto"/>
              </w:rPr>
              <w:t>president and president, Lilly Bio-Medicines and president and general manager, Lilly Japan. Mr. Jonsson has 31 years of service with</w:t>
            </w:r>
          </w:p>
        </w:tc>
        <w:tc>
          <w:tcPr>
            <w:tcW w:w="0" w:type="dxa"/>
            <w:vAlign w:val="bottom"/>
          </w:tcPr>
          <w:p>
            <w:pPr>
              <w:spacing w:after="0"/>
              <w:rPr>
                <w:sz w:val="1"/>
                <w:szCs w:val="1"/>
                <w:color w:val="auto"/>
              </w:rPr>
            </w:pPr>
          </w:p>
        </w:tc>
      </w:tr>
      <w:tr>
        <w:trPr>
          <w:trHeight w:val="30"/>
        </w:trPr>
        <w:tc>
          <w:tcPr>
            <w:tcW w:w="1900" w:type="dxa"/>
            <w:vAlign w:val="bottom"/>
            <w:tcBorders>
              <w:left w:val="single" w:sz="8" w:color="auto"/>
              <w:right w:val="single" w:sz="8" w:color="auto"/>
            </w:tcBorders>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5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Lilly.</w:t>
            </w:r>
          </w:p>
        </w:tc>
        <w:tc>
          <w:tcPr>
            <w:tcW w:w="0" w:type="dxa"/>
            <w:vAlign w:val="bottom"/>
          </w:tcPr>
          <w:p>
            <w:pPr>
              <w:spacing w:after="0"/>
              <w:rPr>
                <w:sz w:val="1"/>
                <w:szCs w:val="1"/>
                <w:color w:val="auto"/>
              </w:rPr>
            </w:pPr>
          </w:p>
        </w:tc>
      </w:tr>
      <w:tr>
        <w:trPr>
          <w:trHeight w:val="147"/>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Michael B. Mason</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55</w:t>
            </w:r>
          </w:p>
        </w:tc>
        <w:tc>
          <w:tcPr>
            <w:tcW w:w="8580" w:type="dxa"/>
            <w:vAlign w:val="bottom"/>
            <w:tcBorders>
              <w:right w:val="single" w:sz="8" w:color="auto"/>
            </w:tcBorders>
          </w:tcPr>
          <w:p>
            <w:pPr>
              <w:ind w:left="20"/>
              <w:spacing w:after="0" w:line="147" w:lineRule="exact"/>
              <w:rPr>
                <w:sz w:val="20"/>
                <w:szCs w:val="20"/>
                <w:color w:val="auto"/>
              </w:rPr>
            </w:pPr>
            <w:r>
              <w:rPr>
                <w:rFonts w:ascii="Arial" w:cs="Arial" w:eastAsia="Arial" w:hAnsi="Arial"/>
                <w:sz w:val="14"/>
                <w:szCs w:val="14"/>
                <w:color w:val="auto"/>
              </w:rPr>
              <w:t>Senior Vice President and President, Lilly Diabetes (since 2020). Previously, Mr. Mason held various leadership roles with Lilly,</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including senior vice president, connected care and insulins and vice president of U.S. Diabetes. Mr. Mason has 32 years of service</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with Lilly.</w:t>
            </w:r>
          </w:p>
        </w:tc>
        <w:tc>
          <w:tcPr>
            <w:tcW w:w="0" w:type="dxa"/>
            <w:vAlign w:val="bottom"/>
          </w:tcPr>
          <w:p>
            <w:pPr>
              <w:spacing w:after="0"/>
              <w:rPr>
                <w:sz w:val="1"/>
                <w:szCs w:val="1"/>
                <w:color w:val="auto"/>
              </w:rPr>
            </w:pPr>
          </w:p>
        </w:tc>
      </w:tr>
      <w:tr>
        <w:trPr>
          <w:trHeight w:val="187"/>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Global Quality (since 2017). Previously, Ms. Norton held various leadership roles with Lilly, including vice</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Johna L. Norton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president, global quality assurance API manufacturing and product research and development. Ms. Norton has 31 years of service</w:t>
            </w: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with Lilly.</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Leigh Ann Pusey</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59</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Corporate Affairs and Communications (since 2017). Prior to joining Lilly, Ms. Pusey was president and chief</w:t>
            </w:r>
          </w:p>
        </w:tc>
        <w:tc>
          <w:tcPr>
            <w:tcW w:w="0" w:type="dxa"/>
            <w:vAlign w:val="bottom"/>
          </w:tcPr>
          <w:p>
            <w:pPr>
              <w:spacing w:after="0"/>
              <w:rPr>
                <w:sz w:val="1"/>
                <w:szCs w:val="1"/>
                <w:color w:val="auto"/>
              </w:rPr>
            </w:pPr>
          </w:p>
        </w:tc>
      </w:tr>
      <w:tr>
        <w:trPr>
          <w:trHeight w:val="91"/>
        </w:trPr>
        <w:tc>
          <w:tcPr>
            <w:tcW w:w="1900" w:type="dxa"/>
            <w:vAlign w:val="bottom"/>
            <w:tcBorders>
              <w:left w:val="single" w:sz="8" w:color="auto"/>
              <w:right w:val="single" w:sz="8" w:color="auto"/>
            </w:tcBorders>
            <w:vMerge w:val="continue"/>
          </w:tcPr>
          <w:p>
            <w:pPr>
              <w:spacing w:after="0"/>
              <w:rPr>
                <w:sz w:val="7"/>
                <w:szCs w:val="7"/>
                <w:color w:val="auto"/>
              </w:rPr>
            </w:pPr>
          </w:p>
        </w:tc>
        <w:tc>
          <w:tcPr>
            <w:tcW w:w="500" w:type="dxa"/>
            <w:vAlign w:val="bottom"/>
            <w:tcBorders>
              <w:right w:val="single" w:sz="8" w:color="auto"/>
            </w:tcBorders>
            <w:vMerge w:val="continue"/>
          </w:tcPr>
          <w:p>
            <w:pPr>
              <w:spacing w:after="0"/>
              <w:rPr>
                <w:sz w:val="7"/>
                <w:szCs w:val="7"/>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executive officer of the American Insurance Association from 2009 to 2017. Ms. Pusey has four years of service with Lilly.</w:t>
            </w:r>
          </w:p>
        </w:tc>
        <w:tc>
          <w:tcPr>
            <w:tcW w:w="0" w:type="dxa"/>
            <w:vAlign w:val="bottom"/>
          </w:tcPr>
          <w:p>
            <w:pPr>
              <w:spacing w:after="0"/>
              <w:rPr>
                <w:sz w:val="1"/>
                <w:szCs w:val="1"/>
                <w:color w:val="auto"/>
              </w:rPr>
            </w:pPr>
          </w:p>
        </w:tc>
      </w:tr>
      <w:tr>
        <w:trPr>
          <w:trHeight w:val="87"/>
        </w:trPr>
        <w:tc>
          <w:tcPr>
            <w:tcW w:w="1900" w:type="dxa"/>
            <w:vAlign w:val="bottom"/>
            <w:tcBorders>
              <w:left w:val="single" w:sz="8" w:color="auto"/>
              <w:bottom w:val="single" w:sz="8" w:color="auto"/>
              <w:right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Diogo Rau</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47</w:t>
            </w:r>
          </w:p>
        </w:tc>
        <w:tc>
          <w:tcPr>
            <w:tcW w:w="85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Senior Vice President and Chief Information and Digital Officer (since 2021). Prior to joining Lilly, Mr. Rau was senior director of</w:t>
            </w:r>
          </w:p>
        </w:tc>
        <w:tc>
          <w:tcPr>
            <w:tcW w:w="0" w:type="dxa"/>
            <w:vAlign w:val="bottom"/>
          </w:tcPr>
          <w:p>
            <w:pPr>
              <w:spacing w:after="0"/>
              <w:rPr>
                <w:sz w:val="1"/>
                <w:szCs w:val="1"/>
                <w:color w:val="auto"/>
              </w:rPr>
            </w:pPr>
          </w:p>
        </w:tc>
      </w:tr>
      <w:tr>
        <w:trPr>
          <w:trHeight w:val="135"/>
        </w:trPr>
        <w:tc>
          <w:tcPr>
            <w:tcW w:w="1900" w:type="dxa"/>
            <w:vAlign w:val="bottom"/>
            <w:tcBorders>
              <w:left w:val="single" w:sz="8" w:color="auto"/>
              <w:right w:val="single" w:sz="8" w:color="auto"/>
            </w:tcBorders>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information systems and technology for retail and online stores of Apple Inc. from 2011 to 2021. Prior to his tenure at Apple, he served</w:t>
            </w:r>
          </w:p>
        </w:tc>
        <w:tc>
          <w:tcPr>
            <w:tcW w:w="0" w:type="dxa"/>
            <w:vAlign w:val="bottom"/>
          </w:tcPr>
          <w:p>
            <w:pPr>
              <w:spacing w:after="0"/>
              <w:rPr>
                <w:sz w:val="1"/>
                <w:szCs w:val="1"/>
                <w:color w:val="auto"/>
              </w:rPr>
            </w:pPr>
          </w:p>
        </w:tc>
      </w:tr>
      <w:tr>
        <w:trPr>
          <w:trHeight w:val="171"/>
        </w:trPr>
        <w:tc>
          <w:tcPr>
            <w:tcW w:w="1900" w:type="dxa"/>
            <w:vAlign w:val="bottom"/>
            <w:tcBorders>
              <w:left w:val="single" w:sz="8" w:color="auto"/>
              <w:bottom w:val="single" w:sz="8" w:color="auto"/>
              <w:right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 a partner at McKinsey &amp; Company.</w:t>
            </w:r>
          </w:p>
        </w:tc>
        <w:tc>
          <w:tcPr>
            <w:tcW w:w="0" w:type="dxa"/>
            <w:vAlign w:val="bottom"/>
          </w:tcPr>
          <w:p>
            <w:pPr>
              <w:spacing w:after="0"/>
              <w:rPr>
                <w:sz w:val="1"/>
                <w:szCs w:val="1"/>
                <w:color w:val="auto"/>
              </w:rPr>
            </w:pPr>
          </w:p>
        </w:tc>
      </w:tr>
      <w:tr>
        <w:trPr>
          <w:trHeight w:val="187"/>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Daniel M. Skovronsky, M.D.,</w:t>
            </w: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Chief Scientific and Medical Officer, and President, Lilly Research Laboratories (since 2021). Previously, Dr.</w:t>
            </w:r>
          </w:p>
        </w:tc>
        <w:tc>
          <w:tcPr>
            <w:tcW w:w="0" w:type="dxa"/>
            <w:vAlign w:val="bottom"/>
          </w:tcPr>
          <w:p>
            <w:pPr>
              <w:spacing w:after="0"/>
              <w:rPr>
                <w:sz w:val="1"/>
                <w:szCs w:val="1"/>
                <w:color w:val="auto"/>
              </w:rPr>
            </w:pPr>
          </w:p>
        </w:tc>
      </w:tr>
      <w:tr>
        <w:trPr>
          <w:trHeight w:val="68"/>
        </w:trPr>
        <w:tc>
          <w:tcPr>
            <w:tcW w:w="1900" w:type="dxa"/>
            <w:vAlign w:val="bottom"/>
            <w:tcBorders>
              <w:left w:val="single" w:sz="8" w:color="auto"/>
              <w:right w:val="single" w:sz="8" w:color="auto"/>
            </w:tcBorders>
            <w:vMerge w:val="continue"/>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48</w:t>
            </w: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Skovronsky held various leadership roles with Lilly, including senior vice president, chief scientific officer, and president, Lilly Research</w:t>
            </w:r>
          </w:p>
        </w:tc>
        <w:tc>
          <w:tcPr>
            <w:tcW w:w="0" w:type="dxa"/>
            <w:vAlign w:val="bottom"/>
          </w:tcPr>
          <w:p>
            <w:pPr>
              <w:spacing w:after="0"/>
              <w:rPr>
                <w:sz w:val="1"/>
                <w:szCs w:val="1"/>
                <w:color w:val="auto"/>
              </w:rPr>
            </w:pPr>
          </w:p>
        </w:tc>
      </w:tr>
      <w:tr>
        <w:trPr>
          <w:trHeight w:val="94"/>
        </w:trPr>
        <w:tc>
          <w:tcPr>
            <w:tcW w:w="1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Ph.D.</w:t>
            </w:r>
          </w:p>
        </w:tc>
        <w:tc>
          <w:tcPr>
            <w:tcW w:w="500" w:type="dxa"/>
            <w:vAlign w:val="bottom"/>
            <w:tcBorders>
              <w:right w:val="single" w:sz="8" w:color="auto"/>
            </w:tcBorders>
            <w:vMerge w:val="continue"/>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900" w:type="dxa"/>
            <w:vAlign w:val="bottom"/>
            <w:tcBorders>
              <w:left w:val="single" w:sz="8" w:color="auto"/>
              <w:right w:val="single" w:sz="8" w:color="auto"/>
            </w:tcBorders>
            <w:vMerge w:val="continue"/>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Laboratories, and senior vice president, clinical and product development. Dr. Skovronsky has 11 years of service with Lilly.</w:t>
            </w:r>
          </w:p>
        </w:tc>
        <w:tc>
          <w:tcPr>
            <w:tcW w:w="0" w:type="dxa"/>
            <w:vAlign w:val="bottom"/>
          </w:tcPr>
          <w:p>
            <w:pPr>
              <w:spacing w:after="0"/>
              <w:rPr>
                <w:sz w:val="1"/>
                <w:szCs w:val="1"/>
                <w:color w:val="auto"/>
              </w:rPr>
            </w:pPr>
          </w:p>
        </w:tc>
      </w:tr>
      <w:tr>
        <w:trPr>
          <w:trHeight w:val="100"/>
        </w:trPr>
        <w:tc>
          <w:tcPr>
            <w:tcW w:w="1900" w:type="dxa"/>
            <w:vAlign w:val="bottom"/>
            <w:tcBorders>
              <w:left w:val="single" w:sz="8" w:color="auto"/>
              <w:bottom w:val="single" w:sz="8" w:color="auto"/>
              <w:right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CEO Loxo Oncology at Lilly, and President, Lilly Oncology (since 2021). Previously, Mr. Van Naarden served</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 Chief Executive Officer-Loxo Oncology at Lilly, and Chief Operating Officer-Loxo Oncology at Lilly. Mr. Van Naarden joined Lilly in</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Jacob Van Naarden</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2019 when the company acquired Loxo Oncology, Inc., where he was the chief operating officer. In previous roles, Mr. Van Naarden</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worked in various biotechnology investing, operating, and advisory capacities, including positions with HealthCor Management, Aisling</w:t>
            </w: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Capital, and Goldman Sachs. Mr. Van Naarden has three years of service with Lilly.</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Enterprise Risk Management, and Chief Ethics and Compliance Officer (since 2021). Previously, Mr. Weems</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Alonzo Weems</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held various leadership roles with Lilly, including vice president and deputy general counsel for corporate legal functions, general</w:t>
            </w: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counsel for Lilly USA, and general counsel for biomedicines and diabetes. Mr. Weems has 24 years of service with Lilly.</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Neuroscience (since 2021). Previously, Ms. White held various leadership roles with Lilly,</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Anne E. White</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and president, Lilly Oncology, vice president of Portfolio Management, Chorus, and Next Generation</w:t>
            </w: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Research and Development. Ms. White has 26 years of service with Lilly.</w:t>
            </w:r>
          </w:p>
        </w:tc>
        <w:tc>
          <w:tcPr>
            <w:tcW w:w="0" w:type="dxa"/>
            <w:vAlign w:val="bottom"/>
          </w:tcPr>
          <w:p>
            <w:pPr>
              <w:spacing w:after="0"/>
              <w:rPr>
                <w:sz w:val="1"/>
                <w:szCs w:val="1"/>
                <w:color w:val="auto"/>
              </w:rPr>
            </w:pPr>
          </w:p>
        </w:tc>
      </w:tr>
      <w:tr>
        <w:trPr>
          <w:trHeight w:val="193"/>
        </w:trPr>
        <w:tc>
          <w:tcPr>
            <w:tcW w:w="190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International (since 2021). Previously, Mr. Yuffa held various leadership roles with Lilly,</w:t>
            </w: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Ilya Yuffa</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8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including senior vice president and president, Lilly Bio-Medicines, vice president of U.S. Diabetes, general manager of Italy Hub, and</w:t>
            </w:r>
          </w:p>
        </w:tc>
        <w:tc>
          <w:tcPr>
            <w:tcW w:w="0" w:type="dxa"/>
            <w:vAlign w:val="bottom"/>
          </w:tcPr>
          <w:p>
            <w:pPr>
              <w:spacing w:after="0"/>
              <w:rPr>
                <w:sz w:val="1"/>
                <w:szCs w:val="1"/>
                <w:color w:val="auto"/>
              </w:rPr>
            </w:pPr>
          </w:p>
        </w:tc>
      </w:tr>
      <w:tr>
        <w:trPr>
          <w:trHeight w:val="178"/>
        </w:trPr>
        <w:tc>
          <w:tcPr>
            <w:tcW w:w="190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8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vice president, global ethics and compliance officer since 2014. Mr. Yuffa has 25 years of service with Lilly.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Human Capital Management</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core values—integrity, excellence, and respect for people—shape our approach to attracting, retaining, engaging, and developing a highly skilled and ethical workforce, which is critical to executing our strategy. We believe the strength of our workforce significantly contributes to our financial performance and enables us to make life better for people around the world. For instance, most of the products we sell today were discovered or developed by our own scientists, and our long-term success depends on our ability to continually discover or acquire, develop, and commercialize innovative new medicines. We believe that fostering a positive culture that values the contributions of our talented colleagues helps drive our success.</w:t>
      </w:r>
    </w:p>
    <w:p>
      <w:pPr>
        <w:spacing w:after="0" w:line="100"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are committed to creating a safe, supportive, ethical, and rewarding work environment through strategic focus on our human capital management process, fairness and nondiscrimination in our employment practices, robust training and development opportunities, and competitive pay and benefits. We believe our dedication to promoting diversity, equity, and inclusion (DEI) within our company reflects our values and is a key driver of business success and growth.</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regularly conduct anonymous employee surveys to seek feedback from our workforce on a variety of topics. These results are reviewed and analyzed by our leaders in order to implement changes to our policies and benefits designed to improve our employees' well-being. As a result of our efforts, we believe that we have a highly performing, cohesive workforce and that our employee relations are good.</w:t>
      </w:r>
    </w:p>
    <w:p>
      <w:pPr>
        <w:spacing w:after="0" w:line="9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At the end of 2021, we employed approximately 35,000 people, including approximately 19,600 employees outside the U.S. Our employees include approximately 8,100 people engaged in research and development activities.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Oversight</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order to build diverse and inclusive teams, our CEO and executive committee set expectations for inclusive leadership and hold leaders accountable for achieving results. Because dedication to human capital management is also a core component of our corporate governance, our board of directors regularly engages with management and facilitates a system of reporting designed to monitor human capital management initiatives and progress as part of the overarching framework that guides how we attract, retain, engage, and develop a workforce that aligns with our values and mission.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13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believe that fostering DEI begins with understanding. For example, our </w:t>
      </w:r>
      <w:r>
        <w:rPr>
          <w:rFonts w:ascii="Arial" w:cs="Arial" w:eastAsia="Arial" w:hAnsi="Arial"/>
          <w:sz w:val="18"/>
          <w:szCs w:val="18"/>
          <w:i w:val="1"/>
          <w:iCs w:val="1"/>
          <w:color w:val="auto"/>
        </w:rPr>
        <w:t>Employee Journeys</w:t>
      </w:r>
      <w:r>
        <w:rPr>
          <w:rFonts w:ascii="Arial" w:cs="Arial" w:eastAsia="Arial" w:hAnsi="Arial"/>
          <w:sz w:val="18"/>
          <w:szCs w:val="18"/>
          <w:color w:val="auto"/>
        </w:rPr>
        <w:t xml:space="preserve"> research has yielded important insights about the experiences of women, Black/African American, Latinx, Asian, and LGBTQ+ employees at Lilly. The results of this research are reviewed by our senior leadership, and we deploy actions and activities in response to these insights to improve our workplace and corporate culture.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2020, as part of our DEI and community initiatives, Lilly and the Lilly Foundation launched the Racial Justice Commitment and pledged</w:t>
      </w:r>
    </w:p>
    <w:p>
      <w:pPr>
        <w:spacing w:after="0" w:line="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$25 million and 25,000 volunteer hours over five years to help decrease the burden of racial injustice and its effects on communities of color. The Racial Justice Commitment aims to drive change across five areas: internal people development, health equity, social impact, diversity partners, and family sustaining jobs, through the use of financial and people resources. In 2021, we made progress in these efforts, including through the development of two apprenticeship programs at Lilly for individuals without college degrees.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Since 2017, we have committed to increasing the number of women, Black/African American, Latinx, and Asian populations in leadership roles, and we actively monitor our progress. From the end of 2017 through the end of 2021, we increased the percentage of women in management globally from 41 percent to 48 percent. For minority group members (MGM) in the U.S. over the same period, we increased management representation from 16 percent to 24 percent. Across all levels of our workforce, from the end of 2017 through the end of 2021, we have seen increased representation for MGMs in the U.S. and women globally. Our focus on DEI is also evident at our executive committee and board of directors. Five of 15 current members (approximately 33 percent) of our executive committee (which includes our CEO) are women and two are MGM. In addition, as of the filing of this report, the company's 13-member board of directors includes four women and six members who are MGMs.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ind w:right="420"/>
        <w:spacing w:after="0" w:line="252" w:lineRule="auto"/>
        <w:rPr>
          <w:sz w:val="20"/>
          <w:szCs w:val="20"/>
          <w:color w:val="auto"/>
        </w:rPr>
      </w:pPr>
      <w:r>
        <w:rPr>
          <w:rFonts w:ascii="Arial" w:cs="Arial" w:eastAsia="Arial" w:hAnsi="Arial"/>
          <w:sz w:val="18"/>
          <w:szCs w:val="18"/>
          <w:color w:val="auto"/>
        </w:rPr>
        <w:t>Our efforts in DEI and workplace benefits have garnered numerous recognitions, including, in 2021, Top 50 Companies for Diversity by DiversityInc., America's Best Employers for Diversity by Forbes, America's Most JUST Companies and Forbes JUST 100 by Forbes and JUST Capital, Perfect Score on the Human Rights Campaign Foundation Corporate Equality Index, World's Most Ethical Companies by Ethisphere, Leading Disability Employer by the National Organization on Disability, Top Employers by Science Magazine, and 100 Best Companies, Top Companies for Executive Women, Best Companies for Dads, and Best Companies for Multicultural Women by Working Mother Magazine.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Development</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talent begins with the hiring process. We therefore require hiring managers to consider a diverse pool of candidates and we strive to provide a diverse panel of interviewers for open positions. We believe that hiring in this way helps ensure that people from all backgrounds have equal opportunity to advance their careers.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offer training to enable our employees to perform their duties in our highly regulated industry. We also strive to cultivate a culture that promotes ongoing learning by encouraging employees to seek further education and growth experiences, helping them build rewarding careers. We have introduced online programming to facilitate access to our learning and development offerings. Many training courses are designed to improve accessibility for people with disabilities and other unique needs. Across Lilly, we are working to design learning experiences to be more inclusive and effective. In addition, we have implemented tools and resources and improved our talent programs and processes to provide broad access to information and transparency regarding career development and advancement at Lilly.</w:t>
      </w:r>
    </w:p>
    <w:p>
      <w:pPr>
        <w:spacing w:after="0" w:line="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In early 2022, we launched </w:t>
      </w:r>
      <w:r>
        <w:rPr>
          <w:rFonts w:ascii="Arial" w:cs="Arial" w:eastAsia="Arial" w:hAnsi="Arial"/>
          <w:sz w:val="18"/>
          <w:szCs w:val="18"/>
          <w:i w:val="1"/>
          <w:iCs w:val="1"/>
          <w:color w:val="auto"/>
        </w:rPr>
        <w:t>Discover</w:t>
      </w:r>
      <w:r>
        <w:rPr>
          <w:rFonts w:ascii="Arial" w:cs="Arial" w:eastAsia="Arial" w:hAnsi="Arial"/>
          <w:sz w:val="18"/>
          <w:szCs w:val="18"/>
          <w:color w:val="auto"/>
        </w:rPr>
        <w:t xml:space="preserve">, a 12-month new employee onboarding program with multiple touchpoints designed to foster integration into the Lilly culture, to accelerate learning in their new roles and to create connections to further a sense of belonging at Lilly. </w:t>
      </w:r>
      <w:r>
        <w:rPr>
          <w:rFonts w:ascii="Arial" w:cs="Arial" w:eastAsia="Arial" w:hAnsi="Arial"/>
          <w:sz w:val="18"/>
          <w:szCs w:val="18"/>
          <w:i w:val="1"/>
          <w:iCs w:val="1"/>
          <w:color w:val="auto"/>
        </w:rPr>
        <w:t>Discover</w:t>
      </w:r>
      <w:r>
        <w:rPr>
          <w:rFonts w:ascii="Arial" w:cs="Arial" w:eastAsia="Arial" w:hAnsi="Arial"/>
          <w:sz w:val="18"/>
          <w:szCs w:val="18"/>
          <w:color w:val="auto"/>
        </w:rPr>
        <w:t xml:space="preserve"> was shaped in part by external benchmarking, feedback from employees, and learnings from onboarding remotely during the COVID-19 pandemic.</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Employee resource groups (ERGs) are another important component of developing talent at Lilly. We currently have 11 ERGs representing groups including women, MGMs, LGBTQ+ individuals, veterans, and people with disabilities. ERGs offer our diverse workforce opportunities to build relationships, engage with senior leaders, advance our caring community, and offer unique insights and perspectives to improve our business.</w:t>
      </w:r>
    </w:p>
    <w:p>
      <w:pPr>
        <w:spacing w:after="0" w:line="96"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 xml:space="preserve">We have continued our efforts to create an inclusive workplace with the goal of ensuring that all employees feel safe to speak up and share their ideas at work. Our </w:t>
      </w:r>
      <w:r>
        <w:rPr>
          <w:rFonts w:ascii="Arial" w:cs="Arial" w:eastAsia="Arial" w:hAnsi="Arial"/>
          <w:sz w:val="17"/>
          <w:szCs w:val="17"/>
          <w:i w:val="1"/>
          <w:iCs w:val="1"/>
          <w:color w:val="auto"/>
        </w:rPr>
        <w:t>Make it Safe to Thrive</w:t>
      </w:r>
      <w:r>
        <w:rPr>
          <w:rFonts w:ascii="Arial" w:cs="Arial" w:eastAsia="Arial" w:hAnsi="Arial"/>
          <w:sz w:val="17"/>
          <w:szCs w:val="17"/>
          <w:color w:val="auto"/>
        </w:rPr>
        <w:t xml:space="preserve"> education and awareness program is designed to help employees and leaders understand how individual psychological safety can be created and enhanced and includes live and online training and a monthly video series.</w:t>
      </w:r>
    </w:p>
    <w:p>
      <w:pPr>
        <w:spacing w:after="0" w:line="7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Lilly is committed to fostering a culture of diversity and respect in the workplace—an environment free of discrimination, harassment, or retaliation of any kind. In 2022, as part of our annual review of The Red Book (Lilly's comprehensive code of business conduct applicable to our board and all employees worldwide) and related policies and procedures, we revised the Global Conduct in the Workplace procedure to continue to help ensure that we maintain a respectful, safe, inclusive, and professional workplace.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 and Safety</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As the COVID-19 pandemic has evolved, we have taken various measures to protect and support the health and safety of our employees globally, including instituting travel restrictions and work-from-home arrangements, offering onsite testing and vaccination options where possible, and instituting safety precautions such as masking, social distancing, and enhanced cleaning practices. To support employee well-being in the U.S., we also enhanced local benefits related to health care, childcare, and time off. We believe this holistic approach and dedication to safety helps us be our best as we deliver on our company purpose to improve lives around the world.</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Information Available on Our Website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www.lilly.com</w:t>
      </w:r>
      <w:r>
        <w:rPr>
          <w:rFonts w:ascii="Arial" w:cs="Arial" w:eastAsia="Arial" w:hAnsi="Arial"/>
          <w:sz w:val="18"/>
          <w:szCs w:val="18"/>
          <w:color w:val="auto"/>
        </w:rPr>
        <w:t xml:space="preserve">. None of the information accessible on or through our website is incorporated into this Annual Report on Form 10-K. We make available through the website, free of charge, our company filings with the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Paper copies of the company's Annual Report on Form 10-K and Quarterly Reports on Form 10-Q that are filed with the SEC are available without charge upon written request to:</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Indianapolis, Indiana 46285</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addition, the Governance portion of our website includes our corporate governance guidelines, board of directors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lilly.com/leadership/governance</w:t>
      </w:r>
      <w:r>
        <w:rPr>
          <w:rFonts w:ascii="Arial" w:cs="Arial" w:eastAsia="Arial" w:hAnsi="Arial"/>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0" w:right="379" w:bottom="1440" w:gutter="0" w:footer="0" w:header="0"/>
        </w:sectPr>
      </w:pPr>
    </w:p>
    <w:bookmarkStart w:id="22" w:name="page23"/>
    <w:bookmarkEnd w:id="22"/>
    <w:p>
      <w:pPr>
        <w:spacing w:after="0"/>
        <w:rPr>
          <w:sz w:val="20"/>
          <w:szCs w:val="20"/>
          <w:color w:val="auto"/>
        </w:rPr>
      </w:pPr>
      <w:r>
        <w:rPr>
          <w:rFonts w:ascii="Arial" w:cs="Arial" w:eastAsia="Arial" w:hAnsi="Arial"/>
          <w:sz w:val="32"/>
          <w:szCs w:val="32"/>
          <w:b w:val="1"/>
          <w:bCs w:val="1"/>
          <w:i w:val="1"/>
          <w:iCs w:val="1"/>
          <w:color w:val="auto"/>
        </w:rPr>
        <w:t>Item 1A.Risk Factors</w:t>
      </w:r>
    </w:p>
    <w:p>
      <w:pPr>
        <w:spacing w:after="0" w:line="15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our company. It is possible that our business, financial condition, liquidity, cash flows, or results of operations could be materially adversely affected by any of these risks. Certain of these risks could also adversely affect the company's reputation. Additional risks and uncertainties not presently known to us or that we currently believe to be immaterial could also adversely affect our business and reputation.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left="340" w:right="140" w:hanging="332"/>
        <w:spacing w:after="0" w:line="268" w:lineRule="auto"/>
        <w:tabs>
          <w:tab w:leader="none" w:pos="33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The COVID-19 pandemic has adversely impacted and may continue to adversely impact our business and operations. We are currently unable to predict the full extent to which the COVID-19 pandemic or any future pandemic, epidemic, or similar public health threat will adversely impact our business and operations in the future.</w:t>
      </w:r>
    </w:p>
    <w:p>
      <w:pPr>
        <w:spacing w:after="0" w:line="84" w:lineRule="exact"/>
        <w:rPr>
          <w:rFonts w:ascii="Arial" w:cs="Arial" w:eastAsia="Arial" w:hAnsi="Arial"/>
          <w:sz w:val="18"/>
          <w:szCs w:val="18"/>
          <w:b w:val="1"/>
          <w:bCs w:val="1"/>
          <w:color w:val="auto"/>
        </w:rPr>
      </w:pPr>
    </w:p>
    <w:p>
      <w:pPr>
        <w:ind w:left="340" w:right="30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The COVID-19 pandemic continues to burden healthcare systems worldwide. The focus of resources on COVID-19, widespread protective measures implemented to control the spread of COVID-19, and the resulting strain on global transportation, manufacturing, and labor markets have negatively impacted development, manufacturing, supply, distribution, and sales of our medicines.</w:t>
      </w:r>
    </w:p>
    <w:p>
      <w:pPr>
        <w:spacing w:after="0" w:line="76" w:lineRule="exact"/>
        <w:rPr>
          <w:rFonts w:ascii="Arial" w:cs="Arial" w:eastAsia="Arial" w:hAnsi="Arial"/>
          <w:sz w:val="18"/>
          <w:szCs w:val="18"/>
          <w:b w:val="1"/>
          <w:bCs w:val="1"/>
          <w:color w:val="auto"/>
        </w:rPr>
      </w:pPr>
    </w:p>
    <w:p>
      <w:pPr>
        <w:ind w:left="340"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Although in-person interactions with healthcare professionals have largely resumed, we continue to see a lack of "normal" access and fewer in-person interactions by patients and our employees with healthcare professionals. As the COVID-19 pandemic continues to develop, we may decide to halt such in-person interactions in the future and, in those cases, expect to resume such interactions as it is safe to do so and in compliance with applicable guidance and requirements.</w:t>
      </w:r>
    </w:p>
    <w:p>
      <w:pPr>
        <w:spacing w:after="0" w:line="95" w:lineRule="exact"/>
        <w:rPr>
          <w:rFonts w:ascii="Arial" w:cs="Arial" w:eastAsia="Arial" w:hAnsi="Arial"/>
          <w:sz w:val="18"/>
          <w:szCs w:val="18"/>
          <w:b w:val="1"/>
          <w:bCs w:val="1"/>
          <w:color w:val="auto"/>
        </w:rPr>
      </w:pPr>
    </w:p>
    <w:p>
      <w:pPr>
        <w:ind w:left="34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strain on global transportation, logistics, and labor markets caused by the COVID-19 pandemic and an increase in overall demand in our industry for certain materials resulting in changed buying patterns and constrained supply have had, and may continue to have, a number of impacts on our business, including increased costs to provide a consistent supply of our medicines where they are needed and disruptions and shortages in the supply of our medicines. These factors may negatively affect our results of operations.</w:t>
      </w:r>
    </w:p>
    <w:p>
      <w:pPr>
        <w:spacing w:after="0" w:line="95" w:lineRule="exact"/>
        <w:rPr>
          <w:rFonts w:ascii="Arial" w:cs="Arial" w:eastAsia="Arial" w:hAnsi="Arial"/>
          <w:sz w:val="18"/>
          <w:szCs w:val="18"/>
          <w:b w:val="1"/>
          <w:bCs w:val="1"/>
          <w:color w:val="auto"/>
        </w:rPr>
      </w:pPr>
    </w:p>
    <w:p>
      <w:pPr>
        <w:ind w:left="34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We also face risks and uncertainties related to our COVID-19 therapies, including heightened regulatory scrutiny of our manufacturing practices, quality assurance, and similar regulations, restrictions on administration that limit widespread and timely access to our therapies, and risks related to handling, return, and/or refund of product after delivery by us. In addition, expedited authorization processes have allowed restricted distribution of products with less than typical safety and efficacy data, and additional data that become available may call into question the safety or effectiveness of our COVID-19 therapies. The availability of superior or competitive therapies, including therapies that can be administered more easily, or preventative measures such as vaccines, coupled with the unpredictable nature of pandemics, have and could further negatively impact or eliminate demand for our COVID-19 therapies. We also expect that additional revenue from the sale of bamlanivimab and etesevimab after the first quarter of 2022 will be limited. Mutations or the spread of other variants of the coronavirus have in some cases impacted the effectiveness of our COVID-19 therapies, and may further render our therapies more or less effective or ineffective. Furthermore, the FDA has revised, and may in the future revise, any EUA for our COVID-19 therapies in response to the prevalence of variants against which our therapies have varying degrees of efficacy. These and other risks related to COVID-19 could affect other aspects of our business or intensify other risks inherent in our business, including potentially resulting in delays or denials in the approval or launch of other products or indications.</w:t>
      </w:r>
    </w:p>
    <w:p>
      <w:pPr>
        <w:spacing w:after="0" w:line="101" w:lineRule="exact"/>
        <w:rPr>
          <w:rFonts w:ascii="Arial" w:cs="Arial" w:eastAsia="Arial" w:hAnsi="Arial"/>
          <w:sz w:val="18"/>
          <w:szCs w:val="18"/>
          <w:b w:val="1"/>
          <w:bCs w:val="1"/>
          <w:color w:val="auto"/>
        </w:rPr>
      </w:pPr>
    </w:p>
    <w:p>
      <w:pPr>
        <w:ind w:left="340" w:right="1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It remains difficult to reasonably assess or predict the full extent of the ongoing impact of the COVID-19 pandemic on us. The degree to which the COVID-19 pandemic continues to affect us will depend on developments that are highly uncertain and beyond our knowledge or control, including, but not limited to, the duration and severity of the pandemic, the actions taken to reduce its transmission, including widespread availability and efficacy of vaccines, the introduction and spread of new variants of the coronavirus that may be resistant to currently approved vaccines, the continuation of existing or implementation of new government restrictions and the speed with which, and extent to which, more stable economic and operating conditions resume. Should the COVID-19 pandemic, or any future pandemic, epidemic, or similar public health threat, and any associated supply chain disruption, labor</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3" w:name="page24"/>
    <w:bookmarkEnd w:id="23"/>
    <w:p>
      <w:pPr>
        <w:ind w:left="340"/>
        <w:spacing w:after="0" w:line="261" w:lineRule="auto"/>
        <w:rPr>
          <w:sz w:val="20"/>
          <w:szCs w:val="20"/>
          <w:color w:val="auto"/>
        </w:rPr>
      </w:pPr>
      <w:r>
        <w:rPr>
          <w:rFonts w:ascii="Arial" w:cs="Arial" w:eastAsia="Arial" w:hAnsi="Arial"/>
          <w:sz w:val="18"/>
          <w:szCs w:val="18"/>
          <w:color w:val="auto"/>
        </w:rPr>
        <w:t>market impact, recession, or depression continue for a prolonged period, these risks could be exacerbated, causing further impact on our business and operations in the future.</w:t>
      </w:r>
    </w:p>
    <w:p>
      <w:pPr>
        <w:spacing w:after="0" w:line="68" w:lineRule="exact"/>
        <w:rPr>
          <w:sz w:val="20"/>
          <w:szCs w:val="20"/>
          <w:color w:val="auto"/>
        </w:rPr>
      </w:pPr>
    </w:p>
    <w:p>
      <w:pPr>
        <w:jc w:val="both"/>
        <w:ind w:left="340" w:hanging="332"/>
        <w:spacing w:after="0" w:line="268" w:lineRule="auto"/>
        <w:tabs>
          <w:tab w:leader="none" w:pos="33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Pharmaceutical research and development is very costly and highly uncertain; we may not succeed in developing, licensing, or acquiring commercially successful products sufficient in number or value to replace revenues of products that have lost or will soon lose intellectual property protection or are displaced by competing products or therapies.</w:t>
      </w:r>
    </w:p>
    <w:p>
      <w:pPr>
        <w:spacing w:after="0" w:line="84" w:lineRule="exact"/>
        <w:rPr>
          <w:rFonts w:ascii="Arial" w:cs="Arial" w:eastAsia="Arial" w:hAnsi="Arial"/>
          <w:sz w:val="18"/>
          <w:szCs w:val="18"/>
          <w:b w:val="1"/>
          <w:bCs w:val="1"/>
          <w:color w:val="auto"/>
        </w:rPr>
      </w:pPr>
    </w:p>
    <w:p>
      <w:pPr>
        <w:ind w:left="340" w:right="3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are many difficulties and uncertainties inherent in pharmaceutical research and development, the introduction of new products, and business development activities to enhance our product pipeline.</w:t>
      </w:r>
    </w:p>
    <w:p>
      <w:pPr>
        <w:spacing w:after="0" w:line="89" w:lineRule="exact"/>
        <w:rPr>
          <w:rFonts w:ascii="Arial" w:cs="Arial" w:eastAsia="Arial" w:hAnsi="Arial"/>
          <w:sz w:val="18"/>
          <w:szCs w:val="18"/>
          <w:b w:val="1"/>
          <w:bCs w:val="1"/>
          <w:color w:val="auto"/>
        </w:rPr>
      </w:pPr>
    </w:p>
    <w:p>
      <w:pPr>
        <w:ind w:left="3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limited scope of approved uses, label changes, changes in the relevant treatment standards or the availability of new or better competitive products, difficulty or excessive costs to manufacture, or infringement of the patents or intellectual property rights of others. Regulatory agencies establish high hurdles for the efficacy and safety of new products and indications. Delays and uncertainties in drug approval processes can result in delays in product launches and lost market opportunity. In addition, it can be very difficult to predict revenue growth rates of new products and indications.</w:t>
      </w:r>
    </w:p>
    <w:p>
      <w:pPr>
        <w:spacing w:after="0" w:line="103" w:lineRule="exact"/>
        <w:rPr>
          <w:rFonts w:ascii="Arial" w:cs="Arial" w:eastAsia="Arial" w:hAnsi="Arial"/>
          <w:sz w:val="18"/>
          <w:szCs w:val="18"/>
          <w:b w:val="1"/>
          <w:bCs w:val="1"/>
          <w:color w:val="auto"/>
        </w:rPr>
      </w:pPr>
    </w:p>
    <w:p>
      <w:pPr>
        <w:ind w:left="340" w:right="2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We cannot state with certainty when or whether our products now under development will be approved or launched; whether, if initially granted, such approval will be maintained; whether we will be able to develop, license, or otherwise acquire additional product candidates or products; or whether our products, once launched, will be commercially successful.</w:t>
      </w:r>
    </w:p>
    <w:p>
      <w:pPr>
        <w:spacing w:after="0" w:line="93" w:lineRule="exact"/>
        <w:rPr>
          <w:rFonts w:ascii="Arial" w:cs="Arial" w:eastAsia="Arial" w:hAnsi="Arial"/>
          <w:sz w:val="18"/>
          <w:szCs w:val="18"/>
          <w:b w:val="1"/>
          <w:bCs w:val="1"/>
          <w:color w:val="auto"/>
        </w:rPr>
      </w:pPr>
    </w:p>
    <w:p>
      <w:pPr>
        <w:ind w:left="340" w:right="1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must maintain a continuous flow of successful new products and successful new indications or brand extensions for existing products, both through our internal efforts and our business development activities, sufficient both to cover our substantial research and development costs and to replace revenues that are lost as profitable products lose intellectual property exclusivity or are displaced by competing products or therapies. Failure to do so in the short-term or long-term would have a material adverse effect on our business, results of operations, cash flows, and financial position.</w:t>
      </w:r>
    </w:p>
    <w:p>
      <w:pPr>
        <w:spacing w:after="0" w:line="97" w:lineRule="exact"/>
        <w:rPr>
          <w:rFonts w:ascii="Arial" w:cs="Arial" w:eastAsia="Arial" w:hAnsi="Arial"/>
          <w:sz w:val="18"/>
          <w:szCs w:val="18"/>
          <w:b w:val="1"/>
          <w:bCs w:val="1"/>
          <w:color w:val="auto"/>
        </w:rPr>
      </w:pPr>
    </w:p>
    <w:p>
      <w:pPr>
        <w:ind w:left="34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We engage in various forms of business development activities to enhance our product pipeline, including licensing arrangements, co-development agreements, co-promotion arrangements, joint ventures, acquisitions, and equity investments. There are substantial risks associated with identifying successful business development targets and consummating related transactions. Increased focus on business combinations in our industry, including by the Federal Trade Commission, and heightened competition for attractive targets has and could continue to delay, jeopardize or increase the costs of our business development activities. In addition, failures or difficulties in integrating or retaining new personnel or the operations of the businesses, products, or assets we acquire (including related technology, commercial operations, compliance programs, manufacturing, distribution, and general business operations and procedures) may affect our ability to realize the expected benefits of business development transactions and may result in our incurrence of substantial asset impairment or restructuring charges. We also may fail to generate the expected revenue and pipeline enhancement from business development activities due to developments outside our control, including unsuccessful clinical trials, issues related to the quality, integrity, or broad applicability of data, regulatory impediments, and commercialization challenges. Accordingly, business development transactions may not be completed in a timely manner (if at all), may not result in successful commercialization of any product, and may give rise to legal proceedings or regulatory scrutiny.</w:t>
      </w:r>
    </w:p>
    <w:p>
      <w:pPr>
        <w:spacing w:after="0" w:line="101" w:lineRule="exact"/>
        <w:rPr>
          <w:rFonts w:ascii="Arial" w:cs="Arial" w:eastAsia="Arial" w:hAnsi="Arial"/>
          <w:sz w:val="18"/>
          <w:szCs w:val="18"/>
          <w:b w:val="1"/>
          <w:bCs w:val="1"/>
          <w:color w:val="auto"/>
        </w:rPr>
      </w:pPr>
    </w:p>
    <w:p>
      <w:pPr>
        <w:ind w:left="340" w:right="2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See Item 1, "Business - Research and Development - Phases of New Drug Development" and Item 7, "Management's Discussion and Analysis - Results of Operations - Executive Overview - Late-Stage Pipeline," for more details about our current product pipeline.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4" w:name="page25"/>
    <w:bookmarkEnd w:id="24"/>
    <w:p>
      <w:pPr>
        <w:ind w:left="340" w:right="160" w:hanging="332"/>
        <w:spacing w:after="0" w:line="268" w:lineRule="auto"/>
        <w:tabs>
          <w:tab w:leader="none" w:pos="33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depend on products with intellectual property protection for most of our revenues, cash flows, and earnings; we have lost or soon will lose effective intellectual property protection for a number of our products, which has resulted and is likely to continue to result in rapid and severe declines in revenues.</w:t>
      </w:r>
    </w:p>
    <w:p>
      <w:pPr>
        <w:spacing w:after="0" w:line="84" w:lineRule="exact"/>
        <w:rPr>
          <w:rFonts w:ascii="Arial" w:cs="Arial" w:eastAsia="Arial" w:hAnsi="Arial"/>
          <w:sz w:val="18"/>
          <w:szCs w:val="18"/>
          <w:b w:val="1"/>
          <w:bCs w:val="1"/>
          <w:color w:val="auto"/>
        </w:rPr>
      </w:pPr>
    </w:p>
    <w:p>
      <w:pPr>
        <w:ind w:left="34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number of our products, including Alimta and Forteo, have recently lost, or soon will lose, significant patent protection and/or data protection in the U.S. as well as in key jurisdictions outside the U.S. We have faced, and remain exposed to, generic competition following the loss of such intellectual property protection. In particular, we expect that the entry of generic competition for Alimta in the U.S. following the loss of patent exclusivity will cause a rapid and severe decline in revenue for the product and have a material adverse effect on our consolidated results of operations and cash flows.</w:t>
      </w:r>
    </w:p>
    <w:p>
      <w:pPr>
        <w:spacing w:after="0" w:line="97" w:lineRule="exact"/>
        <w:rPr>
          <w:rFonts w:ascii="Arial" w:cs="Arial" w:eastAsia="Arial" w:hAnsi="Arial"/>
          <w:sz w:val="18"/>
          <w:szCs w:val="18"/>
          <w:b w:val="1"/>
          <w:bCs w:val="1"/>
          <w:color w:val="auto"/>
        </w:rPr>
      </w:pPr>
    </w:p>
    <w:p>
      <w:pPr>
        <w:ind w:left="34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Certain other significant products no longer have effective exclusivity through patent protection or data protection. For non-biologic products, loss of exclusivity (whether by expiration of legal rights or by termination thereof as a consequence of litigation) typically results in the entry of one or more generic competitors, leading to a rapid and severe decline in revenues, especially in the U.S. For biologics (such as Humalog, Humulin, Erbitux, Cyramza, Trulicity, Taltz, and Emgality), loss of exclusivity may or may not result in the near-term entry of competitor versions (i.e., biosimilars) due to many factors, including development timelines, manufacturing challenges, and/or uncertainties regarding the regulatory pathways for approval of the competitor versions. Generic pharmaceutical companies could also introduce a generic product before resolution of any related patent litigation.</w:t>
      </w:r>
    </w:p>
    <w:p>
      <w:pPr>
        <w:spacing w:after="0" w:line="98" w:lineRule="exact"/>
        <w:rPr>
          <w:rFonts w:ascii="Arial" w:cs="Arial" w:eastAsia="Arial" w:hAnsi="Arial"/>
          <w:sz w:val="18"/>
          <w:szCs w:val="18"/>
          <w:b w:val="1"/>
          <w:bCs w:val="1"/>
          <w:color w:val="auto"/>
        </w:rPr>
      </w:pPr>
    </w:p>
    <w:p>
      <w:pPr>
        <w:ind w:left="34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may assert claims that our activities infringe patents or other intellectual property rights held by them, or allege a third-party right of ownership in our existing intellectual property. See Item 7, "Management's Discussion and Analysis - Results of Operations - Executive Overview - Other Matters - Patent Matters," and Item 1, "Business - Patents, Trademarks, and Other Intellectual Property Rights," for more details.</w:t>
      </w:r>
    </w:p>
    <w:p>
      <w:pPr>
        <w:spacing w:after="0" w:line="76" w:lineRule="exact"/>
        <w:rPr>
          <w:rFonts w:ascii="Arial" w:cs="Arial" w:eastAsia="Arial" w:hAnsi="Arial"/>
          <w:sz w:val="18"/>
          <w:szCs w:val="18"/>
          <w:b w:val="1"/>
          <w:bCs w:val="1"/>
          <w:color w:val="auto"/>
        </w:rPr>
      </w:pPr>
    </w:p>
    <w:p>
      <w:pPr>
        <w:ind w:left="340" w:right="960" w:hanging="332"/>
        <w:spacing w:after="0" w:line="287" w:lineRule="auto"/>
        <w:tabs>
          <w:tab w:leader="none" w:pos="33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66" w:lineRule="exact"/>
        <w:rPr>
          <w:rFonts w:ascii="Arial" w:cs="Arial" w:eastAsia="Arial" w:hAnsi="Arial"/>
          <w:sz w:val="18"/>
          <w:szCs w:val="18"/>
          <w:b w:val="1"/>
          <w:bCs w:val="1"/>
          <w:color w:val="auto"/>
        </w:rPr>
      </w:pPr>
    </w:p>
    <w:p>
      <w:pPr>
        <w:ind w:left="34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or acquire, develop, and commercialize innovative new medicines. Without strong intellectual property protection, we would be unable to generate the returns necessary to support our significant investments in research and development, as well as the other expenditures required to bring new drugs to the market. Intellectual property protection varies throughout the world and is subject to change over time, depending on local laws and regulations. Changes to such laws and regulations could reduce protections for our innovative products. In the U.S., in addition to the process for challenging patents set forth in the BPCIA, which applies to biologic products, the Hatch-Waxman Act provides generic companies substantial incentives to seek to invalidate our patents covering pharmaceutical products. As a result, we expect that our U.S. patents on major pharmaceutical products, including biologics, will continue to be routinely challenged in litigation and may not be upheld. In addition, a separate IPR process currently allows competitors to seek invalidation of patents at the USPTO without the protections of the BPCIA or Hatch-Waxman Act. The use of IPR proceedings after the institution of litigation pursuant to the BPCIA or Hatch-Waxman Act is currently a topic of debate among legislators and the future ability of our competitors to use IPR proceedings as an alternative to Hatch-Waxman Act or BPCIA litigation procedures to challenge our patents remains uncertain. However, if our patents are challenged through this expedited review process, even if we prevail in demonstrating the validity of our patent, our win provides limited precedential value at the PTAB and no precedential value in federal district court, meaning the same patent can be challenged by other competitors. 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significant damages for past infringement or royalties on future sales. In addition, intellectual property protection in certain jurisdictions outside the U.S. is weak and we face additional risks to our intellectual property rights, including competition with generic or counterfeit versions of our products relatively shortly after launch. See Item 1, "Business -</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Patents, Trademarks, and Other Intellectual Property Rights," and Item 8, "Financial Statements and Supplementary Data - Note 16: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Contingencies," for more details.</w:t>
      </w:r>
    </w:p>
    <w:p>
      <w:pPr>
        <w:spacing w:after="0" w:line="95" w:lineRule="exact"/>
        <w:rPr>
          <w:sz w:val="20"/>
          <w:szCs w:val="20"/>
          <w:color w:val="auto"/>
        </w:rPr>
      </w:pPr>
    </w:p>
    <w:p>
      <w:pPr>
        <w:ind w:left="340" w:right="100" w:hanging="332"/>
        <w:spacing w:after="0" w:line="318" w:lineRule="auto"/>
        <w:tabs>
          <w:tab w:leader="none" w:pos="335"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We and our products face intense competition from multinational pharmaceutical companies, biotechnology companies, and lower-cost generic and biosimilar manufacturers, and such competition could have a material adverse effect on our business.</w:t>
      </w:r>
    </w:p>
    <w:p>
      <w:pPr>
        <w:spacing w:after="0" w:line="43" w:lineRule="exact"/>
        <w:rPr>
          <w:rFonts w:ascii="Arial" w:cs="Arial" w:eastAsia="Arial" w:hAnsi="Arial"/>
          <w:sz w:val="17"/>
          <w:szCs w:val="17"/>
          <w:color w:val="auto"/>
        </w:rPr>
      </w:pPr>
    </w:p>
    <w:p>
      <w:pPr>
        <w:ind w:left="340"/>
        <w:spacing w:after="0" w:line="252" w:lineRule="auto"/>
        <w:rPr>
          <w:rFonts w:ascii="Arial" w:cs="Arial" w:eastAsia="Arial" w:hAnsi="Arial"/>
          <w:sz w:val="17"/>
          <w:szCs w:val="17"/>
          <w:color w:val="auto"/>
        </w:rPr>
      </w:pPr>
      <w:r>
        <w:rPr>
          <w:rFonts w:ascii="Arial" w:cs="Arial" w:eastAsia="Arial" w:hAnsi="Arial"/>
          <w:sz w:val="18"/>
          <w:szCs w:val="18"/>
          <w:color w:val="auto"/>
        </w:rPr>
        <w:t>We compete with a large number of multinational pharmaceutical companies, biotechnology companies, and generic pharmaceutical companies and, in many cases, our products compete against the leading products of one or more of our competitors.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Our revenues can also be adversely affected by treatment innovations that eliminate or minimize the need for treatment with our drugs.</w:t>
      </w:r>
    </w:p>
    <w:p>
      <w:pPr>
        <w:spacing w:after="0" w:line="98" w:lineRule="exact"/>
        <w:rPr>
          <w:rFonts w:ascii="Arial" w:cs="Arial" w:eastAsia="Arial" w:hAnsi="Arial"/>
          <w:sz w:val="17"/>
          <w:szCs w:val="17"/>
          <w:color w:val="auto"/>
        </w:rPr>
      </w:pPr>
    </w:p>
    <w:p>
      <w:pPr>
        <w:ind w:left="340" w:right="140"/>
        <w:spacing w:after="0" w:line="252" w:lineRule="auto"/>
        <w:rPr>
          <w:rFonts w:ascii="Arial" w:cs="Arial" w:eastAsia="Arial" w:hAnsi="Arial"/>
          <w:sz w:val="17"/>
          <w:szCs w:val="17"/>
          <w:color w:val="auto"/>
        </w:rPr>
      </w:pPr>
      <w:r>
        <w:rPr>
          <w:rFonts w:ascii="Arial" w:cs="Arial" w:eastAsia="Arial" w:hAnsi="Arial"/>
          <w:sz w:val="18"/>
          <w:szCs w:val="18"/>
          <w:color w:val="auto"/>
        </w:rPr>
        <w:t>Regulation of generic and biosimilar products varies around the world and such regulation is complex and subject to ongoing interpretation and implementation by regulatory agencies and courts. Particularly for biosimilars, recent health authority guidelines and legislative proposals could make it less burdensome for competitor products to enter the market and further incentivize uptake of biosimilars. In the U.S., the FDA has begun issuing "interchangeability" designations for biosimilar products, which could – subject to state law requirements – enable pharmacies to substitute biosimilars for innovator biological products. Given the importance of biologic products to our clinical-stage pipeline, such regulation could have a material adverse effect on our business. See Item 1, "Business - Competition" and "Business - Research and Development," for more details.</w:t>
      </w:r>
    </w:p>
    <w:p>
      <w:pPr>
        <w:spacing w:after="0" w:line="98" w:lineRule="exact"/>
        <w:rPr>
          <w:rFonts w:ascii="Arial" w:cs="Arial" w:eastAsia="Arial" w:hAnsi="Arial"/>
          <w:sz w:val="17"/>
          <w:szCs w:val="17"/>
          <w:color w:val="auto"/>
        </w:rPr>
      </w:pPr>
    </w:p>
    <w:p>
      <w:pPr>
        <w:ind w:left="340" w:right="20"/>
        <w:spacing w:after="0" w:line="251" w:lineRule="auto"/>
        <w:rPr>
          <w:rFonts w:ascii="Arial" w:cs="Arial" w:eastAsia="Arial" w:hAnsi="Arial"/>
          <w:sz w:val="17"/>
          <w:szCs w:val="17"/>
          <w:color w:val="auto"/>
        </w:rPr>
      </w:pPr>
      <w:r>
        <w:rPr>
          <w:rFonts w:ascii="Arial" w:cs="Arial" w:eastAsia="Arial" w:hAnsi="Arial"/>
          <w:sz w:val="18"/>
          <w:szCs w:val="18"/>
          <w:color w:val="auto"/>
        </w:rPr>
        <w:t>In addition, we rely on our ability to attract, engage, and retain highly qualified and skilled personnel in order to compete effectively. To continue to commercialize our products, and advance the research, development, and commercialization of additional modalities and product candidates, we may need to expand our workforce, including in the areas of manufacturing, clinical trials management, regulatory affairs, and sales and marketing, both in and outside the U.S. We continue to face intense competition for qualified individuals from numerous multinational pharmaceutical companies, biotechnology companies, academic and other research institutions, as well as employers near our manufacturing and other facilities, which has and may continue to increase our labor costs. Our ability to attract and retain talent in our increasingly competitive environment may be further complicated by evolving employment trends arising from the COVID-19 pandemic, including vaccination mandates, increased preferences for remote, alternative, or flexible work arrangements, and other factors. Our failure to compete effectively for talent could negatively affect sales of our current and any future approved products, and could result in material financial, legal, commercial, or reputational harm to our business.</w:t>
      </w:r>
    </w:p>
    <w:p>
      <w:pPr>
        <w:spacing w:after="0" w:line="81" w:lineRule="exact"/>
        <w:rPr>
          <w:rFonts w:ascii="Arial" w:cs="Arial" w:eastAsia="Arial" w:hAnsi="Arial"/>
          <w:sz w:val="17"/>
          <w:szCs w:val="17"/>
          <w:color w:val="auto"/>
        </w:rPr>
      </w:pPr>
    </w:p>
    <w:p>
      <w:pPr>
        <w:ind w:left="340" w:hanging="332"/>
        <w:spacing w:after="0" w:line="268" w:lineRule="auto"/>
        <w:tabs>
          <w:tab w:leader="none" w:pos="33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Failure, inadequacy, breach of, or unauthorized access to, our IT systems or those of our third-party service providers, unauthorized access to our confidential information, or violations of data protection laws, could each result in material harm to our business and reputation.</w:t>
      </w:r>
    </w:p>
    <w:p>
      <w:pPr>
        <w:spacing w:after="0" w:line="84" w:lineRule="exact"/>
        <w:rPr>
          <w:rFonts w:ascii="Arial" w:cs="Arial" w:eastAsia="Arial" w:hAnsi="Arial"/>
          <w:sz w:val="18"/>
          <w:szCs w:val="18"/>
          <w:b w:val="1"/>
          <w:bCs w:val="1"/>
          <w:color w:val="auto"/>
        </w:rPr>
      </w:pPr>
    </w:p>
    <w:p>
      <w:pPr>
        <w:ind w:left="34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A great deal of confidential information owned by us or our business partners or other third parties is stored in our information systems, networks, and facilities or those of third parties. This includes valuable trade secrets and intellectual property, clinical trial information, corporate strategic plans, marketing plans, customer information, and personally identifiable information, such as employee and patient information (collectively, confidential information). We also rely, to a large extent, on the efficient and uninterrupted operation of complex information technology systems, infrastructure, and hardware (together, IT systems), some of which are within our control and some of which are within the control of third parties, to accumulate, process, store, and transmit large amounts of confidential information and other data. We are subject to a variety of continuously evolving and developing laws and regulations around the world related to privacy, data protection, and data security. Maintaining the security, confidentiality, integrity and availability of our IT systems and confidential information is vital to our business. Our failure, or the failure of our third party service providers, to protect and maintain the security, confidentiality, integrity, and availability of our (or their) IT systems and our confidential information and other data could significantly harm our reputation as well as result in significant costs, including those related to fines, litigation, and obligations to comply with applicable data breach laws.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9" w:right="399" w:bottom="1440" w:gutter="0" w:footer="0" w:header="0"/>
        </w:sectPr>
      </w:pPr>
    </w:p>
    <w:bookmarkStart w:id="26" w:name="page27"/>
    <w:bookmarkEnd w:id="26"/>
    <w:p>
      <w:pPr>
        <w:ind w:left="340" w:right="60"/>
        <w:spacing w:after="0" w:line="251" w:lineRule="auto"/>
        <w:rPr>
          <w:sz w:val="20"/>
          <w:szCs w:val="20"/>
          <w:color w:val="auto"/>
        </w:rPr>
      </w:pPr>
      <w:r>
        <w:rPr>
          <w:rFonts w:ascii="Arial" w:cs="Arial" w:eastAsia="Arial" w:hAnsi="Arial"/>
          <w:sz w:val="18"/>
          <w:szCs w:val="18"/>
          <w:color w:val="auto"/>
        </w:rPr>
        <w:t>IT systems are vulnerable to system inadequacies, operating failures, service interruptions or failures, security breaches, malicious intrusions, or cyber-attacks from a variety of sources. Cyber-attacks are growing in their frequency, sophistication, and intensity, and are becoming increasingly difficult to detect, mitigate, or prevent. Cyber-attacks come in many forms, including the deployment of harmful malware, exploitation of vulnerabilities (including those of third-party software or systems), denial-of-service attacks, the use of social engineering, and other means to compromise the confidentiality, integrity and availability of our IT systems, confidential information, and other data. Breaches resulting in the compromise, disruption, degradation, manipulation, loss, theft, destruction, or unauthorized disclosure or use of confidential information, or the unauthorized access to, disruption of, or interference with our IT systems, products and services, can occur in a variety of ways, including but not limited to, negligent or wrongful conduct by employees or others with permitted access to our systems and information, or wrongful conduct by hackers, competitors, certain governments or nation-states, or other current or former company personnel. Our third-party partners, including third-party providers of data hosting or cloud services, as well as suppliers, distributors, alliances, and other third parties with whom we may share data, face similar risks, which could affect us directly or indirectly. The healthcare industry has been and continues to be a target for cyber-attacks, and the number of threats has only increased over time. Numerous federal agencies that monitor and regulate internet and cyber-crime have issued guidance, alerts and directives warning of software vulnerabilities that require immediate patching, malicious actors targeting healthcare related systems and nation-state sponsored hacking designed to steal valuable information.</w:t>
      </w:r>
    </w:p>
    <w:p>
      <w:pPr>
        <w:spacing w:after="0" w:line="101"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failure, inadequacy, or breach of our IT systems or business processes, the compromise, disruption, degradation, manipulation, loss, theft, destruction, or unauthorized access to, disclosure or use of, confidential information, or the unauthorized access to, disruption of, or interference with our products and services that rely on IT systems or business processes, could impair our ability to secure and maintain intellectual property rights; result in a product manufacturing interruption or failure, or in the interruption or failure of products or services that rely on IT systems or business processes; damage our operations, customer relationships, or reputation; result in unfavorable clinical trial results by virtue of incorrect or unreliable data; and/or cause us to lose trade secrets or other competitive advantages. Unauthorized disclosure of personally identifiable information could expose us to significant sanctions for violations of data privacy laws and regulations around the world and could damage public trust in our company. In addition, IT system security in jurisdictions outside the U.S. is weaker and may result in additional costs, uncertainties, and risks.</w:t>
      </w:r>
    </w:p>
    <w:p>
      <w:pPr>
        <w:spacing w:after="0" w:line="104"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To date, system inadequacies, operating failures, unauthorized access, service interruptions or failures, security breaches, malicious intrusions, cyber-attacks, and the compromise, disruption, degradation, manipulation, loss, theft, destruction, or unauthorized disclosure or use of confidential information have not had a material impact on our consolidated results of operations. We maintain cyber liability insurance; however, this insurance may not be sufficient to cover the financial, legal, business, or reputational losses that may result from an interruption or breach of our IT systems. We continue to implement measures in an effort to protect, detect, respond to, and minimize or prevent these risks and to enhance the resiliency of our IT systems; however, these measures may not be successful and we may fail to detect or remediate security breaches, malicious intrusions, cyber-attacks, or other compromises of our systems. Any of these events could result in material financial, legal, commercial, or reputational harm to our business.</w:t>
      </w:r>
    </w:p>
    <w:p>
      <w:pPr>
        <w:spacing w:after="0" w:line="75" w:lineRule="exact"/>
        <w:rPr>
          <w:sz w:val="20"/>
          <w:szCs w:val="20"/>
          <w:color w:val="auto"/>
        </w:rPr>
      </w:pPr>
    </w:p>
    <w:p>
      <w:pPr>
        <w:ind w:left="340" w:right="500" w:hanging="332"/>
        <w:spacing w:after="0" w:line="287" w:lineRule="auto"/>
        <w:tabs>
          <w:tab w:leader="none" w:pos="33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economic downturns or international trade and other global disruptions or disputes could adversely affect our business and operating results.</w:t>
      </w:r>
    </w:p>
    <w:p>
      <w:pPr>
        <w:spacing w:after="0" w:line="66" w:lineRule="exact"/>
        <w:rPr>
          <w:rFonts w:ascii="Arial" w:cs="Arial" w:eastAsia="Arial" w:hAnsi="Arial"/>
          <w:sz w:val="18"/>
          <w:szCs w:val="18"/>
          <w:b w:val="1"/>
          <w:bCs w:val="1"/>
          <w:color w:val="auto"/>
        </w:rPr>
      </w:pPr>
    </w:p>
    <w:p>
      <w:pPr>
        <w:ind w:left="34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While pharmaceuticals have generally been less sensitive to overall economic cycles, prolonged economic slowdowns could lead to decreased utilization of our products, affecting our sales volume. Declining tax revenues attributable to economic downturns increase the pressure on governments to reduce health care spending, leading to increasing government efforts to control drug prices and utilization. Additionally, some customers, including governments or other entities reliant upon government funding, may be unable to pay for our products in a timely manner. Also, if our customers, suppliers, or collaboration partners experience financial difficulties, we could experience slower customer collections, greater bad debt expense, and performance defaults by suppliers or collaboration partners. Similarly, in the event of a significant economic downturn, we could have difficulty accessing credit markets.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7" w:name="page28"/>
    <w:bookmarkEnd w:id="27"/>
    <w:p>
      <w:pPr>
        <w:ind w:left="340" w:right="80"/>
        <w:spacing w:after="0" w:line="252" w:lineRule="auto"/>
        <w:rPr>
          <w:sz w:val="20"/>
          <w:szCs w:val="20"/>
          <w:color w:val="auto"/>
        </w:rPr>
      </w:pPr>
      <w:r>
        <w:rPr>
          <w:rFonts w:ascii="Arial" w:cs="Arial" w:eastAsia="Arial" w:hAnsi="Arial"/>
          <w:sz w:val="18"/>
          <w:szCs w:val="18"/>
          <w:color w:val="auto"/>
        </w:rPr>
        <w:t>Significant portions of our business are conducted in Europe, including the United Kingdom, in Asia, including China, and in other international geographies. Trade and other global disputes and interruptions in international relationships, including related to tariffs, trade protection measures, import or export licensing requirements, the imposition of trade sanctions or similar restrictions by the U.S. or other governments, unrest or war, as well as pandemic diseases, such as COVID-19, affect our ability to do business. For example, tensions between the U.S. and China have led to a series of tariffs and sanctions being imposed by the U.S. on imports from China mainland, as well as other business restrictions. These and similar events could adversely affect us, or our business partners or customers.</w:t>
      </w:r>
    </w:p>
    <w:p>
      <w:pPr>
        <w:spacing w:after="0" w:line="77" w:lineRule="exact"/>
        <w:rPr>
          <w:sz w:val="20"/>
          <w:szCs w:val="20"/>
          <w:color w:val="auto"/>
        </w:rPr>
      </w:pPr>
    </w:p>
    <w:p>
      <w:pPr>
        <w:ind w:left="340" w:right="240" w:hanging="332"/>
        <w:spacing w:after="0" w:line="28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our revenues, income, and reputation.</w:t>
      </w:r>
    </w:p>
    <w:p>
      <w:pPr>
        <w:spacing w:after="0" w:line="66" w:lineRule="exact"/>
        <w:rPr>
          <w:rFonts w:ascii="Arial" w:cs="Arial" w:eastAsia="Arial" w:hAnsi="Arial"/>
          <w:sz w:val="18"/>
          <w:szCs w:val="18"/>
          <w:color w:val="auto"/>
        </w:rPr>
      </w:pPr>
    </w:p>
    <w:p>
      <w:pPr>
        <w:ind w:left="340"/>
        <w:spacing w:after="0" w:line="251" w:lineRule="auto"/>
        <w:rPr>
          <w:rFonts w:ascii="Arial" w:cs="Arial" w:eastAsia="Arial" w:hAnsi="Arial"/>
          <w:sz w:val="18"/>
          <w:szCs w:val="18"/>
          <w:color w:val="auto"/>
        </w:rPr>
      </w:pPr>
      <w:r>
        <w:rPr>
          <w:rFonts w:ascii="Arial" w:cs="Arial" w:eastAsia="Arial" w:hAnsi="Arial"/>
          <w:sz w:val="18"/>
          <w:szCs w:val="18"/>
          <w:color w:val="auto"/>
        </w:rPr>
        <w:t>Pharmaceutical products receive regulatory approval based on data obtained in controlled clinical trials of limited duration. After approval, the products are used for longer periods of time by much larger numbers of patients. Accordingly,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or other measures that could reduce the product's market acceptance and result in declining sales. Serious safety or efficacy issues that arise after product approval have, and could in the future, result in voluntary or mandatory product recalls or withdrawals from the market. Safety issues have, and could in the future, result in costly product liability claims. See also " - The COVID-19 pandemic has adversely impacted and may continue to adversely impact our business and operations. We are currently unable to predict the full extent to which the COVID-19 pandemic or any future pandemic, epidemic, or similar public health threat will adversely impact our business and operations in the future."</w:t>
      </w:r>
    </w:p>
    <w:p>
      <w:pPr>
        <w:spacing w:after="0" w:line="80" w:lineRule="exact"/>
        <w:rPr>
          <w:rFonts w:ascii="Arial" w:cs="Arial" w:eastAsia="Arial" w:hAnsi="Arial"/>
          <w:sz w:val="18"/>
          <w:szCs w:val="18"/>
          <w:color w:val="auto"/>
        </w:rPr>
      </w:pPr>
    </w:p>
    <w:p>
      <w:pPr>
        <w:ind w:left="340" w:right="460" w:hanging="332"/>
        <w:spacing w:after="0" w:line="268" w:lineRule="auto"/>
        <w:tabs>
          <w:tab w:leader="none" w:pos="33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face litigation and investigations related to our products, how we price our products, and how we commercialize our products; we could face large numbers of claims in the future, which could adversely affect our business, and we are self-insured for such matters.</w:t>
      </w:r>
    </w:p>
    <w:p>
      <w:pPr>
        <w:spacing w:after="0" w:line="84" w:lineRule="exact"/>
        <w:rPr>
          <w:rFonts w:ascii="Arial" w:cs="Arial" w:eastAsia="Arial" w:hAnsi="Arial"/>
          <w:sz w:val="18"/>
          <w:szCs w:val="18"/>
          <w:b w:val="1"/>
          <w:bCs w:val="1"/>
          <w:color w:val="auto"/>
        </w:rPr>
      </w:pPr>
    </w:p>
    <w:p>
      <w:pPr>
        <w:ind w:left="340"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are subject to a substantial number of product liability claims involving various current and historical products, litigation and investigations related to how we commercialize and/or how we price our products, including relating to our 340B drug pricing program, as well as contractual disputes. See Item 8, "Financial Statements and Supplementary Data - Note 16, Contingencies" for more information on our current product liability litigation, as well as pricing litigation, investigations, and inquiries. Because of the nature of pharmaceutical products, we are and could in the future become subject to large numbers of product liability claims for our previous, current, or future products, or to further litigation or investigations, including related to pricing or other commercial practices. Such matters could affect our results of operations or require us to recognize substantial charges to resolve and, if involving marketed products, could adversely affect sales of the product. Due to a very restrictive market for liability insurance, we are self-insured for litigation liability losses for all our currently marketed products, as well as for litigation or investigations related to our pricing practices or other similar matters.</w:t>
      </w:r>
    </w:p>
    <w:p>
      <w:pPr>
        <w:spacing w:after="0" w:line="65" w:lineRule="exact"/>
        <w:rPr>
          <w:rFonts w:ascii="Arial" w:cs="Arial" w:eastAsia="Arial" w:hAnsi="Arial"/>
          <w:sz w:val="18"/>
          <w:szCs w:val="18"/>
          <w:b w:val="1"/>
          <w:bCs w:val="1"/>
          <w:color w:val="auto"/>
        </w:rPr>
      </w:pPr>
    </w:p>
    <w:p>
      <w:pPr>
        <w:ind w:left="320" w:hanging="312"/>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and supply chain difficulties, disruptions, or shortages could lead to product supply problems.</w:t>
      </w:r>
    </w:p>
    <w:p>
      <w:pPr>
        <w:spacing w:after="0" w:line="139" w:lineRule="exact"/>
        <w:rPr>
          <w:rFonts w:ascii="Arial" w:cs="Arial" w:eastAsia="Arial" w:hAnsi="Arial"/>
          <w:sz w:val="18"/>
          <w:szCs w:val="18"/>
          <w:b w:val="1"/>
          <w:bCs w:val="1"/>
          <w:color w:val="auto"/>
        </w:rPr>
      </w:pPr>
    </w:p>
    <w:p>
      <w:pPr>
        <w:ind w:left="340" w:right="1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Pharmaceutical manufacturing is complex and highly regulated. Manufacturing or quality assurance difficulties at our facilities or contracted facilities, the failure or refusal of a supplier or contract manufacturer to supply contracted quantities, or increases in demand on a supplier could result in delays and disruptions in the manufacturing, distribution, and sale of our products and/or product shortages, leading to lost revenue. Further, global transportation and logistics challenges, as well as tight labor markets, have caused, and in the future may cause, delays in, and/or increase costs related to, distribution of our medicines, the construction or other acquisition of manufacturing capacity, procurement activity, and supplier or contract manufacturer arrangements. Such difficulties, disruptions, or challenges could result from quality, oversight, or regulatory compliance problems; natural disasters or pandemic disease; equipment, mechanical, data, or information technology system vulnerabilities, such as system inadequacies, inadequate controls or procedures, operating failures, service interruptions or failures, security breaches, malicious intrusions, or cyber-attacks from a variety of sources; labor shortages; contractual disputes with our suppliers and contract manufacturers; or inability to obtain single-source or other raw or intermediate materials. In addition, difficulties in predicting or variability in demand for our</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8" w:name="page29"/>
    <w:bookmarkEnd w:id="28"/>
    <w:p>
      <w:pPr>
        <w:ind w:left="340" w:right="100"/>
        <w:spacing w:after="0" w:line="256" w:lineRule="auto"/>
        <w:rPr>
          <w:sz w:val="20"/>
          <w:szCs w:val="20"/>
          <w:color w:val="auto"/>
        </w:rPr>
      </w:pPr>
      <w:r>
        <w:rPr>
          <w:rFonts w:ascii="Arial" w:cs="Arial" w:eastAsia="Arial" w:hAnsi="Arial"/>
          <w:sz w:val="18"/>
          <w:szCs w:val="18"/>
          <w:color w:val="auto"/>
        </w:rPr>
        <w:t>products and indications and the very long lead times necessary for the expansion and regulatory qualification of pharmaceutical manufacturing capacity from time to time result in difficulty meeting demand for, or disruptions, shortages, and higher costs in the supply of, our products. See Item 1, "Business - Raw Materials and Product Supply," for more details.</w:t>
      </w:r>
    </w:p>
    <w:p>
      <w:pPr>
        <w:spacing w:after="0" w:line="7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39" w:lineRule="exact"/>
        <w:rPr>
          <w:rFonts w:ascii="Arial" w:cs="Arial" w:eastAsia="Arial" w:hAnsi="Arial"/>
          <w:sz w:val="18"/>
          <w:szCs w:val="18"/>
          <w:b w:val="1"/>
          <w:bCs w:val="1"/>
          <w:color w:val="auto"/>
        </w:rPr>
      </w:pPr>
    </w:p>
    <w:p>
      <w:pPr>
        <w:ind w:left="34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We rely on third parties, including suppliers, distributors, alliances, and collaborations with other pharmaceutical and biotechnology companies, and third-party service providers, for selected aspects of product and clinical development, manufacturing, commercialization, hosting of, and support for, information technology systems, product distribution, and certain financial transactional processes. As examples, we outsource the day-to-day management and oversight of some of our clinical trials to contract research organizations and the distribution of our products through logistics providers. Outsourcing these functions involves the risk that the third parties may not perform to our standards or legal requirements; may not produce reliable results; may not perform in a timely manner; may not maintain the confidentiality, integrity, and availability of confidential and proprietary information relating to us, our clinical trial subjects, or patients; may experience disruption or fail to perform due to information technology system vulnerabilities, breaches, cyber-attacks, or inadequate controls or procedures; may be unable to satisfy their commitments to us in which case we may not be able to achieve acceptable alternative sourcing; or may fail to perform at all. The foregoing risks may be heightened in jurisdictions outside the U.S., where we may face additional costs, uncertainties, and risks. Failure of these third parties to meet their contractual, regulatory, confidentiality, privacy, security, or other obligations to us, our clinical trial subjects, and our patients could have a material adverse effect on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7" w:lineRule="exact"/>
        <w:rPr>
          <w:sz w:val="20"/>
          <w:szCs w:val="20"/>
          <w:color w:val="auto"/>
        </w:rPr>
      </w:pPr>
    </w:p>
    <w:p>
      <w:pPr>
        <w:jc w:val="both"/>
        <w:ind w:left="340" w:right="940" w:hanging="332"/>
        <w:spacing w:after="0" w:line="318" w:lineRule="auto"/>
        <w:tabs>
          <w:tab w:leader="none" w:pos="335"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Our business is subject to increasing government price controls and other public and private restrictions on pricing, reimbursement, and access for our drugs, which could have a material adverse effect on our reputation or business.</w:t>
      </w:r>
    </w:p>
    <w:p>
      <w:pPr>
        <w:spacing w:after="0" w:line="43" w:lineRule="exact"/>
        <w:rPr>
          <w:rFonts w:ascii="Arial" w:cs="Arial" w:eastAsia="Arial" w:hAnsi="Arial"/>
          <w:sz w:val="17"/>
          <w:szCs w:val="17"/>
          <w:b w:val="1"/>
          <w:bCs w:val="1"/>
          <w:color w:val="auto"/>
        </w:rPr>
      </w:pPr>
    </w:p>
    <w:p>
      <w:pPr>
        <w:ind w:left="340" w:right="6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Public and private payers continue to take aggressive steps to control their expenditures for pharmaceuticals by placing restrictions on pricing and reimbursement for, and patient access to, our medicines. These pressures could continue to negatively affect our future revenues and net income. Governments and private payers worldwide have intensified their scrutiny of, and actions intended to address, pricing, reimbursement, and access to pharmaceutical products. Additional policies, regulations, legislation, or enforcement, including as a result of the regulatory priorities of the current U.S. presidential administration and other regulatory authorities worldwide, could adversely impact our business and revenue. For example, pending legislation in the U.S. could result in government negotiation of the price of some of our medicines, including insulin. Furthermore, restrictive or unfavorable pricing, coverage, or reimbursement determinations for our medicines or product candidates by governments, regulatory agencies, or private payers, such as the recently proposed Alzheimer’s Monoclonal Antibody NCD, may adversely impact our business and financial results. However, we cannot predict the likelihood, nature, or extent of current and future health care reform efforts. We also may continue to experience potential additional pricing pressures resulting from the financial strain of the COVID-19 pandemic on government-funded healthcare systems around the world.</w:t>
      </w:r>
    </w:p>
    <w:p>
      <w:pPr>
        <w:spacing w:after="0" w:line="102" w:lineRule="exact"/>
        <w:rPr>
          <w:rFonts w:ascii="Arial" w:cs="Arial" w:eastAsia="Arial" w:hAnsi="Arial"/>
          <w:sz w:val="17"/>
          <w:szCs w:val="17"/>
          <w:b w:val="1"/>
          <w:bCs w:val="1"/>
          <w:color w:val="auto"/>
        </w:rPr>
      </w:pPr>
    </w:p>
    <w:p>
      <w:pPr>
        <w:ind w:left="340" w:right="14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For more details, see Item 1, "Business - Regulations and Private Payer Actions Affecting Pharmaceutical Pricing, Reimbursement, and Access," Item 7, "Management's Discussion and Analysis - Results of Operations - Executive Overview - Other Matters - Trends Affecting Pharmaceutical Pricing, Reimbursement, and Access," and Item 8, "Financial Statements and Supplementary Data - Note 16: Contingencies."</w:t>
      </w:r>
    </w:p>
    <w:p>
      <w:pPr>
        <w:spacing w:after="0" w:line="73" w:lineRule="exact"/>
        <w:rPr>
          <w:rFonts w:ascii="Arial" w:cs="Arial" w:eastAsia="Arial" w:hAnsi="Arial"/>
          <w:sz w:val="17"/>
          <w:szCs w:val="17"/>
          <w:b w:val="1"/>
          <w:bCs w:val="1"/>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foreign currency rates, interest rate risks, or inflation could materially affect our results of operations.</w:t>
      </w:r>
    </w:p>
    <w:p>
      <w:pPr>
        <w:spacing w:after="0" w:line="139" w:lineRule="exact"/>
        <w:rPr>
          <w:rFonts w:ascii="Arial" w:cs="Arial" w:eastAsia="Arial" w:hAnsi="Arial"/>
          <w:sz w:val="18"/>
          <w:szCs w:val="18"/>
          <w:b w:val="1"/>
          <w:bCs w:val="1"/>
          <w:color w:val="auto"/>
        </w:rPr>
      </w:pPr>
    </w:p>
    <w:p>
      <w:pPr>
        <w:ind w:left="34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a global company, we face foreign currency risk exposure from fluctuating currency exchange rates, interest rate risk from our exposure to floating and variable interest rates, and inflation risk from existing and expected rates of inflation in the U.S. and other jurisdictions. While we seek to manage a portion of these exposures through hedging and other risk management techniques, significant fluctuations in currency rates, interest rates, and inflation can have a material impact, either positive or negative, on our</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9" w:name="page30"/>
    <w:bookmarkEnd w:id="29"/>
    <w:p>
      <w:pPr>
        <w:ind w:left="340" w:right="80"/>
        <w:spacing w:after="0" w:line="252" w:lineRule="auto"/>
        <w:rPr>
          <w:sz w:val="20"/>
          <w:szCs w:val="20"/>
          <w:color w:val="auto"/>
        </w:rPr>
      </w:pPr>
      <w:r>
        <w:rPr>
          <w:rFonts w:ascii="Arial" w:cs="Arial" w:eastAsia="Arial" w:hAnsi="Arial"/>
          <w:sz w:val="18"/>
          <w:szCs w:val="18"/>
          <w:color w:val="auto"/>
        </w:rPr>
        <w:t>results of operations. Further, in the event of an extreme devaluation of local currency, the price of our products could become unsustainable in the relevant market. In addition, the discontinuation, modification, or other reform of the London Interbank Offered Rate (LIBOR), or the replacement of LIBOR with a different reference rate, could increase our interest expense, decrease our cash flows, and/or require us to amend certain of our existing agreements. See Item 7, "Management's Discussion and Analysis - Financial Condition and Liquidity" and Item 8, "Financial Statements and Supplementary Data - Note 1: Summary of Significant Accounting Policies and Implementation of New Financial Accounting Standard" for more details.</w:t>
      </w:r>
    </w:p>
    <w:p>
      <w:pPr>
        <w:spacing w:after="0" w:line="7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tax laws or exposure to additional tax liabilities could increase our income taxes and decrease our net income.</w:t>
      </w:r>
    </w:p>
    <w:p>
      <w:pPr>
        <w:spacing w:after="0" w:line="139" w:lineRule="exact"/>
        <w:rPr>
          <w:rFonts w:ascii="Arial" w:cs="Arial" w:eastAsia="Arial" w:hAnsi="Arial"/>
          <w:sz w:val="18"/>
          <w:szCs w:val="18"/>
          <w:b w:val="1"/>
          <w:bCs w:val="1"/>
          <w:color w:val="auto"/>
        </w:rPr>
      </w:pPr>
    </w:p>
    <w:p>
      <w:pPr>
        <w:ind w:left="3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foreign jurisdictions, and in the course of our business, we make judgments about the expected tax treatment of various transactions and events. Changes in tax laws, regulations, administrative practices, principles, and interpretations, as well as events that differ from our expectations, have affected and may adversely affect our effective tax rates, cash flows, and/or and results of operations. For example, in December 2017, the U.S. enacted tax reform legislation significantly revising U.S. tax laws, and a number of other countries are also actively considering or enacting tax changes. Significant uncertainty currently exists regarding proposed tax policies of the current U.S. presidential administration and Congress, including modifications to certain aspects of the 2017 tax law. In addition, tax authorities in the U.S. and other jurisdictions in which we do business routinely examine our tax returns and are intensifying their scrutiny and examinations of profit allocations among jurisdictions, which could unfavorably impact our results of operations. Further, actions taken with respect to tax-related matters by associations such as the Organisation for Economic Cooperation and Development and the European Commission could influence tax laws in countries in which we operate. Modifications to key elements of the current U.S. or international tax framework could have a significant impact on our effective tax rate, results of operations, and cash flows. See Item 7, "Management's Discussion and Analysis - Results of Operations - Executive Overview - Other Matters - Tax Matters" and Item 8, "Financial Statements and Supplementary Data - Note 14: Income Taxes," for more details.</w:t>
      </w:r>
    </w:p>
    <w:p>
      <w:pPr>
        <w:spacing w:after="0" w:line="79" w:lineRule="exact"/>
        <w:rPr>
          <w:rFonts w:ascii="Arial" w:cs="Arial" w:eastAsia="Arial" w:hAnsi="Arial"/>
          <w:sz w:val="18"/>
          <w:szCs w:val="18"/>
          <w:b w:val="1"/>
          <w:bCs w:val="1"/>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39" w:lineRule="exact"/>
        <w:rPr>
          <w:rFonts w:ascii="Arial" w:cs="Arial" w:eastAsia="Arial" w:hAnsi="Arial"/>
          <w:sz w:val="18"/>
          <w:szCs w:val="18"/>
          <w:b w:val="1"/>
          <w:bCs w:val="1"/>
          <w:color w:val="auto"/>
        </w:rPr>
      </w:pPr>
    </w:p>
    <w:p>
      <w:pPr>
        <w:ind w:left="34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pharmaceutical manufacturers, as well as the manner in which manufacturers interact with purchasers, prescribers, and patients, are subject to extensive regulation. Many companies, including us, have been subject to claims related to these practices asserted by federal, state, and foreign governmental authorities, private payers, and consumers. These claims have resulted in substantial expense and other significant consequences to us. We are and could in the future become subject to such investigations, the outcomes of which could include criminal charges and fines, penalties, or other monetary or non-monetary remedies, including exclusion from U.S. federal and other health care programs. Such investigations have intensified and may continue to intensify as a result of the regulatory priorities of the current U.S. presidential administration and other regulatory authorities worldwide. In addition, regulatory issues concerning compliance with cGMP, quality assurance, and similar regulations (and comparable foreign regulations) for our products can lead to regulatory and legal actions, product recalls and seizures, fines and penalties, interruption of production leading to product shortages, import bans or denials of import certifications, delays or denials in the approvals of new products or supplemental approvals of current products pending resolution of the issues, and reputational harm, any of which would adversely affect our business. Regulatory compliance and processes in jurisdictions outside the U.S. may also be less predictable and result in additional costs, uncertainties, and risks. See Item 1, "Business - Government Regulation of Our Operations," for more details.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0" w:name="page31"/>
    <w:bookmarkEnd w:id="30"/>
    <w:p>
      <w:pPr>
        <w:spacing w:after="0"/>
        <w:rPr>
          <w:sz w:val="20"/>
          <w:szCs w:val="20"/>
          <w:color w:val="auto"/>
        </w:rPr>
      </w:pPr>
      <w:r>
        <w:rPr>
          <w:rFonts w:ascii="Arial" w:cs="Arial" w:eastAsia="Arial" w:hAnsi="Arial"/>
          <w:sz w:val="32"/>
          <w:szCs w:val="32"/>
          <w:b w:val="1"/>
          <w:bCs w:val="1"/>
          <w:i w:val="1"/>
          <w:iCs w:val="1"/>
          <w:color w:val="auto"/>
        </w:rPr>
        <w:t>Item 1B.Unresolved Staff Comments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2.  Properties</w:t>
      </w:r>
    </w:p>
    <w:p>
      <w:pPr>
        <w:spacing w:after="0" w:line="15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2021, we owned 9 production and distribution sites in the United States (U.S.), including Puerto Rico. Together with the corporate administrative offices, these facilities contain an aggregate of approximately 8.1 million square feet of floor area dedicated to production, distribution, and administration. Major production sites include Indianapolis, Indiana; Carolina, Puerto Rico; and Branchburg, New Jersey.</w:t>
      </w:r>
    </w:p>
    <w:p>
      <w:pPr>
        <w:spacing w:after="0" w:line="9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own production and distribution sites in 7 countries outside the U.S., containing an aggregate of approximately 4.7 million square feet of floor area. Major production sites include facilities in Ireland, France, Spain, Italy, and China.</w:t>
      </w:r>
    </w:p>
    <w:p>
      <w:pPr>
        <w:spacing w:after="0" w:line="90"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 the U.S., our research and development facilities contain an aggregate of approximately 4.4 million square feet of floor area, primarily consisting of owned facilities located in Indianapolis and smaller leased sites primarily in San Diego, California; San Francisco, California; and New York, New York. Outside the U.S., we own a small research and development facility in Spain and lease a small site in Singapore.</w:t>
      </w:r>
    </w:p>
    <w:p>
      <w:pPr>
        <w:spacing w:after="0" w:line="7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3.  Legal Proceedings</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Information pertaining to legal proceedings is described in Item 8, "Financial Statements and Supplementary Data - Note 16: Contingencies," and incorporated by reference herein.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4.  Mine Safety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31" w:name="page32"/>
    <w:bookmarkEnd w:id="31"/>
    <w:p>
      <w:pPr>
        <w:spacing w:after="0"/>
        <w:rPr>
          <w:sz w:val="20"/>
          <w:szCs w:val="20"/>
          <w:color w:val="auto"/>
        </w:rPr>
      </w:pPr>
      <w:r>
        <w:rPr>
          <w:rFonts w:ascii="Arial" w:cs="Arial" w:eastAsia="Arial" w:hAnsi="Arial"/>
          <w:sz w:val="32"/>
          <w:szCs w:val="32"/>
          <w:b w:val="1"/>
          <w:bCs w:val="1"/>
          <w:color w:val="auto"/>
        </w:rPr>
        <w:t>Part II</w:t>
      </w:r>
    </w:p>
    <w:p>
      <w:pPr>
        <w:spacing w:after="0" w:line="226" w:lineRule="exact"/>
        <w:rPr>
          <w:sz w:val="20"/>
          <w:szCs w:val="20"/>
          <w:color w:val="auto"/>
        </w:rPr>
      </w:pPr>
    </w:p>
    <w:p>
      <w:pPr>
        <w:ind w:left="1300" w:right="180" w:hanging="1295"/>
        <w:spacing w:after="0" w:line="286" w:lineRule="auto"/>
        <w:rPr>
          <w:sz w:val="20"/>
          <w:szCs w:val="20"/>
          <w:color w:val="auto"/>
        </w:rPr>
      </w:pPr>
      <w:r>
        <w:rPr>
          <w:rFonts w:ascii="Arial" w:cs="Arial" w:eastAsia="Arial" w:hAnsi="Arial"/>
          <w:sz w:val="32"/>
          <w:szCs w:val="32"/>
          <w:b w:val="1"/>
          <w:bCs w:val="1"/>
          <w:i w:val="1"/>
          <w:iCs w:val="1"/>
          <w:color w:val="auto"/>
        </w:rPr>
        <w:t>Item 5. Market for the Registrant's Common Equity, Related Stockholder Matters, and Issuer Purchases of Equity Securities</w:t>
      </w:r>
    </w:p>
    <w:p>
      <w:pPr>
        <w:spacing w:after="0" w:line="2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Information relating to the principal market for our common stock and related stockholder matters is described in Item 7, "Management's Discussion and Analysis of Results of Operations and Financial Condition" and Item 12, "Security Ownership of Certain Beneficial Owners and Management and Related Stockholder Matters." This information is incorporated herein by reference.</w:t>
      </w:r>
    </w:p>
    <w:p>
      <w:pPr>
        <w:spacing w:after="0" w:line="94" w:lineRule="exact"/>
        <w:rPr>
          <w:sz w:val="20"/>
          <w:szCs w:val="20"/>
          <w:color w:val="auto"/>
        </w:rPr>
      </w:pPr>
    </w:p>
    <w:p>
      <w:pPr>
        <w:jc w:val="both"/>
        <w:ind w:right="60"/>
        <w:spacing w:after="0" w:line="291" w:lineRule="auto"/>
        <w:rPr>
          <w:sz w:val="20"/>
          <w:szCs w:val="20"/>
          <w:color w:val="auto"/>
        </w:rPr>
      </w:pPr>
      <w:r>
        <w:rPr>
          <w:rFonts w:ascii="Arial" w:cs="Arial" w:eastAsia="Arial" w:hAnsi="Arial"/>
          <w:sz w:val="17"/>
          <w:szCs w:val="17"/>
          <w:color w:val="auto"/>
        </w:rPr>
        <w:t>As of February 18, 2022, there were approximately 20,641 holders of record of our common stock based on information provided by EQ Shareowner Services, our transfer agent. Our common stock is listed under the ticker symbol LLY on the New York Stock Exchange (NYSE).</w:t>
      </w:r>
    </w:p>
    <w:p>
      <w:pPr>
        <w:spacing w:after="0" w:line="6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20" w:type="dxa"/>
            <w:vAlign w:val="bottom"/>
          </w:tcPr>
          <w:p>
            <w:pPr>
              <w:spacing w:after="0"/>
              <w:rPr>
                <w:sz w:val="14"/>
                <w:szCs w:val="14"/>
                <w:color w:val="auto"/>
              </w:rPr>
            </w:pPr>
          </w:p>
        </w:tc>
        <w:tc>
          <w:tcPr>
            <w:tcW w:w="2460" w:type="dxa"/>
            <w:vAlign w:val="bottom"/>
          </w:tcPr>
          <w:p>
            <w:pPr>
              <w:jc w:val="center"/>
              <w:ind w:right="241"/>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 of</w:t>
            </w:r>
          </w:p>
        </w:tc>
        <w:tc>
          <w:tcPr>
            <w:tcW w:w="320" w:type="dxa"/>
            <w:vAlign w:val="bottom"/>
          </w:tcPr>
          <w:p>
            <w:pPr>
              <w:spacing w:after="0"/>
              <w:rPr>
                <w:sz w:val="11"/>
                <w:szCs w:val="11"/>
                <w:color w:val="auto"/>
              </w:rPr>
            </w:pPr>
          </w:p>
        </w:tc>
        <w:tc>
          <w:tcPr>
            <w:tcW w:w="246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Average Price Paid</w:t>
            </w:r>
          </w:p>
        </w:tc>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Publicly Announced</w:t>
            </w:r>
          </w:p>
        </w:tc>
        <w:tc>
          <w:tcPr>
            <w:tcW w:w="320" w:type="dxa"/>
            <w:vAlign w:val="bottom"/>
          </w:tcPr>
          <w:p>
            <w:pPr>
              <w:spacing w:after="0"/>
              <w:rPr>
                <w:sz w:val="11"/>
                <w:szCs w:val="11"/>
                <w:color w:val="auto"/>
              </w:rPr>
            </w:pPr>
          </w:p>
        </w:tc>
        <w:tc>
          <w:tcPr>
            <w:tcW w:w="246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2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or Programs</w:t>
            </w:r>
          </w:p>
        </w:tc>
        <w:tc>
          <w:tcPr>
            <w:tcW w:w="320" w:type="dxa"/>
            <w:vAlign w:val="bottom"/>
          </w:tcPr>
          <w:p>
            <w:pPr>
              <w:spacing w:after="0"/>
              <w:rPr>
                <w:sz w:val="11"/>
                <w:szCs w:val="11"/>
                <w:color w:val="auto"/>
              </w:rPr>
            </w:pPr>
          </w:p>
        </w:tc>
        <w:tc>
          <w:tcPr>
            <w:tcW w:w="2460" w:type="dxa"/>
            <w:vAlign w:val="bottom"/>
          </w:tcPr>
          <w:p>
            <w:pPr>
              <w:jc w:val="center"/>
              <w:ind w:right="241"/>
              <w:spacing w:after="0" w:line="135" w:lineRule="exact"/>
              <w:rPr>
                <w:sz w:val="20"/>
                <w:szCs w:val="20"/>
                <w:color w:val="auto"/>
              </w:rPr>
            </w:pPr>
            <w:r>
              <w:rPr>
                <w:rFonts w:ascii="Arial" w:cs="Arial" w:eastAsia="Arial" w:hAnsi="Arial"/>
                <w:sz w:val="14"/>
                <w:szCs w:val="14"/>
                <w:b w:val="1"/>
                <w:bCs w:val="1"/>
                <w:color w:val="auto"/>
              </w:rPr>
              <w:t>Plans or Programs</w:t>
            </w:r>
          </w:p>
        </w:tc>
        <w:tc>
          <w:tcPr>
            <w:tcW w:w="0" w:type="dxa"/>
            <w:vAlign w:val="bottom"/>
          </w:tcPr>
          <w:p>
            <w:pPr>
              <w:spacing w:after="0"/>
              <w:rPr>
                <w:sz w:val="1"/>
                <w:szCs w:val="1"/>
                <w:color w:val="auto"/>
              </w:rPr>
            </w:pPr>
          </w:p>
        </w:tc>
      </w:tr>
      <w:tr>
        <w:trPr>
          <w:trHeight w:val="175"/>
        </w:trPr>
        <w:tc>
          <w:tcPr>
            <w:tcW w:w="2180" w:type="dxa"/>
            <w:vAlign w:val="bottom"/>
            <w:tcBorders>
              <w:bottom w:val="single" w:sz="8" w:color="auto"/>
            </w:tcBorders>
            <w:vMerge w:val="continue"/>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per Share</w:t>
            </w: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23"/>
        </w:trPr>
        <w:tc>
          <w:tcPr>
            <w:tcW w:w="2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October 2021</w:t>
            </w:r>
          </w:p>
        </w:tc>
        <w:tc>
          <w:tcPr>
            <w:tcW w:w="1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2,398</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254.70</w:t>
            </w:r>
          </w:p>
        </w:tc>
        <w:tc>
          <w:tcPr>
            <w:tcW w:w="2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2,398</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DBDBDB"/>
          </w:tcPr>
          <w:p>
            <w:pPr>
              <w:jc w:val="right"/>
              <w:ind w:right="741"/>
              <w:spacing w:after="0"/>
              <w:rPr>
                <w:sz w:val="20"/>
                <w:szCs w:val="20"/>
                <w:color w:val="auto"/>
              </w:rPr>
            </w:pPr>
            <w:r>
              <w:rPr>
                <w:rFonts w:ascii="Arial" w:cs="Arial" w:eastAsia="Arial" w:hAnsi="Arial"/>
                <w:sz w:val="18"/>
                <w:szCs w:val="18"/>
                <w:color w:val="auto"/>
              </w:rPr>
              <w:t>4,889.1</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November 2021</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60" w:type="dxa"/>
            <w:vAlign w:val="bottom"/>
          </w:tcPr>
          <w:p>
            <w:pPr>
              <w:jc w:val="right"/>
              <w:ind w:right="741"/>
              <w:spacing w:after="0"/>
              <w:rPr>
                <w:sz w:val="20"/>
                <w:szCs w:val="20"/>
                <w:color w:val="auto"/>
              </w:rPr>
            </w:pPr>
            <w:r>
              <w:rPr>
                <w:rFonts w:ascii="Arial" w:cs="Arial" w:eastAsia="Arial" w:hAnsi="Arial"/>
                <w:sz w:val="18"/>
                <w:szCs w:val="18"/>
                <w:color w:val="auto"/>
              </w:rPr>
              <w:t>4,889.1</w:t>
            </w:r>
          </w:p>
        </w:tc>
        <w:tc>
          <w:tcPr>
            <w:tcW w:w="0" w:type="dxa"/>
            <w:vAlign w:val="bottom"/>
          </w:tcPr>
          <w:p>
            <w:pPr>
              <w:spacing w:after="0"/>
              <w:rPr>
                <w:sz w:val="1"/>
                <w:szCs w:val="1"/>
                <w:color w:val="auto"/>
              </w:rPr>
            </w:pPr>
          </w:p>
        </w:tc>
      </w:tr>
      <w:tr>
        <w:trPr>
          <w:trHeight w:val="230"/>
        </w:trPr>
        <w:tc>
          <w:tcPr>
            <w:tcW w:w="2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2021</w:t>
            </w:r>
          </w:p>
        </w:tc>
        <w:tc>
          <w:tcPr>
            <w:tcW w:w="1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D8D8D8"/>
          </w:tcPr>
          <w:p>
            <w:pPr>
              <w:spacing w:after="0"/>
              <w:rPr>
                <w:sz w:val="19"/>
                <w:szCs w:val="19"/>
                <w:color w:val="auto"/>
              </w:rPr>
            </w:pPr>
          </w:p>
        </w:tc>
        <w:tc>
          <w:tcPr>
            <w:tcW w:w="16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254.70</w:t>
            </w:r>
          </w:p>
        </w:tc>
        <w:tc>
          <w:tcPr>
            <w:tcW w:w="25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D8D8D8"/>
          </w:tcPr>
          <w:p>
            <w:pPr>
              <w:spacing w:after="0"/>
              <w:rPr>
                <w:sz w:val="19"/>
                <w:szCs w:val="19"/>
                <w:color w:val="auto"/>
              </w:rPr>
            </w:pPr>
          </w:p>
        </w:tc>
        <w:tc>
          <w:tcPr>
            <w:tcW w:w="2460" w:type="dxa"/>
            <w:vAlign w:val="bottom"/>
            <w:shd w:val="clear" w:color="auto" w:fill="D8D8D8"/>
          </w:tcPr>
          <w:p>
            <w:pPr>
              <w:jc w:val="right"/>
              <w:ind w:right="741"/>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254.70</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During the three months ended December 31, 2021, we repurchased the remaining $500.0 million of shares available under the $8.00 billion share repurchase program authorized in June 2018 and $250.0 million of shares available under the $5.00 billion share repurchase program authorized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PERFORMANCE GRAPH</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graph compares the return on Lilly stock with that of the Standard &amp; Poor's (S&amp;P) 500 Stock Index and our peer group for the years 2017 through 2021. The graph assumes that, on the last business day of 2016, a person invested $100 each in Lilly stock, the S&amp;P 500 Stock Index, and the peer group's collective common stock. The graph measures total shareholder return, which takes into account both stock price and dividends. It assumes that dividends paid by a company are immediately reinvested in that company's stock.</w:t>
      </w:r>
    </w:p>
    <w:p>
      <w:pPr>
        <w:spacing w:after="0" w:line="12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color w:val="auto"/>
        </w:rPr>
        <w:t>Value of $100 Invested on Last Business Day of 2016 Comparison of Five-Year Cumulative Total Shareholder Return Among Lilly, S&amp;P 500 Stock Index, and Peer Group</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89535</wp:posOffset>
            </wp:positionV>
            <wp:extent cx="5340350" cy="3720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035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3120" w:type="dxa"/>
        <w:tblCellMar>
          <w:top w:w="0" w:type="dxa"/>
          <w:left w:w="0" w:type="dxa"/>
          <w:bottom w:w="0" w:type="dxa"/>
          <w:right w:w="0" w:type="dxa"/>
        </w:tblCellMar>
      </w:tblPr>
      <w:tr>
        <w:trPr>
          <w:trHeight w:val="189"/>
        </w:trPr>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23"/>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Dec-16</w:t>
            </w:r>
          </w:p>
        </w:tc>
        <w:tc>
          <w:tcPr>
            <w:tcW w:w="4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Dec-17</w:t>
            </w:r>
          </w:p>
        </w:tc>
        <w:tc>
          <w:tcPr>
            <w:tcW w:w="4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117.83</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117.86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121.83</w:t>
            </w:r>
          </w:p>
        </w:tc>
      </w:tr>
      <w:tr>
        <w:trPr>
          <w:trHeight w:val="230"/>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Dec-18</w:t>
            </w:r>
          </w:p>
        </w:tc>
        <w:tc>
          <w:tcPr>
            <w:tcW w:w="48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165.50</w:t>
            </w:r>
          </w:p>
        </w:tc>
        <w:tc>
          <w:tcPr>
            <w:tcW w:w="3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123.85</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116.49</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Dec-19</w:t>
            </w:r>
          </w:p>
        </w:tc>
        <w:tc>
          <w:tcPr>
            <w:tcW w:w="4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192.23</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146.23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153.17</w:t>
            </w:r>
          </w:p>
        </w:tc>
      </w:tr>
      <w:tr>
        <w:trPr>
          <w:trHeight w:val="229"/>
        </w:trPr>
        <w:tc>
          <w:tcPr>
            <w:tcW w:w="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Dec-20</w:t>
            </w:r>
          </w:p>
        </w:tc>
        <w:tc>
          <w:tcPr>
            <w:tcW w:w="48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251.93</w:t>
            </w:r>
          </w:p>
        </w:tc>
        <w:tc>
          <w:tcPr>
            <w:tcW w:w="3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149.47</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181.35</w:t>
            </w:r>
          </w:p>
        </w:tc>
      </w:tr>
      <w:tr>
        <w:trPr>
          <w:trHeight w:val="230"/>
        </w:trPr>
        <w:tc>
          <w:tcPr>
            <w:tcW w:w="820" w:type="dxa"/>
            <w:vAlign w:val="bottom"/>
          </w:tcPr>
          <w:p>
            <w:pPr>
              <w:ind w:left="20"/>
              <w:spacing w:after="0"/>
              <w:rPr>
                <w:sz w:val="20"/>
                <w:szCs w:val="20"/>
                <w:color w:val="auto"/>
              </w:rPr>
            </w:pPr>
            <w:r>
              <w:rPr>
                <w:rFonts w:ascii="Arial" w:cs="Arial" w:eastAsia="Arial" w:hAnsi="Arial"/>
                <w:sz w:val="18"/>
                <w:szCs w:val="18"/>
                <w:color w:val="auto"/>
              </w:rPr>
              <w:t>Dec-21</w:t>
            </w:r>
          </w:p>
        </w:tc>
        <w:tc>
          <w:tcPr>
            <w:tcW w:w="48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418.40</w:t>
            </w:r>
          </w:p>
        </w:tc>
        <w:tc>
          <w:tcPr>
            <w:tcW w:w="3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179.16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233.41</w:t>
            </w:r>
          </w:p>
        </w:tc>
      </w:tr>
    </w:tbl>
    <w:p>
      <w:pPr>
        <w:spacing w:after="0" w:line="107" w:lineRule="exact"/>
        <w:rPr>
          <w:sz w:val="20"/>
          <w:szCs w:val="20"/>
          <w:color w:val="auto"/>
        </w:rPr>
      </w:pPr>
    </w:p>
    <w:p>
      <w:pPr>
        <w:ind w:left="340" w:right="120" w:hanging="332"/>
        <w:spacing w:after="0" w:line="238" w:lineRule="auto"/>
        <w:tabs>
          <w:tab w:leader="none" w:pos="234"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color w:val="auto"/>
        </w:rPr>
        <w:t>We constructed the peer group as the industry index for this graph. It is comprised of the following companies in the pharmaceutical and biotechnology industries: AbbVie Inc.; Amgen Inc.; AstraZeneca PLC; Biogen Inc.; Bristol-Myers Squibb Company; Gilead Sciences Inc.; GlaxoSmithKline plc; Johnson &amp; Johnson; Merck &amp; Co., Inc.; Novartis AG.; Novo Nordisk A/S; Pfizer Inc.; Roche Holding AG; Sanofi S.A.; and Takeda Pharmaceutical Company Limited. The peer group used for performance benchmarking aligns with the peer group used for executive compensation purposes for 2021 other than our peer group for performance benchmarking excludes Allergan plc, Celgene Corporation, and Shire plc as they were acquired in 2020, 2019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spacing w:after="0"/>
        <w:rPr>
          <w:sz w:val="20"/>
          <w:szCs w:val="20"/>
          <w:color w:val="auto"/>
        </w:rPr>
      </w:pPr>
      <w:r>
        <w:rPr>
          <w:rFonts w:ascii="Arial" w:cs="Arial" w:eastAsia="Arial" w:hAnsi="Arial"/>
          <w:sz w:val="32"/>
          <w:szCs w:val="32"/>
          <w:b w:val="1"/>
          <w:bCs w:val="1"/>
          <w:i w:val="1"/>
          <w:iCs w:val="1"/>
          <w:color w:val="auto"/>
        </w:rPr>
        <w:t>Item 6. [Reserved]</w:t>
      </w:r>
    </w:p>
    <w:p>
      <w:pPr>
        <w:spacing w:after="0" w:line="200" w:lineRule="exact"/>
        <w:rPr>
          <w:sz w:val="20"/>
          <w:szCs w:val="20"/>
          <w:color w:val="auto"/>
        </w:rPr>
      </w:pPr>
    </w:p>
    <w:p>
      <w:pPr>
        <w:spacing w:after="0" w:line="215" w:lineRule="exact"/>
        <w:rPr>
          <w:sz w:val="20"/>
          <w:szCs w:val="20"/>
          <w:color w:val="auto"/>
        </w:rPr>
      </w:pPr>
    </w:p>
    <w:p>
      <w:pPr>
        <w:ind w:left="1300" w:right="1760" w:hanging="1295"/>
        <w:spacing w:after="0" w:line="286" w:lineRule="auto"/>
        <w:rPr>
          <w:sz w:val="20"/>
          <w:szCs w:val="20"/>
          <w:color w:val="auto"/>
        </w:rPr>
      </w:pPr>
      <w:r>
        <w:rPr>
          <w:rFonts w:ascii="Arial" w:cs="Arial" w:eastAsia="Arial" w:hAnsi="Arial"/>
          <w:sz w:val="32"/>
          <w:szCs w:val="32"/>
          <w:b w:val="1"/>
          <w:bCs w:val="1"/>
          <w:i w:val="1"/>
          <w:iCs w:val="1"/>
          <w:color w:val="auto"/>
        </w:rPr>
        <w:t>Item 7. Management's Discussion and Analysis of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(Tables present dollars in millions, except per-share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Item 8, "Financial Statements and Supplementary Data." Certain statements in this Item 7 constitute forward-looking statements. Various risks and uncertainties, including those discussed in "Forward-Looking Statements" and Item 1A, "Risk Factors," may cause our actual results, financial position, and cash generated from operations to differ materially from these forward-looking statements.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response to the COVID-19 pandemic, we have focused on maintaining a supply of our medicines; reducing the strain on the medical system; developing treatments for COVID-19; protecting the health, safety, and well-being of our employees; supporting our communities; and ensuring affordability of and access to our medicines, particularly insulin. As part of our response to the COVID-19 pandemic, and at the request of the United States (U.S.) and international governments, we invested in large-scale manufacturing of COVID-19 antibodies at risk, in order to ensure rapid access to patients around the world.</w:t>
      </w:r>
    </w:p>
    <w:p>
      <w:pPr>
        <w:spacing w:after="0" w:line="9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U.S. Food and Drug Administration (FDA) granted Emergency Use Authorizations (EUA) for bamlanivimab and etesevimab administered together for higher-risk patients who have been recently diagnosed with mild-to-moderate COVID-19 and for baricitinib for treatment with or without remdesivir in hospitalized COVID-19 patients. In the third quarter of 2021, the FDA expanded the EUA for bamlanivimab and etesevimab administered together to include post-exposure prophylaxis in certain individuals for the prevention of SARS-CoV-2 infection. We expect that additional revenue from the sale of bamlanivimab and etesevimab after the first quarter of 2022 will be limited. In February 2022, the FDA granted an EUA for bebtelovimab for certain high -risk patients who have been recently diagnosed with mild-to-moderate COVID-19. We have agreed with the U.S. government to supply up to 600,000 doses of bebtelovimab no later than March 31, 2022 for at least $720 million with an option of 500,000 additional doses no later than July 31, 2022. The FDA has revised, and may in the future revise, any EUA for our COVID-19 therapies in response to the prevalence of variants against which our therapies have varying degrees of efficacy.</w:t>
      </w:r>
    </w:p>
    <w:p>
      <w:pPr>
        <w:spacing w:after="0" w:line="8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COVID-19 pandemic has, and may continue to, adversely impact our business and operations. The focus of resources on COVID-19, widespread protective measures implemented to control the spread of COVID-19, and the resulting strain on global transportation, manufacturing, and labor markets have negatively impacted development, manufacturing, supply, distribution, and sales of our medicines. In addition to decreases in new prescriptions, changes in payer segment mix, and the increased use of patient affordability programs in the U.S., we have experienced, and may continue to experience if the COVID-19 pandemic undergoes resurgent or more severe waves, decreased demand as a result of lack of "normal" access and fewer in-person interactions by patients and our employees with healthcare professionals.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4" w:name="page35"/>
    <w:bookmarkEnd w:id="34"/>
    <w:p>
      <w:pPr>
        <w:ind w:right="100"/>
        <w:spacing w:after="0" w:line="252" w:lineRule="auto"/>
        <w:rPr>
          <w:sz w:val="20"/>
          <w:szCs w:val="20"/>
          <w:color w:val="auto"/>
        </w:rPr>
      </w:pPr>
      <w:r>
        <w:rPr>
          <w:rFonts w:ascii="Arial" w:cs="Arial" w:eastAsia="Arial" w:hAnsi="Arial"/>
          <w:sz w:val="18"/>
          <w:szCs w:val="18"/>
          <w:color w:val="auto"/>
        </w:rPr>
        <w:t>We also face risks and uncertainties related to our COVID-19 therapies, including heightened regulatory scrutiny of our manufacturing practices, quality assurance, and similar regulations, restrictions on administration that limit widespread and timely access to our therapies, and risks related to handling, return, and/or refund of product after delivery by us. The availability of superior or competitive therapies, including therapies that can be administered more easily, or preventative measures such as vaccines, coupled with the unpredictable nature of pandemics, have and could further negatively impact or eliminate demand for our COVID-19 therapies. Mutations or the spread of other variants of the coronavirus have in some cases impacted the effectiveness of our COVID-19 therapies, and may further render our therapies more or less effective or ineffective.</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strain on global transportation, logistics, and labor markets caused by the COVID-19 pandemic and an increase in overall demand in our industry for certain materials resulting in changed buying patterns and constrained supply have had, and may continue to have, a number of impacts on our business, including increased costs to provide a consistent supply of our medicines where they are needed and potential disruptions in the supply of our medications. These factors may negatively affect our results of operations.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remains difficult to reasonably assess or predict the full extent of the ongoing impact of the COVID-19 pandemic on us. The degree to which the COVID-19 pandemic continues to affect us will depend on developments that are highly uncertain and beyond our knowledge or control. We are currently unable to predict the full extent to which the COVID-19 pandemic or any future pandemic, epidemic or similar public health threat will adversely impact our business and operations in the future.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additional information on risk factors that could impact our business and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0" w:type="dxa"/>
            <w:vAlign w:val="bottom"/>
            <w:gridSpan w:val="3"/>
          </w:tcPr>
          <w:p>
            <w:pPr>
              <w:jc w:val="right"/>
              <w:ind w:right="972"/>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Pr>
          <w:p>
            <w:pPr>
              <w:spacing w:after="0"/>
              <w:rPr>
                <w:sz w:val="16"/>
                <w:szCs w:val="16"/>
                <w:color w:val="auto"/>
              </w:rPr>
            </w:pPr>
          </w:p>
        </w:tc>
      </w:tr>
      <w:tr>
        <w:trPr>
          <w:trHeight w:val="26"/>
        </w:trPr>
        <w:tc>
          <w:tcPr>
            <w:tcW w:w="5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DBDBDB"/>
          </w:tcPr>
          <w:p>
            <w:pPr>
              <w:jc w:val="right"/>
              <w:ind w:right="193"/>
              <w:spacing w:after="0"/>
              <w:rPr>
                <w:sz w:val="20"/>
                <w:szCs w:val="20"/>
                <w:color w:val="auto"/>
              </w:rPr>
            </w:pPr>
            <w:r>
              <w:rPr>
                <w:rFonts w:ascii="Arial" w:cs="Arial" w:eastAsia="Arial" w:hAnsi="Arial"/>
                <w:sz w:val="18"/>
                <w:szCs w:val="18"/>
                <w:b w:val="1"/>
                <w:bCs w:val="1"/>
                <w:color w:val="auto"/>
              </w:rPr>
              <w:t>28,318.4</w:t>
            </w:r>
          </w:p>
        </w:tc>
        <w:tc>
          <w:tcPr>
            <w:tcW w:w="52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24,539.8</w:t>
            </w:r>
          </w:p>
        </w:tc>
        <w:tc>
          <w:tcPr>
            <w:tcW w:w="1280" w:type="dxa"/>
            <w:vAlign w:val="bottom"/>
            <w:shd w:val="clear" w:color="auto" w:fill="DBDBDB"/>
          </w:tcPr>
          <w:p>
            <w:pPr>
              <w:jc w:val="right"/>
              <w:ind w:right="392"/>
              <w:spacing w:after="0"/>
              <w:rPr>
                <w:sz w:val="20"/>
                <w:szCs w:val="20"/>
                <w:color w:val="auto"/>
              </w:rPr>
            </w:pPr>
            <w:r>
              <w:rPr>
                <w:rFonts w:ascii="Arial" w:cs="Arial" w:eastAsia="Arial" w:hAnsi="Arial"/>
                <w:sz w:val="18"/>
                <w:szCs w:val="18"/>
                <w:color w:val="auto"/>
              </w:rPr>
              <w:t>15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21,005.6</w:t>
            </w:r>
          </w:p>
        </w:tc>
        <w:tc>
          <w:tcPr>
            <w:tcW w:w="520" w:type="dxa"/>
            <w:vAlign w:val="bottom"/>
          </w:tcPr>
          <w:p>
            <w:pPr>
              <w:spacing w:after="0"/>
              <w:rPr>
                <w:sz w:val="19"/>
                <w:szCs w:val="19"/>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19,056.5</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10</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margin as a percent of revenue</w:t>
            </w:r>
          </w:p>
        </w:tc>
        <w:tc>
          <w:tcPr>
            <w:tcW w:w="42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74.2 %</w:t>
            </w:r>
          </w:p>
        </w:tc>
        <w:tc>
          <w:tcPr>
            <w:tcW w:w="52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77.7 %</w:t>
            </w:r>
          </w:p>
        </w:tc>
        <w:tc>
          <w:tcPr>
            <w:tcW w:w="1280" w:type="dxa"/>
            <w:vAlign w:val="bottom"/>
            <w:shd w:val="clear" w:color="auto" w:fill="DBDBDB"/>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13,457.5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12,206.9</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10</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193"/>
              <w:spacing w:after="0"/>
              <w:rPr>
                <w:sz w:val="20"/>
                <w:szCs w:val="20"/>
                <w:color w:val="auto"/>
              </w:rPr>
            </w:pPr>
            <w:r>
              <w:rPr>
                <w:rFonts w:ascii="Arial" w:cs="Arial" w:eastAsia="Arial" w:hAnsi="Arial"/>
                <w:sz w:val="18"/>
                <w:szCs w:val="18"/>
                <w:b w:val="1"/>
                <w:bCs w:val="1"/>
                <w:color w:val="auto"/>
              </w:rPr>
              <w:t>874.9</w:t>
            </w:r>
          </w:p>
        </w:tc>
        <w:tc>
          <w:tcPr>
            <w:tcW w:w="52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660.4</w:t>
            </w:r>
          </w:p>
        </w:tc>
        <w:tc>
          <w:tcPr>
            <w:tcW w:w="1280" w:type="dxa"/>
            <w:vAlign w:val="bottom"/>
            <w:shd w:val="clear" w:color="auto" w:fill="DBDBDB"/>
          </w:tcPr>
          <w:p>
            <w:pPr>
              <w:jc w:val="right"/>
              <w:ind w:right="392"/>
              <w:spacing w:after="0"/>
              <w:rPr>
                <w:sz w:val="20"/>
                <w:szCs w:val="20"/>
                <w:color w:val="auto"/>
              </w:rPr>
            </w:pPr>
            <w:r>
              <w:rPr>
                <w:rFonts w:ascii="Arial" w:cs="Arial" w:eastAsia="Arial" w:hAnsi="Arial"/>
                <w:sz w:val="18"/>
                <w:szCs w:val="18"/>
                <w:color w:val="auto"/>
              </w:rPr>
              <w:t>32</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316.1</w:t>
            </w:r>
          </w:p>
        </w:tc>
        <w:tc>
          <w:tcPr>
            <w:tcW w:w="520" w:type="dxa"/>
            <w:vAlign w:val="bottom"/>
          </w:tcPr>
          <w:p>
            <w:pPr>
              <w:spacing w:after="0"/>
              <w:rPr>
                <w:sz w:val="19"/>
                <w:szCs w:val="19"/>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131.2</w:t>
            </w:r>
          </w:p>
        </w:tc>
        <w:tc>
          <w:tcPr>
            <w:tcW w:w="1280" w:type="dxa"/>
            <w:vAlign w:val="bottom"/>
          </w:tcPr>
          <w:p>
            <w:pPr>
              <w:jc w:val="right"/>
              <w:ind w:right="352"/>
              <w:spacing w:after="0"/>
              <w:rPr>
                <w:sz w:val="20"/>
                <w:szCs w:val="20"/>
                <w:color w:val="auto"/>
              </w:rPr>
            </w:pPr>
            <w:r>
              <w:rPr>
                <w:rFonts w:ascii="Arial" w:cs="Arial" w:eastAsia="Arial" w:hAnsi="Arial"/>
                <w:sz w:val="18"/>
                <w:szCs w:val="18"/>
                <w:color w:val="auto"/>
              </w:rPr>
              <w:t>NM</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Other—net, (income) expense</w:t>
            </w:r>
          </w:p>
        </w:tc>
        <w:tc>
          <w:tcPr>
            <w:tcW w:w="4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193"/>
              <w:spacing w:after="0"/>
              <w:rPr>
                <w:sz w:val="20"/>
                <w:szCs w:val="20"/>
                <w:color w:val="auto"/>
              </w:rPr>
            </w:pPr>
            <w:r>
              <w:rPr>
                <w:rFonts w:ascii="Arial" w:cs="Arial" w:eastAsia="Arial" w:hAnsi="Arial"/>
                <w:sz w:val="18"/>
                <w:szCs w:val="18"/>
                <w:b w:val="1"/>
                <w:bCs w:val="1"/>
                <w:color w:val="auto"/>
              </w:rPr>
              <w:t>201.6</w:t>
            </w:r>
          </w:p>
        </w:tc>
        <w:tc>
          <w:tcPr>
            <w:tcW w:w="52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(1,171.9)</w:t>
            </w:r>
          </w:p>
        </w:tc>
        <w:tc>
          <w:tcPr>
            <w:tcW w:w="1280" w:type="dxa"/>
            <w:vAlign w:val="bottom"/>
            <w:shd w:val="clear" w:color="auto" w:fill="DBDBDB"/>
          </w:tcPr>
          <w:p>
            <w:pPr>
              <w:jc w:val="right"/>
              <w:ind w:right="352"/>
              <w:spacing w:after="0"/>
              <w:rPr>
                <w:sz w:val="20"/>
                <w:szCs w:val="20"/>
                <w:color w:val="auto"/>
              </w:rPr>
            </w:pPr>
            <w:r>
              <w:rPr>
                <w:rFonts w:ascii="Arial" w:cs="Arial" w:eastAsia="Arial" w:hAnsi="Arial"/>
                <w:sz w:val="18"/>
                <w:szCs w:val="18"/>
                <w:color w:val="auto"/>
              </w:rPr>
              <w:t>NM</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6,155.5</w:t>
            </w:r>
          </w:p>
        </w:tc>
        <w:tc>
          <w:tcPr>
            <w:tcW w:w="520" w:type="dxa"/>
            <w:vAlign w:val="bottom"/>
          </w:tcPr>
          <w:p>
            <w:pPr>
              <w:spacing w:after="0"/>
              <w:rPr>
                <w:sz w:val="19"/>
                <w:szCs w:val="19"/>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7,229.9</w:t>
            </w: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(15)</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w:t>
            </w:r>
          </w:p>
        </w:tc>
        <w:tc>
          <w:tcPr>
            <w:tcW w:w="4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193"/>
              <w:spacing w:after="0"/>
              <w:rPr>
                <w:sz w:val="20"/>
                <w:szCs w:val="20"/>
                <w:color w:val="auto"/>
              </w:rPr>
            </w:pPr>
            <w:r>
              <w:rPr>
                <w:rFonts w:ascii="Arial" w:cs="Arial" w:eastAsia="Arial" w:hAnsi="Arial"/>
                <w:sz w:val="18"/>
                <w:szCs w:val="18"/>
                <w:b w:val="1"/>
                <w:bCs w:val="1"/>
                <w:color w:val="auto"/>
              </w:rPr>
              <w:t>573.8</w:t>
            </w:r>
          </w:p>
        </w:tc>
        <w:tc>
          <w:tcPr>
            <w:tcW w:w="52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1,036.2</w:t>
            </w:r>
          </w:p>
        </w:tc>
        <w:tc>
          <w:tcPr>
            <w:tcW w:w="1280" w:type="dxa"/>
            <w:vAlign w:val="bottom"/>
            <w:shd w:val="clear" w:color="auto" w:fill="DBDBDB"/>
          </w:tcPr>
          <w:p>
            <w:pPr>
              <w:jc w:val="right"/>
              <w:ind w:right="332"/>
              <w:spacing w:after="0"/>
              <w:rPr>
                <w:sz w:val="20"/>
                <w:szCs w:val="20"/>
                <w:color w:val="auto"/>
              </w:rPr>
            </w:pPr>
            <w:r>
              <w:rPr>
                <w:rFonts w:ascii="Arial" w:cs="Arial" w:eastAsia="Arial" w:hAnsi="Arial"/>
                <w:sz w:val="18"/>
                <w:szCs w:val="18"/>
                <w:color w:val="auto"/>
              </w:rPr>
              <w:t>(45)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Arial" w:cs="Arial" w:eastAsia="Arial" w:hAnsi="Arial"/>
                <w:sz w:val="18"/>
                <w:szCs w:val="18"/>
                <w:b w:val="1"/>
                <w:bCs w:val="1"/>
                <w:color w:val="auto"/>
              </w:rPr>
              <w:t>5,581.7</w:t>
            </w:r>
          </w:p>
        </w:tc>
        <w:tc>
          <w:tcPr>
            <w:tcW w:w="520" w:type="dxa"/>
            <w:vAlign w:val="bottom"/>
          </w:tcPr>
          <w:p>
            <w:pPr>
              <w:spacing w:after="0"/>
              <w:rPr>
                <w:sz w:val="19"/>
                <w:szCs w:val="19"/>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6,193.7</w:t>
            </w: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(10)</w:t>
            </w:r>
          </w:p>
        </w:tc>
      </w:tr>
      <w:tr>
        <w:trPr>
          <w:trHeight w:val="230"/>
        </w:trPr>
        <w:tc>
          <w:tcPr>
            <w:tcW w:w="5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EPS</w:t>
            </w:r>
          </w:p>
        </w:tc>
        <w:tc>
          <w:tcPr>
            <w:tcW w:w="4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193"/>
              <w:spacing w:after="0"/>
              <w:rPr>
                <w:sz w:val="20"/>
                <w:szCs w:val="20"/>
                <w:color w:val="auto"/>
              </w:rPr>
            </w:pPr>
            <w:r>
              <w:rPr>
                <w:rFonts w:ascii="Arial" w:cs="Arial" w:eastAsia="Arial" w:hAnsi="Arial"/>
                <w:sz w:val="18"/>
                <w:szCs w:val="18"/>
                <w:b w:val="1"/>
                <w:bCs w:val="1"/>
                <w:color w:val="auto"/>
              </w:rPr>
              <w:t>6.12</w:t>
            </w:r>
          </w:p>
        </w:tc>
        <w:tc>
          <w:tcPr>
            <w:tcW w:w="52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6.79</w:t>
            </w:r>
          </w:p>
        </w:tc>
        <w:tc>
          <w:tcPr>
            <w:tcW w:w="1280" w:type="dxa"/>
            <w:vAlign w:val="bottom"/>
            <w:shd w:val="clear" w:color="auto" w:fill="DBDBDB"/>
          </w:tcPr>
          <w:p>
            <w:pPr>
              <w:jc w:val="right"/>
              <w:ind w:right="332"/>
              <w:spacing w:after="0"/>
              <w:rPr>
                <w:sz w:val="20"/>
                <w:szCs w:val="20"/>
                <w:color w:val="auto"/>
              </w:rPr>
            </w:pPr>
            <w:r>
              <w:rPr>
                <w:rFonts w:ascii="Arial" w:cs="Arial" w:eastAsia="Arial" w:hAnsi="Arial"/>
                <w:sz w:val="18"/>
                <w:szCs w:val="18"/>
                <w:color w:val="auto"/>
              </w:rPr>
              <w:t>(10)</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 increased in 2021 driven by increased volume and, to a lesser extent, the favorable impact of foreign exchange rates, partially offset by lower realized prices. Operating expenses, defined as the sum of research and development and marketing, selling, and administrative expenses, increased in 2021, driven primarily by higher development expenses for late-stage assets. The decreases in net income and EPS in 2021 were driven primarily by reduction in other-net, (income) expense and higher operating expenses, partially offset by higher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highlighted items affect comparisons of our 2021 and 2020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Sales (See Note 6 to the consolidated financial statements)</w:t>
      </w:r>
    </w:p>
    <w:p>
      <w:pPr>
        <w:spacing w:after="0" w:line="117" w:lineRule="exact"/>
        <w:rPr>
          <w:sz w:val="20"/>
          <w:szCs w:val="20"/>
          <w:color w:val="auto"/>
        </w:rPr>
      </w:pPr>
    </w:p>
    <w:p>
      <w:pPr>
        <w:ind w:left="660" w:right="40" w:hanging="328"/>
        <w:spacing w:after="0" w:line="25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recognized a net inventory impairment charge related to our COVID-19 antibodies of $339.7 million. As part of our response to the COVID-19 pandemic, and at the request of the U.S. and international governments, we invested in large-scale manufacturing of COVID-19 antibodies at risk, in order to ensure rapid access to patients around the world. As the COVID-19 pandemic evolved during 2021, we incurred a net inventory impairment charge primarily due to the combination of changes to current and forecasted demand from U.S. and international governments, including changes to our agreement with the U.S. government, and near-term expiry dates of COVID-19 antibodies.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and Development (IPR&amp;D) (Note 3 to the consolidated financial statements)</w:t>
      </w:r>
    </w:p>
    <w:p>
      <w:pPr>
        <w:spacing w:after="0" w:line="117" w:lineRule="exact"/>
        <w:rPr>
          <w:sz w:val="20"/>
          <w:szCs w:val="20"/>
          <w:color w:val="auto"/>
        </w:rPr>
      </w:pPr>
    </w:p>
    <w:p>
      <w:pPr>
        <w:ind w:left="340" w:right="2060" w:hanging="8"/>
        <w:spacing w:after="0" w:line="397" w:lineRule="auto"/>
        <w:tabs>
          <w:tab w:leader="none" w:pos="6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recognized acquired IPR&amp;D charges of $874.9 million related to business development transactions. Asset Impairment, Restructuring, and Other Special Charges (Note 5 to the consolidated financial statements)</w:t>
      </w:r>
    </w:p>
    <w:p>
      <w:pPr>
        <w:spacing w:after="0" w:line="1" w:lineRule="exact"/>
        <w:rPr>
          <w:rFonts w:ascii="Arial" w:cs="Arial" w:eastAsia="Arial" w:hAnsi="Arial"/>
          <w:sz w:val="17"/>
          <w:szCs w:val="17"/>
          <w:color w:val="auto"/>
        </w:rPr>
      </w:pPr>
    </w:p>
    <w:p>
      <w:pPr>
        <w:jc w:val="both"/>
        <w:ind w:left="660" w:hanging="328"/>
        <w:spacing w:after="0" w:line="22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recognized charges of $316.1 million primarily related to an impairment of a contract-based intangible asset from our acquisition of Loxo Oncology, Inc. (Loxo), an intangible asset impairment resulting from the sale of the rights to Qbrexza</w:t>
      </w:r>
      <w:r>
        <w:rPr>
          <w:rFonts w:ascii="Arial" w:cs="Arial" w:eastAsia="Arial" w:hAnsi="Arial"/>
          <w:sz w:val="23"/>
          <w:szCs w:val="23"/>
          <w:color w:val="auto"/>
          <w:vertAlign w:val="superscript"/>
        </w:rPr>
        <w:t>®</w:t>
      </w:r>
      <w:r>
        <w:rPr>
          <w:rFonts w:ascii="Arial" w:cs="Arial" w:eastAsia="Arial" w:hAnsi="Arial"/>
          <w:sz w:val="18"/>
          <w:szCs w:val="18"/>
          <w:color w:val="auto"/>
        </w:rPr>
        <w:t>, as well as acquisition and integration costs associated with the acquisition of Prevail Therapeutics Inc. (Prevail).</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18 to the consolidated financial statements)</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recognized a debt extinguishment loss of $405.2 million related to the repurchase of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recognized $176.9 million of net investment gains on equity securities.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2020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340" w:right="2060" w:hanging="8"/>
        <w:spacing w:after="0" w:line="397" w:lineRule="auto"/>
        <w:tabs>
          <w:tab w:leader="none" w:pos="659"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recognized acquired IPR&amp;D charges of $660.4 million related to business development transactions. Asset Impairment, Restructuring, and Other Special Charges (Note 5 to the consolidated financial statements)</w:t>
      </w:r>
    </w:p>
    <w:p>
      <w:pPr>
        <w:spacing w:after="0" w:line="1" w:lineRule="exact"/>
        <w:rPr>
          <w:rFonts w:ascii="Arial" w:cs="Arial" w:eastAsia="Arial" w:hAnsi="Arial"/>
          <w:sz w:val="17"/>
          <w:szCs w:val="17"/>
          <w:color w:val="auto"/>
        </w:rPr>
      </w:pPr>
    </w:p>
    <w:p>
      <w:pPr>
        <w:ind w:left="660" w:right="4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recognized charges of $131.2 million primarily related to severance costs incurred as a result of actions taken worldwide to reduce our cost structure.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18 to the consolidated financial statements)</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recognized $1.44 billion of net investment gains on equity securities.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9"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Late-Stage Pipeline</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long -term success depends on our ability to continually discover or acquire, develop, and commercialize innovative new medicines. We currently have approximately 45 new medicine candidates in clinical development or under regulatory review, and a larger number of projects in the discovery phase.</w:t>
      </w:r>
    </w:p>
    <w:p>
      <w:pPr>
        <w:spacing w:after="0" w:line="9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following certain new molecular entities (NMEs) are currently in Phase II or Phase III clinical trials or have been submitted for regulatory review in the U.S., Europe, or Japan. The following table reflects the status of certain NMEs, including certain other developments since our Quarterly Report on Form 10-Q for the quarter ended September 30, 2021.</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16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4920" w:type="dxa"/>
            <w:vAlign w:val="bottom"/>
            <w:tcBorders>
              <w:top w:val="single" w:sz="8" w:color="auto"/>
              <w:bottom w:val="single" w:sz="8" w:color="auto"/>
              <w:right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COVID-19 Antibodies</w:t>
            </w:r>
          </w:p>
        </w:tc>
        <w:tc>
          <w:tcPr>
            <w:tcW w:w="2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Bebtelovimab (LY-</w:t>
            </w:r>
          </w:p>
        </w:tc>
        <w:tc>
          <w:tcPr>
            <w:tcW w:w="2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Emergency Use</w:t>
            </w:r>
          </w:p>
        </w:tc>
        <w:tc>
          <w:tcPr>
            <w:tcW w:w="49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The FDA granted EUA for certain high-risk patients recently</w:t>
            </w:r>
          </w:p>
        </w:tc>
        <w:tc>
          <w:tcPr>
            <w:tcW w:w="0" w:type="dxa"/>
            <w:vAlign w:val="bottom"/>
          </w:tcPr>
          <w:p>
            <w:pPr>
              <w:spacing w:after="0"/>
              <w:rPr>
                <w:sz w:val="1"/>
                <w:szCs w:val="1"/>
                <w:color w:val="auto"/>
              </w:rPr>
            </w:pPr>
          </w:p>
        </w:tc>
      </w:tr>
      <w:tr>
        <w:trPr>
          <w:trHeight w:val="81"/>
        </w:trPr>
        <w:tc>
          <w:tcPr>
            <w:tcW w:w="2340" w:type="dxa"/>
            <w:vAlign w:val="bottom"/>
            <w:tcBorders>
              <w:left w:val="single" w:sz="8" w:color="auto"/>
              <w:right w:val="single" w:sz="8" w:color="auto"/>
            </w:tcBorders>
            <w:vMerge w:val="continue"/>
          </w:tcPr>
          <w:p>
            <w:pPr>
              <w:spacing w:after="0"/>
              <w:rPr>
                <w:sz w:val="7"/>
                <w:szCs w:val="7"/>
                <w:color w:val="auto"/>
              </w:rPr>
            </w:pPr>
          </w:p>
        </w:tc>
        <w:tc>
          <w:tcPr>
            <w:tcW w:w="232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COVID-19</w:t>
            </w:r>
          </w:p>
        </w:tc>
        <w:tc>
          <w:tcPr>
            <w:tcW w:w="1680" w:type="dxa"/>
            <w:vAlign w:val="bottom"/>
            <w:tcBorders>
              <w:right w:val="single" w:sz="8" w:color="auto"/>
            </w:tcBorders>
            <w:vMerge w:val="continue"/>
          </w:tcPr>
          <w:p>
            <w:pPr>
              <w:spacing w:after="0"/>
              <w:rPr>
                <w:sz w:val="7"/>
                <w:szCs w:val="7"/>
                <w:color w:val="auto"/>
              </w:rPr>
            </w:pPr>
          </w:p>
        </w:tc>
        <w:tc>
          <w:tcPr>
            <w:tcW w:w="49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diagnosed with mild-to-moderate COVID-19 in February</w:t>
            </w:r>
          </w:p>
        </w:tc>
        <w:tc>
          <w:tcPr>
            <w:tcW w:w="0" w:type="dxa"/>
            <w:vAlign w:val="bottom"/>
          </w:tcPr>
          <w:p>
            <w:pPr>
              <w:spacing w:after="0"/>
              <w:rPr>
                <w:sz w:val="1"/>
                <w:szCs w:val="1"/>
                <w:color w:val="auto"/>
              </w:rPr>
            </w:pPr>
          </w:p>
        </w:tc>
      </w:tr>
      <w:tr>
        <w:trPr>
          <w:trHeight w:val="94"/>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CoV1404)</w:t>
            </w:r>
          </w:p>
        </w:tc>
        <w:tc>
          <w:tcPr>
            <w:tcW w:w="232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Authorization</w:t>
            </w:r>
          </w:p>
        </w:tc>
        <w:tc>
          <w:tcPr>
            <w:tcW w:w="4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94"/>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49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Diabetes</w:t>
            </w:r>
          </w:p>
        </w:tc>
        <w:tc>
          <w:tcPr>
            <w:tcW w:w="2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Submitted</w:t>
            </w:r>
          </w:p>
        </w:tc>
        <w:tc>
          <w:tcPr>
            <w:tcW w:w="49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Submitted in the U.S. using a priority review voucher and in</w:t>
            </w: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tcPr>
          <w:p>
            <w:pPr>
              <w:spacing w:after="0"/>
              <w:rPr>
                <w:sz w:val="11"/>
                <w:szCs w:val="11"/>
                <w:color w:val="auto"/>
              </w:rPr>
            </w:pPr>
          </w:p>
        </w:tc>
        <w:tc>
          <w:tcPr>
            <w:tcW w:w="232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Europe and Japan in 2021.</w:t>
            </w:r>
          </w:p>
        </w:tc>
        <w:tc>
          <w:tcPr>
            <w:tcW w:w="0" w:type="dxa"/>
            <w:vAlign w:val="bottom"/>
          </w:tcPr>
          <w:p>
            <w:pPr>
              <w:spacing w:after="0"/>
              <w:rPr>
                <w:sz w:val="1"/>
                <w:szCs w:val="1"/>
                <w:color w:val="auto"/>
              </w:rPr>
            </w:pPr>
          </w:p>
        </w:tc>
      </w:tr>
      <w:tr>
        <w:trPr>
          <w:trHeight w:val="88"/>
        </w:trPr>
        <w:tc>
          <w:tcPr>
            <w:tcW w:w="2340" w:type="dxa"/>
            <w:vAlign w:val="bottom"/>
            <w:tcBorders>
              <w:left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Heart failure with preserved</w:t>
            </w:r>
          </w:p>
        </w:tc>
        <w:tc>
          <w:tcPr>
            <w:tcW w:w="16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Tirzepatide</w:t>
            </w: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ejection fraction</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68"/>
        </w:trPr>
        <w:tc>
          <w:tcPr>
            <w:tcW w:w="2340" w:type="dxa"/>
            <w:vAlign w:val="bottom"/>
            <w:tcBorders>
              <w:left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4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340" w:type="dxa"/>
            <w:vAlign w:val="bottom"/>
            <w:tcBorders>
              <w:left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68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Nonalcoholic steatohepatitis</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94"/>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4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Basal Insulin-Fc</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Type 1 and 2 diabetes</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44"/>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GGG Tri-Agonist</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08"/>
        </w:trPr>
        <w:tc>
          <w:tcPr>
            <w:tcW w:w="2340" w:type="dxa"/>
            <w:vAlign w:val="bottom"/>
            <w:tcBorders>
              <w:left w:val="single" w:sz="8" w:color="auto"/>
              <w:right w:val="single" w:sz="8" w:color="auto"/>
            </w:tcBorders>
            <w:vMerge w:val="continue"/>
          </w:tcPr>
          <w:p>
            <w:pPr>
              <w:spacing w:after="0"/>
              <w:rPr>
                <w:sz w:val="9"/>
                <w:szCs w:val="9"/>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1680" w:type="dxa"/>
            <w:vAlign w:val="bottom"/>
            <w:tcBorders>
              <w:right w:val="single" w:sz="8" w:color="auto"/>
            </w:tcBorders>
            <w:vMerge w:val="continue"/>
          </w:tcPr>
          <w:p>
            <w:pPr>
              <w:spacing w:after="0"/>
              <w:rPr>
                <w:sz w:val="9"/>
                <w:szCs w:val="9"/>
                <w:color w:val="auto"/>
              </w:rPr>
            </w:pPr>
          </w:p>
        </w:tc>
        <w:tc>
          <w:tcPr>
            <w:tcW w:w="4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40" w:type="dxa"/>
            <w:vAlign w:val="bottom"/>
            <w:tcBorders>
              <w:left w:val="single" w:sz="8" w:color="auto"/>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vMerge w:val="continue"/>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4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GLP-1R NPA</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Obesity</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08"/>
        </w:trPr>
        <w:tc>
          <w:tcPr>
            <w:tcW w:w="2340" w:type="dxa"/>
            <w:vAlign w:val="bottom"/>
            <w:tcBorders>
              <w:left w:val="single" w:sz="8" w:color="auto"/>
              <w:right w:val="single" w:sz="8" w:color="auto"/>
            </w:tcBorders>
            <w:vMerge w:val="continue"/>
          </w:tcPr>
          <w:p>
            <w:pPr>
              <w:spacing w:after="0"/>
              <w:rPr>
                <w:sz w:val="9"/>
                <w:szCs w:val="9"/>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Type 2 diabetes</w:t>
            </w:r>
          </w:p>
        </w:tc>
        <w:tc>
          <w:tcPr>
            <w:tcW w:w="1680" w:type="dxa"/>
            <w:vAlign w:val="bottom"/>
            <w:tcBorders>
              <w:right w:val="single" w:sz="8" w:color="auto"/>
            </w:tcBorders>
            <w:vMerge w:val="continue"/>
          </w:tcPr>
          <w:p>
            <w:pPr>
              <w:spacing w:after="0"/>
              <w:rPr>
                <w:sz w:val="9"/>
                <w:szCs w:val="9"/>
                <w:color w:val="auto"/>
              </w:rPr>
            </w:pPr>
          </w:p>
        </w:tc>
        <w:tc>
          <w:tcPr>
            <w:tcW w:w="4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40" w:type="dxa"/>
            <w:vAlign w:val="bottom"/>
            <w:tcBorders>
              <w:left w:val="single" w:sz="8" w:color="auto"/>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vMerge w:val="continue"/>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4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Lebrikizumab</w:t>
            </w:r>
            <w:r>
              <w:rPr>
                <w:rFonts w:ascii="Arial" w:cs="Arial" w:eastAsia="Arial" w:hAnsi="Arial"/>
                <w:sz w:val="23"/>
                <w:szCs w:val="23"/>
                <w:color w:val="auto"/>
                <w:vertAlign w:val="superscript"/>
              </w:rPr>
              <w:t>(1)</w:t>
            </w:r>
          </w:p>
        </w:tc>
        <w:tc>
          <w:tcPr>
            <w:tcW w:w="2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1"/>
                <w:szCs w:val="21"/>
                <w:color w:val="auto"/>
                <w:vertAlign w:val="superscript"/>
              </w:rPr>
              <w:t>(2)</w:t>
            </w:r>
            <w:r>
              <w:rPr>
                <w:rFonts w:ascii="Arial" w:cs="Arial" w:eastAsia="Arial" w:hAnsi="Arial"/>
                <w:sz w:val="17"/>
                <w:szCs w:val="17"/>
                <w:color w:val="auto"/>
              </w:rPr>
              <w:t>. Announced in 2021</w:t>
            </w: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vMerge w:val="continue"/>
          </w:tcPr>
          <w:p>
            <w:pPr>
              <w:spacing w:after="0"/>
              <w:rPr>
                <w:sz w:val="15"/>
                <w:szCs w:val="15"/>
                <w:color w:val="auto"/>
              </w:rPr>
            </w:pPr>
          </w:p>
        </w:tc>
        <w:tc>
          <w:tcPr>
            <w:tcW w:w="23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Atopic dermatitis</w:t>
            </w:r>
          </w:p>
        </w:tc>
        <w:tc>
          <w:tcPr>
            <w:tcW w:w="1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that Phase III trials met primary and all key secondary</w:t>
            </w: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endpoints. Phase III trials are ongoing.</w:t>
            </w:r>
          </w:p>
        </w:tc>
        <w:tc>
          <w:tcPr>
            <w:tcW w:w="0" w:type="dxa"/>
            <w:vAlign w:val="bottom"/>
          </w:tcPr>
          <w:p>
            <w:pPr>
              <w:spacing w:after="0"/>
              <w:rPr>
                <w:sz w:val="1"/>
                <w:szCs w:val="1"/>
                <w:color w:val="auto"/>
              </w:rPr>
            </w:pPr>
          </w:p>
        </w:tc>
      </w:tr>
      <w:tr>
        <w:trPr>
          <w:trHeight w:val="244"/>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Crohn's Disease</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vMerge w:val="continue"/>
          </w:tcPr>
          <w:p>
            <w:pPr>
              <w:spacing w:after="0"/>
              <w:rPr>
                <w:sz w:val="16"/>
                <w:szCs w:val="16"/>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Ulcerative colitis</w:t>
            </w:r>
          </w:p>
        </w:tc>
        <w:tc>
          <w:tcPr>
            <w:tcW w:w="1680" w:type="dxa"/>
            <w:vAlign w:val="bottom"/>
            <w:tcBorders>
              <w:right w:val="single" w:sz="8" w:color="auto"/>
            </w:tcBorders>
            <w:vMerge w:val="continue"/>
          </w:tcPr>
          <w:p>
            <w:pPr>
              <w:spacing w:after="0"/>
              <w:rPr>
                <w:sz w:val="16"/>
                <w:szCs w:val="16"/>
                <w:color w:val="auto"/>
              </w:rPr>
            </w:pPr>
          </w:p>
        </w:tc>
        <w:tc>
          <w:tcPr>
            <w:tcW w:w="49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Announced in 2021 that Phase III trials met primary and all</w:t>
            </w: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tcPr>
          <w:p>
            <w:pPr>
              <w:spacing w:after="0"/>
              <w:rPr>
                <w:sz w:val="11"/>
                <w:szCs w:val="11"/>
                <w:color w:val="auto"/>
              </w:rPr>
            </w:pPr>
          </w:p>
        </w:tc>
        <w:tc>
          <w:tcPr>
            <w:tcW w:w="232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key secondary endpoints.</w:t>
            </w: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CXCR1/2 Ligands</w:t>
            </w: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Hidradenitis suppurativa</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Monoclonal Antibody</w:t>
            </w:r>
          </w:p>
        </w:tc>
        <w:tc>
          <w:tcPr>
            <w:tcW w:w="232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4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4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Systemic lupus</w:t>
            </w:r>
          </w:p>
        </w:tc>
        <w:tc>
          <w:tcPr>
            <w:tcW w:w="168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IL-2 Conjugate</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erythematosus</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43"/>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Ulcerative colitis</w:t>
            </w:r>
          </w:p>
        </w:tc>
        <w:tc>
          <w:tcPr>
            <w:tcW w:w="1680" w:type="dxa"/>
            <w:vAlign w:val="bottom"/>
            <w:tcBorders>
              <w:bottom w:val="single" w:sz="8" w:color="auto"/>
              <w:right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PD-1 MAB Agonist</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Rheumatoid arthritis</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060"/>
        <w:spacing w:after="0"/>
        <w:rPr>
          <w:sz w:val="20"/>
          <w:szCs w:val="20"/>
          <w:color w:val="auto"/>
        </w:rPr>
      </w:pPr>
      <w:r>
        <w:rPr>
          <w:rFonts w:ascii="Arial" w:cs="Arial" w:eastAsia="Arial" w:hAnsi="Arial"/>
          <w:sz w:val="17"/>
          <w:szCs w:val="17"/>
          <w:b w:val="1"/>
          <w:bCs w:val="1"/>
          <w:i w:val="1"/>
          <w:i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280" w:type="dxa"/>
            <w:vAlign w:val="bottom"/>
            <w:tcBorders>
              <w:top w:val="single" w:sz="8" w:color="auto"/>
              <w:bottom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4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16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4920" w:type="dxa"/>
            <w:vAlign w:val="bottom"/>
            <w:tcBorders>
              <w:top w:val="single" w:sz="8" w:color="auto"/>
              <w:bottom w:val="single" w:sz="8" w:color="auto"/>
              <w:right w:val="single" w:sz="8" w:color="D8D8D8"/>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44"/>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2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234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 designation</w:t>
            </w:r>
            <w:r>
              <w:rPr>
                <w:rFonts w:ascii="Arial" w:cs="Arial" w:eastAsia="Arial" w:hAnsi="Arial"/>
                <w:sz w:val="23"/>
                <w:szCs w:val="23"/>
                <w:color w:val="auto"/>
                <w:vertAlign w:val="superscript"/>
              </w:rPr>
              <w:t>(3)</w:t>
            </w:r>
            <w:r>
              <w:rPr>
                <w:rFonts w:ascii="Arial" w:cs="Arial" w:eastAsia="Arial" w:hAnsi="Arial"/>
                <w:sz w:val="18"/>
                <w:szCs w:val="18"/>
                <w:color w:val="auto"/>
              </w:rPr>
              <w:t>. Initiated</w:t>
            </w: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Early Alzheimer's disease</w:t>
            </w:r>
          </w:p>
        </w:tc>
        <w:tc>
          <w:tcPr>
            <w:tcW w:w="1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Submission initiated</w:t>
            </w:r>
          </w:p>
        </w:tc>
        <w:tc>
          <w:tcPr>
            <w:tcW w:w="49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 rolling submission in the U.S. for accelerated approval in</w:t>
            </w:r>
          </w:p>
        </w:tc>
        <w:tc>
          <w:tcPr>
            <w:tcW w:w="0" w:type="dxa"/>
            <w:vAlign w:val="bottom"/>
          </w:tcPr>
          <w:p>
            <w:pPr>
              <w:spacing w:after="0"/>
              <w:rPr>
                <w:sz w:val="1"/>
                <w:szCs w:val="1"/>
                <w:color w:val="auto"/>
              </w:rPr>
            </w:pPr>
          </w:p>
        </w:tc>
      </w:tr>
      <w:tr>
        <w:trPr>
          <w:trHeight w:val="257"/>
        </w:trPr>
        <w:tc>
          <w:tcPr>
            <w:tcW w:w="2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Donanemab</w:t>
            </w:r>
          </w:p>
        </w:tc>
        <w:tc>
          <w:tcPr>
            <w:tcW w:w="22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2021. Phase III trials are ongoing.</w:t>
            </w:r>
          </w:p>
        </w:tc>
        <w:tc>
          <w:tcPr>
            <w:tcW w:w="0" w:type="dxa"/>
            <w:vAlign w:val="bottom"/>
          </w:tcPr>
          <w:p>
            <w:pPr>
              <w:spacing w:after="0"/>
              <w:rPr>
                <w:sz w:val="1"/>
                <w:szCs w:val="1"/>
                <w:color w:val="auto"/>
              </w:rPr>
            </w:pPr>
          </w:p>
        </w:tc>
      </w:tr>
      <w:tr>
        <w:trPr>
          <w:trHeight w:val="68"/>
        </w:trPr>
        <w:tc>
          <w:tcPr>
            <w:tcW w:w="2340" w:type="dxa"/>
            <w:vAlign w:val="bottom"/>
            <w:tcBorders>
              <w:left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4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color w:val="auto"/>
              </w:rPr>
              <w:t>Preclinical Alzheimer's</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tcPr>
          <w:p>
            <w:pPr>
              <w:spacing w:after="0"/>
              <w:rPr>
                <w:sz w:val="11"/>
                <w:szCs w:val="11"/>
                <w:color w:val="auto"/>
              </w:rPr>
            </w:pP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disease</w:t>
            </w:r>
          </w:p>
        </w:tc>
        <w:tc>
          <w:tcPr>
            <w:tcW w:w="1680" w:type="dxa"/>
            <w:vAlign w:val="bottom"/>
            <w:tcBorders>
              <w:right w:val="single" w:sz="8" w:color="auto"/>
            </w:tcBorders>
            <w:vMerge w:val="continue"/>
          </w:tcPr>
          <w:p>
            <w:pPr>
              <w:spacing w:after="0"/>
              <w:rPr>
                <w:sz w:val="11"/>
                <w:szCs w:val="11"/>
                <w:color w:val="auto"/>
              </w:rPr>
            </w:pPr>
          </w:p>
        </w:tc>
        <w:tc>
          <w:tcPr>
            <w:tcW w:w="49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gridSpan w:val="2"/>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2320" w:type="dxa"/>
            <w:vAlign w:val="bottom"/>
            <w:tcBorders>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Preclinical Alzheimer's</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disease</w:t>
            </w:r>
          </w:p>
        </w:tc>
        <w:tc>
          <w:tcPr>
            <w:tcW w:w="1680" w:type="dxa"/>
            <w:vAlign w:val="bottom"/>
            <w:tcBorders>
              <w:right w:val="single" w:sz="8" w:color="auto"/>
            </w:tcBorders>
            <w:vMerge w:val="continue"/>
          </w:tcPr>
          <w:p>
            <w:pPr>
              <w:spacing w:after="0"/>
              <w:rPr>
                <w:sz w:val="10"/>
                <w:szCs w:val="10"/>
                <w:color w:val="auto"/>
              </w:rPr>
            </w:pPr>
          </w:p>
        </w:tc>
        <w:tc>
          <w:tcPr>
            <w:tcW w:w="4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gridSpan w:val="2"/>
            <w:vMerge w:val="continue"/>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4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Epiregulin/TGFα MAB</w:t>
            </w:r>
          </w:p>
        </w:tc>
        <w:tc>
          <w:tcPr>
            <w:tcW w:w="2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Chronic pain</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GBA1 Gene Therapy</w:t>
            </w: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Parkinson's disease</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vMerge w:val="restart"/>
          </w:tcPr>
          <w:p>
            <w:pPr>
              <w:ind w:left="40"/>
              <w:spacing w:after="0" w:line="206" w:lineRule="exact"/>
              <w:rPr>
                <w:sz w:val="20"/>
                <w:szCs w:val="20"/>
                <w:color w:val="auto"/>
              </w:rPr>
            </w:pPr>
            <w:r>
              <w:rPr>
                <w:rFonts w:ascii="Arial" w:cs="Arial" w:eastAsia="Arial" w:hAnsi="Arial"/>
                <w:sz w:val="18"/>
                <w:szCs w:val="18"/>
                <w:color w:val="auto"/>
              </w:rPr>
              <w:t>(PR001)</w:t>
            </w:r>
          </w:p>
        </w:tc>
        <w:tc>
          <w:tcPr>
            <w:tcW w:w="2320" w:type="dxa"/>
            <w:vAlign w:val="bottom"/>
            <w:tcBorders>
              <w:right w:val="single" w:sz="8" w:color="auto"/>
            </w:tcBorders>
            <w:gridSpan w:val="2"/>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4920" w:type="dxa"/>
            <w:vAlign w:val="bottom"/>
            <w:tcBorders>
              <w:right w:val="single" w:sz="8" w:color="auto"/>
            </w:tcBorders>
            <w:vMerge w:val="restart"/>
          </w:tcPr>
          <w:p>
            <w:pPr>
              <w:ind w:left="20"/>
              <w:spacing w:after="0" w:line="206" w:lineRule="exact"/>
              <w:rPr>
                <w:sz w:val="20"/>
                <w:szCs w:val="20"/>
                <w:color w:val="auto"/>
              </w:rPr>
            </w:pPr>
            <w:r>
              <w:rPr>
                <w:rFonts w:ascii="Arial" w:cs="Arial" w:eastAsia="Arial" w:hAnsi="Arial"/>
                <w:sz w:val="18"/>
                <w:szCs w:val="18"/>
                <w:color w:val="auto"/>
              </w:rPr>
              <w:t>Acquired in the Prevail acquisition in 2021. Granted FDA</w:t>
            </w:r>
          </w:p>
        </w:tc>
        <w:tc>
          <w:tcPr>
            <w:tcW w:w="0" w:type="dxa"/>
            <w:vAlign w:val="bottom"/>
          </w:tcPr>
          <w:p>
            <w:pPr>
              <w:spacing w:after="0"/>
              <w:rPr>
                <w:sz w:val="1"/>
                <w:szCs w:val="1"/>
                <w:color w:val="auto"/>
              </w:rPr>
            </w:pPr>
          </w:p>
        </w:tc>
      </w:tr>
      <w:tr>
        <w:trPr>
          <w:trHeight w:val="70"/>
        </w:trPr>
        <w:tc>
          <w:tcPr>
            <w:tcW w:w="234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4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4920" w:type="dxa"/>
            <w:vAlign w:val="bottom"/>
            <w:tcBorders>
              <w:right w:val="single" w:sz="8" w:color="auto"/>
            </w:tcBorders>
            <w:vMerge w:val="restart"/>
          </w:tcPr>
          <w:p>
            <w:pPr>
              <w:ind w:left="20"/>
              <w:spacing w:after="0" w:line="226" w:lineRule="exact"/>
              <w:rPr>
                <w:sz w:val="20"/>
                <w:szCs w:val="20"/>
                <w:color w:val="auto"/>
              </w:rPr>
            </w:pPr>
            <w:r>
              <w:rPr>
                <w:rFonts w:ascii="Arial" w:cs="Arial" w:eastAsia="Arial" w:hAnsi="Arial"/>
                <w:sz w:val="18"/>
                <w:szCs w:val="18"/>
                <w:color w:val="auto"/>
              </w:rPr>
              <w:t>Fast Track designation</w:t>
            </w:r>
            <w:r>
              <w:rPr>
                <w:rFonts w:ascii="Arial" w:cs="Arial" w:eastAsia="Arial" w:hAnsi="Arial"/>
                <w:sz w:val="23"/>
                <w:szCs w:val="23"/>
                <w:color w:val="auto"/>
                <w:vertAlign w:val="superscript"/>
              </w:rPr>
              <w:t>(2)</w:t>
            </w:r>
            <w:r>
              <w:rPr>
                <w:rFonts w:ascii="Arial" w:cs="Arial" w:eastAsia="Arial" w:hAnsi="Arial"/>
                <w:sz w:val="18"/>
                <w:szCs w:val="18"/>
                <w:color w:val="auto"/>
              </w:rPr>
              <w:t>. Phase II trials are ongoing.</w:t>
            </w: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GRN Gene Therapy</w:t>
            </w: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Frontotemporal dementia</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(PR006)</w:t>
            </w:r>
          </w:p>
        </w:tc>
        <w:tc>
          <w:tcPr>
            <w:tcW w:w="2320" w:type="dxa"/>
            <w:vAlign w:val="bottom"/>
            <w:tcBorders>
              <w:right w:val="single" w:sz="8" w:color="auto"/>
            </w:tcBorders>
            <w:gridSpan w:val="2"/>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4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O-glc-NAcase</w:t>
            </w:r>
          </w:p>
        </w:tc>
        <w:tc>
          <w:tcPr>
            <w:tcW w:w="2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Alzheimer's disease</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initiated in the fourth quarter of 2021.</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PACAP38 Antibody</w:t>
            </w:r>
          </w:p>
        </w:tc>
        <w:tc>
          <w:tcPr>
            <w:tcW w:w="2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Chronic pain</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SSTR4 Agonist</w:t>
            </w:r>
          </w:p>
        </w:tc>
        <w:tc>
          <w:tcPr>
            <w:tcW w:w="2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Chronic pain</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TRPA1 Antagonist</w:t>
            </w:r>
          </w:p>
        </w:tc>
        <w:tc>
          <w:tcPr>
            <w:tcW w:w="2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Pain</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trials are ongoing.</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Selpercatinib (Retevmo</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Lung cancer</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Approved</w:t>
            </w:r>
            <w:r>
              <w:rPr>
                <w:rFonts w:ascii="Arial" w:cs="Arial" w:eastAsia="Arial" w:hAnsi="Arial"/>
                <w:sz w:val="23"/>
                <w:szCs w:val="23"/>
                <w:color w:val="auto"/>
                <w:vertAlign w:val="superscript"/>
              </w:rPr>
              <w:t>(4)</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79"/>
        </w:trPr>
        <w:tc>
          <w:tcPr>
            <w:tcW w:w="2340" w:type="dxa"/>
            <w:vAlign w:val="bottom"/>
            <w:tcBorders>
              <w:left w:val="single" w:sz="8" w:color="auto"/>
              <w:right w:val="single" w:sz="8" w:color="auto"/>
            </w:tcBorders>
            <w:vMerge w:val="continue"/>
          </w:tcPr>
          <w:p>
            <w:pPr>
              <w:spacing w:after="0"/>
              <w:rPr>
                <w:sz w:val="15"/>
                <w:szCs w:val="15"/>
                <w:color w:val="auto"/>
              </w:rPr>
            </w:pP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Thyroid cancer</w:t>
            </w:r>
          </w:p>
        </w:tc>
        <w:tc>
          <w:tcPr>
            <w:tcW w:w="1680" w:type="dxa"/>
            <w:vAlign w:val="bottom"/>
            <w:tcBorders>
              <w:right w:val="single" w:sz="8" w:color="auto"/>
            </w:tcBorders>
            <w:vMerge w:val="continue"/>
          </w:tcPr>
          <w:p>
            <w:pPr>
              <w:spacing w:after="0"/>
              <w:rPr>
                <w:sz w:val="15"/>
                <w:szCs w:val="15"/>
                <w:color w:val="auto"/>
              </w:rPr>
            </w:pPr>
          </w:p>
        </w:tc>
        <w:tc>
          <w:tcPr>
            <w:tcW w:w="4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340" w:type="dxa"/>
            <w:vAlign w:val="bottom"/>
            <w:tcBorders>
              <w:left w:val="single" w:sz="8" w:color="auto"/>
              <w:bottom w:val="single" w:sz="8" w:color="auto"/>
              <w:right w:val="single" w:sz="8" w:color="auto"/>
            </w:tcBorders>
          </w:tcPr>
          <w:p>
            <w:pPr>
              <w:spacing w:after="0"/>
              <w:rPr>
                <w:sz w:val="6"/>
                <w:szCs w:val="6"/>
                <w:color w:val="auto"/>
              </w:rPr>
            </w:pPr>
          </w:p>
        </w:tc>
        <w:tc>
          <w:tcPr>
            <w:tcW w:w="2320" w:type="dxa"/>
            <w:vAlign w:val="bottom"/>
            <w:tcBorders>
              <w:bottom w:val="single" w:sz="8" w:color="auto"/>
              <w:right w:val="single" w:sz="8" w:color="auto"/>
            </w:tcBorders>
            <w:gridSpan w:val="2"/>
            <w:vMerge w:val="continue"/>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4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Sintilimab injection</w:t>
            </w:r>
            <w:r>
              <w:rPr>
                <w:rFonts w:ascii="Arial" w:cs="Arial" w:eastAsia="Arial" w:hAnsi="Arial"/>
                <w:sz w:val="23"/>
                <w:szCs w:val="23"/>
                <w:color w:val="auto"/>
                <w:vertAlign w:val="superscript"/>
              </w:rPr>
              <w:t>(5)</w:t>
            </w:r>
          </w:p>
        </w:tc>
        <w:tc>
          <w:tcPr>
            <w:tcW w:w="22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49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In February 2022, the Oncologic Drugs Advisory Committee</w:t>
            </w: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vMerge w:val="continue"/>
          </w:tcPr>
          <w:p>
            <w:pPr>
              <w:spacing w:after="0"/>
              <w:rPr>
                <w:sz w:val="15"/>
                <w:szCs w:val="15"/>
                <w:color w:val="auto"/>
              </w:rPr>
            </w:pPr>
          </w:p>
        </w:tc>
        <w:tc>
          <w:tcPr>
            <w:tcW w:w="23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Lung cancer</w:t>
            </w:r>
          </w:p>
        </w:tc>
        <w:tc>
          <w:tcPr>
            <w:tcW w:w="1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Submitted</w:t>
            </w:r>
          </w:p>
        </w:tc>
        <w:tc>
          <w:tcPr>
            <w:tcW w:w="49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recommended that the FDA require additional clinical trials</w:t>
            </w: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prior to a final regulatory decision.</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a rolling submission in the U.S. for accelerated</w:t>
            </w: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8"/>
                <w:szCs w:val="18"/>
                <w:color w:val="auto"/>
              </w:rPr>
              <w:t>Mantle cell lymphoma</w:t>
            </w:r>
          </w:p>
        </w:tc>
        <w:tc>
          <w:tcPr>
            <w:tcW w:w="16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Submission initiated</w:t>
            </w:r>
          </w:p>
        </w:tc>
        <w:tc>
          <w:tcPr>
            <w:tcW w:w="49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approval in the fourth quarter of 2021. Phase II and Phase III</w:t>
            </w: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Pirtobrutinib (LOXO-305)</w:t>
            </w:r>
          </w:p>
        </w:tc>
        <w:tc>
          <w:tcPr>
            <w:tcW w:w="22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108"/>
        </w:trPr>
        <w:tc>
          <w:tcPr>
            <w:tcW w:w="2340" w:type="dxa"/>
            <w:vAlign w:val="bottom"/>
            <w:tcBorders>
              <w:left w:val="single" w:sz="8" w:color="auto"/>
              <w:right w:val="single" w:sz="8" w:color="auto"/>
            </w:tcBorders>
            <w:vMerge w:val="continue"/>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color w:val="auto"/>
              </w:rPr>
              <w:t>Chronic lymphocytic</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tcPr>
          <w:p>
            <w:pPr>
              <w:spacing w:after="0"/>
              <w:rPr>
                <w:sz w:val="11"/>
                <w:szCs w:val="11"/>
                <w:color w:val="auto"/>
              </w:rPr>
            </w:pP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leukemia</w:t>
            </w:r>
          </w:p>
        </w:tc>
        <w:tc>
          <w:tcPr>
            <w:tcW w:w="1680" w:type="dxa"/>
            <w:vAlign w:val="bottom"/>
            <w:tcBorders>
              <w:right w:val="single" w:sz="8" w:color="auto"/>
            </w:tcBorders>
            <w:vMerge w:val="continue"/>
          </w:tcPr>
          <w:p>
            <w:pPr>
              <w:spacing w:after="0"/>
              <w:rPr>
                <w:sz w:val="11"/>
                <w:szCs w:val="11"/>
                <w:color w:val="auto"/>
              </w:rPr>
            </w:pPr>
          </w:p>
        </w:tc>
        <w:tc>
          <w:tcPr>
            <w:tcW w:w="49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340" w:type="dxa"/>
            <w:vAlign w:val="bottom"/>
            <w:tcBorders>
              <w:left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gridSpan w:val="2"/>
            <w:vMerge w:val="continue"/>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B-cell malignancies</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 trial is ongoing.</w:t>
            </w: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Imlunestrant</w:t>
            </w:r>
          </w:p>
        </w:tc>
        <w:tc>
          <w:tcPr>
            <w:tcW w:w="2320" w:type="dxa"/>
            <w:vAlign w:val="bottom"/>
            <w:tcBorders>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ER+HER2- metastatic</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breast cancer</w:t>
            </w:r>
          </w:p>
        </w:tc>
        <w:tc>
          <w:tcPr>
            <w:tcW w:w="1680" w:type="dxa"/>
            <w:vAlign w:val="bottom"/>
            <w:tcBorders>
              <w:right w:val="single" w:sz="8" w:color="auto"/>
            </w:tcBorders>
            <w:vMerge w:val="continue"/>
          </w:tcPr>
          <w:p>
            <w:pPr>
              <w:spacing w:after="0"/>
              <w:rPr>
                <w:sz w:val="10"/>
                <w:szCs w:val="10"/>
                <w:color w:val="auto"/>
              </w:rPr>
            </w:pPr>
          </w:p>
        </w:tc>
        <w:tc>
          <w:tcPr>
            <w:tcW w:w="4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2320" w:type="dxa"/>
            <w:vAlign w:val="bottom"/>
            <w:tcBorders>
              <w:bottom w:val="single" w:sz="8" w:color="auto"/>
              <w:right w:val="single" w:sz="8" w:color="auto"/>
            </w:tcBorders>
            <w:gridSpan w:val="2"/>
            <w:vMerge w:val="continue"/>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4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In collaboration with Almirall, S.A. in Europe.</w:t>
      </w:r>
    </w:p>
    <w:p>
      <w:pPr>
        <w:ind w:left="140" w:hanging="132"/>
        <w:spacing w:after="0" w:line="211" w:lineRule="auto"/>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designed to expedite the development and review of new therapies to treat serious conditions and address unmet medical needs.</w:t>
      </w:r>
    </w:p>
    <w:p>
      <w:pPr>
        <w:ind w:left="180" w:right="80" w:hanging="172"/>
        <w:spacing w:after="0" w:line="204" w:lineRule="auto"/>
        <w:tabs>
          <w:tab w:leader="none" w:pos="172"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1" w:lineRule="exact"/>
        <w:rPr>
          <w:rFonts w:ascii="Arial" w:cs="Arial" w:eastAsia="Arial" w:hAnsi="Arial"/>
          <w:sz w:val="19"/>
          <w:szCs w:val="19"/>
          <w:color w:val="auto"/>
          <w:vertAlign w:val="superscript"/>
        </w:rPr>
      </w:pPr>
    </w:p>
    <w:p>
      <w:pPr>
        <w:ind w:left="160" w:hanging="152"/>
        <w:spacing w:after="0" w:line="187" w:lineRule="auto"/>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Continued approval may be contingent on verification and description of clinical benefit in confirmatory Phase III trials.</w:t>
      </w:r>
    </w:p>
    <w:p>
      <w:pPr>
        <w:ind w:left="140" w:hanging="132"/>
        <w:spacing w:after="0" w:line="224" w:lineRule="auto"/>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In collaboration with Innovent Biologics,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6" w:right="319" w:bottom="1440" w:gutter="0" w:footer="0" w:header="0"/>
        </w:sectPr>
      </w:pPr>
    </w:p>
    <w:bookmarkStart w:id="38" w:name="page39"/>
    <w:bookmarkEnd w:id="38"/>
    <w:p>
      <w:pPr>
        <w:ind w:right="160"/>
        <w:spacing w:after="0" w:line="254" w:lineRule="auto"/>
        <w:rPr>
          <w:sz w:val="20"/>
          <w:szCs w:val="20"/>
          <w:color w:val="auto"/>
        </w:rPr>
      </w:pPr>
      <w:r>
        <w:rPr>
          <w:rFonts w:ascii="Arial" w:cs="Arial" w:eastAsia="Arial" w:hAnsi="Arial"/>
          <w:sz w:val="18"/>
          <w:szCs w:val="18"/>
          <w:color w:val="auto"/>
        </w:rPr>
        <w:t>Our pipeline also contains several new indication line extension (NILEX) products. The following certain NILEX products for use in the indication described are currently in Phase II or Phase III clinical trials or have been submitted for regulatory review in the U.S., Europe, or Japan. The following table reflects the status of certain NILEX products, including certain other developments since our Quarterly Report on Form 10-Q for the quarter ended September 30, 2021:</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232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Indication</w:t>
            </w:r>
          </w:p>
        </w:tc>
        <w:tc>
          <w:tcPr>
            <w:tcW w:w="168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Status</w:t>
            </w:r>
          </w:p>
        </w:tc>
        <w:tc>
          <w:tcPr>
            <w:tcW w:w="49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Diabetes</w:t>
            </w:r>
          </w:p>
        </w:tc>
        <w:tc>
          <w:tcPr>
            <w:tcW w:w="2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 designation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FDA</w:t>
            </w:r>
          </w:p>
        </w:tc>
        <w:tc>
          <w:tcPr>
            <w:tcW w:w="0" w:type="dxa"/>
            <w:vAlign w:val="bottom"/>
          </w:tcPr>
          <w:p>
            <w:pPr>
              <w:spacing w:after="0"/>
              <w:rPr>
                <w:sz w:val="1"/>
                <w:szCs w:val="1"/>
                <w:color w:val="auto"/>
              </w:rPr>
            </w:pPr>
          </w:p>
        </w:tc>
      </w:tr>
      <w:tr>
        <w:trPr>
          <w:trHeight w:val="186"/>
        </w:trPr>
        <w:tc>
          <w:tcPr>
            <w:tcW w:w="2340" w:type="dxa"/>
            <w:vAlign w:val="bottom"/>
            <w:tcBorders>
              <w:left w:val="single" w:sz="8" w:color="auto"/>
              <w:right w:val="single" w:sz="8" w:color="auto"/>
            </w:tcBorders>
          </w:tcPr>
          <w:p>
            <w:pPr>
              <w:spacing w:after="0"/>
              <w:rPr>
                <w:sz w:val="16"/>
                <w:szCs w:val="16"/>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Heart failure with preserved</w:t>
            </w:r>
          </w:p>
        </w:tc>
        <w:tc>
          <w:tcPr>
            <w:tcW w:w="1680" w:type="dxa"/>
            <w:vAlign w:val="bottom"/>
            <w:tcBorders>
              <w:right w:val="single" w:sz="8" w:color="auto"/>
            </w:tcBorders>
          </w:tcPr>
          <w:p>
            <w:pPr>
              <w:spacing w:after="0"/>
              <w:rPr>
                <w:sz w:val="16"/>
                <w:szCs w:val="16"/>
                <w:color w:val="auto"/>
              </w:rPr>
            </w:pPr>
          </w:p>
        </w:tc>
        <w:tc>
          <w:tcPr>
            <w:tcW w:w="492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7"/>
                <w:szCs w:val="17"/>
                <w:color w:val="auto"/>
              </w:rPr>
              <w:t>Fast Track designation</w:t>
            </w:r>
            <w:r>
              <w:rPr>
                <w:rFonts w:ascii="Arial" w:cs="Arial" w:eastAsia="Arial" w:hAnsi="Arial"/>
                <w:sz w:val="21"/>
                <w:szCs w:val="21"/>
                <w:color w:val="auto"/>
                <w:vertAlign w:val="superscript"/>
              </w:rPr>
              <w:t>(3)</w:t>
            </w:r>
            <w:r>
              <w:rPr>
                <w:rFonts w:ascii="Arial" w:cs="Arial" w:eastAsia="Arial" w:hAnsi="Arial"/>
                <w:sz w:val="17"/>
                <w:szCs w:val="17"/>
                <w:color w:val="auto"/>
              </w:rPr>
              <w:t>. Submitted in the U.S. and Europe</w:t>
            </w:r>
          </w:p>
        </w:tc>
        <w:tc>
          <w:tcPr>
            <w:tcW w:w="0" w:type="dxa"/>
            <w:vAlign w:val="bottom"/>
          </w:tcPr>
          <w:p>
            <w:pPr>
              <w:spacing w:after="0"/>
              <w:rPr>
                <w:sz w:val="1"/>
                <w:szCs w:val="1"/>
                <w:color w:val="auto"/>
              </w:rPr>
            </w:pPr>
          </w:p>
        </w:tc>
      </w:tr>
      <w:tr>
        <w:trPr>
          <w:trHeight w:val="163"/>
        </w:trPr>
        <w:tc>
          <w:tcPr>
            <w:tcW w:w="2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Empagliflozin (Jardiance</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2320" w:type="dxa"/>
            <w:vAlign w:val="bottom"/>
            <w:tcBorders>
              <w:right w:val="single" w:sz="8" w:color="auto"/>
            </w:tcBorders>
            <w:vMerge w:val="continue"/>
          </w:tcPr>
          <w:p>
            <w:pPr>
              <w:spacing w:after="0"/>
              <w:rPr>
                <w:sz w:val="14"/>
                <w:szCs w:val="14"/>
                <w:color w:val="auto"/>
              </w:rPr>
            </w:pPr>
          </w:p>
        </w:tc>
        <w:tc>
          <w:tcPr>
            <w:tcW w:w="1680" w:type="dxa"/>
            <w:vAlign w:val="bottom"/>
            <w:tcBorders>
              <w:right w:val="single" w:sz="8" w:color="auto"/>
            </w:tcBorders>
          </w:tcPr>
          <w:p>
            <w:pPr>
              <w:spacing w:after="0" w:line="163" w:lineRule="exact"/>
              <w:rPr>
                <w:sz w:val="20"/>
                <w:szCs w:val="20"/>
                <w:color w:val="auto"/>
              </w:rPr>
            </w:pPr>
            <w:r>
              <w:rPr>
                <w:rFonts w:ascii="Arial" w:cs="Arial" w:eastAsia="Arial" w:hAnsi="Arial"/>
                <w:sz w:val="18"/>
                <w:szCs w:val="18"/>
                <w:color w:val="auto"/>
              </w:rPr>
              <w:t>Submitted</w:t>
            </w:r>
          </w:p>
        </w:tc>
        <w:tc>
          <w:tcPr>
            <w:tcW w:w="4920" w:type="dxa"/>
            <w:vAlign w:val="bottom"/>
            <w:tcBorders>
              <w:right w:val="single" w:sz="8" w:color="auto"/>
            </w:tcBorders>
          </w:tcPr>
          <w:p>
            <w:pPr>
              <w:ind w:left="20"/>
              <w:spacing w:after="0" w:line="163" w:lineRule="exact"/>
              <w:rPr>
                <w:sz w:val="20"/>
                <w:szCs w:val="20"/>
                <w:color w:val="auto"/>
              </w:rPr>
            </w:pPr>
            <w:r>
              <w:rPr>
                <w:rFonts w:ascii="Arial" w:cs="Arial" w:eastAsia="Arial" w:hAnsi="Arial"/>
                <w:sz w:val="18"/>
                <w:szCs w:val="18"/>
                <w:color w:val="auto"/>
              </w:rPr>
              <w:t>in 2021 and in Japan in January 2022. The FDA granted</w:t>
            </w:r>
          </w:p>
        </w:tc>
        <w:tc>
          <w:tcPr>
            <w:tcW w:w="0" w:type="dxa"/>
            <w:vAlign w:val="bottom"/>
          </w:tcPr>
          <w:p>
            <w:pPr>
              <w:spacing w:after="0"/>
              <w:rPr>
                <w:sz w:val="1"/>
                <w:szCs w:val="1"/>
                <w:color w:val="auto"/>
              </w:rPr>
            </w:pPr>
          </w:p>
        </w:tc>
      </w:tr>
      <w:tr>
        <w:trPr>
          <w:trHeight w:val="148"/>
        </w:trPr>
        <w:tc>
          <w:tcPr>
            <w:tcW w:w="2340" w:type="dxa"/>
            <w:vAlign w:val="bottom"/>
            <w:tcBorders>
              <w:left w:val="single" w:sz="8" w:color="auto"/>
              <w:right w:val="single" w:sz="8" w:color="auto"/>
            </w:tcBorders>
            <w:vMerge w:val="continue"/>
          </w:tcPr>
          <w:p>
            <w:pPr>
              <w:spacing w:after="0"/>
              <w:rPr>
                <w:sz w:val="12"/>
                <w:szCs w:val="12"/>
                <w:color w:val="auto"/>
              </w:rPr>
            </w:pPr>
          </w:p>
        </w:tc>
        <w:tc>
          <w:tcPr>
            <w:tcW w:w="2320" w:type="dxa"/>
            <w:vAlign w:val="bottom"/>
            <w:tcBorders>
              <w:right w:val="single" w:sz="8" w:color="auto"/>
            </w:tcBorders>
          </w:tcPr>
          <w:p>
            <w:pPr>
              <w:spacing w:after="0" w:line="149" w:lineRule="exact"/>
              <w:rPr>
                <w:sz w:val="20"/>
                <w:szCs w:val="20"/>
                <w:color w:val="auto"/>
              </w:rPr>
            </w:pPr>
            <w:r>
              <w:rPr>
                <w:rFonts w:ascii="Arial" w:cs="Arial" w:eastAsia="Arial" w:hAnsi="Arial"/>
                <w:sz w:val="17"/>
                <w:szCs w:val="17"/>
                <w:color w:val="auto"/>
              </w:rPr>
              <w:t>ejection fraction</w:t>
            </w:r>
          </w:p>
        </w:tc>
        <w:tc>
          <w:tcPr>
            <w:tcW w:w="1680" w:type="dxa"/>
            <w:vAlign w:val="bottom"/>
            <w:tcBorders>
              <w:right w:val="single" w:sz="8" w:color="auto"/>
            </w:tcBorders>
          </w:tcPr>
          <w:p>
            <w:pPr>
              <w:spacing w:after="0"/>
              <w:rPr>
                <w:sz w:val="12"/>
                <w:szCs w:val="12"/>
                <w:color w:val="auto"/>
              </w:rPr>
            </w:pPr>
          </w:p>
        </w:tc>
        <w:tc>
          <w:tcPr>
            <w:tcW w:w="4920" w:type="dxa"/>
            <w:vAlign w:val="bottom"/>
            <w:tcBorders>
              <w:right w:val="single" w:sz="8" w:color="auto"/>
            </w:tcBorders>
            <w:vMerge w:val="restart"/>
          </w:tcPr>
          <w:p>
            <w:pPr>
              <w:ind w:left="20"/>
              <w:spacing w:after="0" w:line="189" w:lineRule="exact"/>
              <w:rPr>
                <w:sz w:val="20"/>
                <w:szCs w:val="20"/>
                <w:color w:val="auto"/>
              </w:rPr>
            </w:pPr>
            <w:r>
              <w:rPr>
                <w:rFonts w:ascii="Arial" w:cs="Arial" w:eastAsia="Arial" w:hAnsi="Arial"/>
                <w:sz w:val="18"/>
                <w:szCs w:val="18"/>
                <w:color w:val="auto"/>
              </w:rPr>
              <w:t>priority review for adults with heart failure independent of left</w:t>
            </w:r>
          </w:p>
        </w:tc>
        <w:tc>
          <w:tcPr>
            <w:tcW w:w="0" w:type="dxa"/>
            <w:vAlign w:val="bottom"/>
          </w:tcPr>
          <w:p>
            <w:pPr>
              <w:spacing w:after="0"/>
              <w:rPr>
                <w:sz w:val="1"/>
                <w:szCs w:val="1"/>
                <w:color w:val="auto"/>
              </w:rPr>
            </w:pPr>
          </w:p>
        </w:tc>
      </w:tr>
      <w:tr>
        <w:trPr>
          <w:trHeight w:val="40"/>
        </w:trPr>
        <w:tc>
          <w:tcPr>
            <w:tcW w:w="2340" w:type="dxa"/>
            <w:vAlign w:val="bottom"/>
            <w:tcBorders>
              <w:left w:val="single" w:sz="8" w:color="auto"/>
              <w:right w:val="single" w:sz="8" w:color="auto"/>
            </w:tcBorders>
          </w:tcPr>
          <w:p>
            <w:pPr>
              <w:ind w:left="40"/>
              <w:spacing w:after="0" w:line="40" w:lineRule="exact"/>
              <w:rPr>
                <w:sz w:val="20"/>
                <w:szCs w:val="20"/>
                <w:color w:val="auto"/>
              </w:rPr>
            </w:pPr>
            <w:r>
              <w:rPr>
                <w:rFonts w:ascii="Arial" w:cs="Arial" w:eastAsia="Arial" w:hAnsi="Arial"/>
                <w:sz w:val="4"/>
                <w:szCs w:val="4"/>
                <w:color w:val="auto"/>
              </w:rPr>
              <w:t>(1)</w:t>
            </w:r>
          </w:p>
        </w:tc>
        <w:tc>
          <w:tcPr>
            <w:tcW w:w="232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49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34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ventricular ejection fraction.</w:t>
            </w:r>
          </w:p>
        </w:tc>
        <w:tc>
          <w:tcPr>
            <w:tcW w:w="0" w:type="dxa"/>
            <w:vAlign w:val="bottom"/>
          </w:tcPr>
          <w:p>
            <w:pPr>
              <w:spacing w:after="0"/>
              <w:rPr>
                <w:sz w:val="1"/>
                <w:szCs w:val="1"/>
                <w:color w:val="auto"/>
              </w:rPr>
            </w:pPr>
          </w:p>
        </w:tc>
      </w:tr>
      <w:tr>
        <w:trPr>
          <w:trHeight w:val="203"/>
        </w:trPr>
        <w:tc>
          <w:tcPr>
            <w:tcW w:w="2340" w:type="dxa"/>
            <w:vAlign w:val="bottom"/>
            <w:tcBorders>
              <w:left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4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tcPr>
          <w:p>
            <w:pPr>
              <w:spacing w:after="0"/>
              <w:rPr>
                <w:sz w:val="15"/>
                <w:szCs w:val="15"/>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Chronic kidney disease</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7"/>
                <w:szCs w:val="17"/>
                <w:color w:val="auto"/>
              </w:rPr>
              <w:t>Granted FDA Fast Track designation</w:t>
            </w:r>
            <w:r>
              <w:rPr>
                <w:rFonts w:ascii="Arial" w:cs="Arial" w:eastAsia="Arial" w:hAnsi="Arial"/>
                <w:sz w:val="21"/>
                <w:szCs w:val="21"/>
                <w:color w:val="auto"/>
                <w:vertAlign w:val="superscript"/>
              </w:rPr>
              <w:t>(3)</w:t>
            </w:r>
            <w:r>
              <w:rPr>
                <w:rFonts w:ascii="Arial" w:cs="Arial" w:eastAsia="Arial" w:hAnsi="Arial"/>
                <w:sz w:val="17"/>
                <w:szCs w:val="17"/>
                <w:color w:val="auto"/>
              </w:rPr>
              <w:t>. Phase III trials are</w:t>
            </w: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tcPr>
          <w:p>
            <w:pPr>
              <w:spacing w:after="0"/>
              <w:rPr>
                <w:sz w:val="11"/>
                <w:szCs w:val="11"/>
                <w:color w:val="auto"/>
              </w:rPr>
            </w:pPr>
          </w:p>
        </w:tc>
        <w:tc>
          <w:tcPr>
            <w:tcW w:w="232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4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2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COVID-19</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Emergency Use</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in the U.S. and the FDA granted priority review in</w:t>
            </w:r>
          </w:p>
        </w:tc>
        <w:tc>
          <w:tcPr>
            <w:tcW w:w="0" w:type="dxa"/>
            <w:vAlign w:val="bottom"/>
          </w:tcPr>
          <w:p>
            <w:pPr>
              <w:spacing w:after="0"/>
              <w:rPr>
                <w:sz w:val="1"/>
                <w:szCs w:val="1"/>
                <w:color w:val="auto"/>
              </w:rPr>
            </w:pPr>
          </w:p>
        </w:tc>
      </w:tr>
      <w:tr>
        <w:trPr>
          <w:trHeight w:val="299"/>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vMerge w:val="continue"/>
          </w:tcPr>
          <w:p>
            <w:pPr>
              <w:spacing w:after="0"/>
              <w:rPr>
                <w:sz w:val="24"/>
                <w:szCs w:val="24"/>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Authorization</w:t>
            </w:r>
            <w:r>
              <w:rPr>
                <w:rFonts w:ascii="Arial" w:cs="Arial" w:eastAsia="Arial" w:hAnsi="Arial"/>
                <w:sz w:val="23"/>
                <w:szCs w:val="23"/>
                <w:color w:val="auto"/>
                <w:vertAlign w:val="superscript"/>
              </w:rPr>
              <w:t>(4)</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37"/>
        </w:trPr>
        <w:tc>
          <w:tcPr>
            <w:tcW w:w="2340" w:type="dxa"/>
            <w:vAlign w:val="bottom"/>
            <w:tcBorders>
              <w:left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4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Baricitinib (Olumiant</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Alopecia areata</w:t>
            </w: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FDA Breakthrough Therapy designation</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in U.S., Europe and Japan in 2021.</w:t>
            </w:r>
          </w:p>
        </w:tc>
        <w:tc>
          <w:tcPr>
            <w:tcW w:w="0" w:type="dxa"/>
            <w:vAlign w:val="bottom"/>
          </w:tcPr>
          <w:p>
            <w:pPr>
              <w:spacing w:after="0"/>
              <w:rPr>
                <w:sz w:val="1"/>
                <w:szCs w:val="1"/>
                <w:color w:val="auto"/>
              </w:rPr>
            </w:pPr>
          </w:p>
        </w:tc>
      </w:tr>
      <w:tr>
        <w:trPr>
          <w:trHeight w:val="40"/>
        </w:trPr>
        <w:tc>
          <w:tcPr>
            <w:tcW w:w="2340" w:type="dxa"/>
            <w:vAlign w:val="bottom"/>
            <w:tcBorders>
              <w:left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4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Systemic lupus</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Discontinued</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January 2022 that, based on top-line efficacy</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erythematosus</w:t>
            </w:r>
          </w:p>
        </w:tc>
        <w:tc>
          <w:tcPr>
            <w:tcW w:w="1680" w:type="dxa"/>
            <w:vAlign w:val="bottom"/>
            <w:tcBorders>
              <w:right w:val="single" w:sz="8" w:color="auto"/>
            </w:tcBorders>
            <w:vMerge w:val="continue"/>
          </w:tcPr>
          <w:p>
            <w:pPr>
              <w:spacing w:after="0"/>
              <w:rPr>
                <w:sz w:val="10"/>
                <w:szCs w:val="10"/>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results from Phase III trials, we discontinued development.</w:t>
            </w:r>
          </w:p>
        </w:tc>
        <w:tc>
          <w:tcPr>
            <w:tcW w:w="0" w:type="dxa"/>
            <w:vAlign w:val="bottom"/>
          </w:tcPr>
          <w:p>
            <w:pPr>
              <w:spacing w:after="0"/>
              <w:rPr>
                <w:sz w:val="1"/>
                <w:szCs w:val="1"/>
                <w:color w:val="auto"/>
              </w:rPr>
            </w:pPr>
          </w:p>
        </w:tc>
      </w:tr>
      <w:tr>
        <w:trPr>
          <w:trHeight w:val="95"/>
        </w:trPr>
        <w:tc>
          <w:tcPr>
            <w:tcW w:w="2340" w:type="dxa"/>
            <w:vAlign w:val="bottom"/>
            <w:tcBorders>
              <w:left w:val="single" w:sz="8" w:color="auto"/>
              <w:right w:val="single" w:sz="8" w:color="auto"/>
            </w:tcBorders>
          </w:tcPr>
          <w:p>
            <w:pPr>
              <w:spacing w:after="0"/>
              <w:rPr>
                <w:sz w:val="8"/>
                <w:szCs w:val="8"/>
                <w:color w:val="auto"/>
              </w:rPr>
            </w:pPr>
          </w:p>
        </w:tc>
        <w:tc>
          <w:tcPr>
            <w:tcW w:w="232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4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40" w:type="dxa"/>
            <w:vAlign w:val="bottom"/>
            <w:tcBorders>
              <w:left w:val="single" w:sz="8" w:color="auto"/>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2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HR+, HER2- Adjuvant</w:t>
            </w: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Approved</w:t>
            </w: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in the U.S. and Japan in the fourth quarter of</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breast cancer</w:t>
            </w:r>
          </w:p>
        </w:tc>
        <w:tc>
          <w:tcPr>
            <w:tcW w:w="1680" w:type="dxa"/>
            <w:vAlign w:val="bottom"/>
            <w:tcBorders>
              <w:right w:val="single" w:sz="8" w:color="auto"/>
            </w:tcBorders>
            <w:vMerge w:val="continue"/>
          </w:tcPr>
          <w:p>
            <w:pPr>
              <w:spacing w:after="0"/>
              <w:rPr>
                <w:sz w:val="10"/>
                <w:szCs w:val="10"/>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95"/>
        </w:trPr>
        <w:tc>
          <w:tcPr>
            <w:tcW w:w="2340" w:type="dxa"/>
            <w:vAlign w:val="bottom"/>
            <w:tcBorders>
              <w:left w:val="single" w:sz="8" w:color="auto"/>
              <w:right w:val="single" w:sz="8" w:color="auto"/>
            </w:tcBorders>
          </w:tcPr>
          <w:p>
            <w:pPr>
              <w:spacing w:after="0"/>
              <w:rPr>
                <w:sz w:val="8"/>
                <w:szCs w:val="8"/>
                <w:color w:val="auto"/>
              </w:rPr>
            </w:pPr>
          </w:p>
        </w:tc>
        <w:tc>
          <w:tcPr>
            <w:tcW w:w="232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4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40" w:type="dxa"/>
            <w:vAlign w:val="bottom"/>
            <w:tcBorders>
              <w:left w:val="single" w:sz="8" w:color="auto"/>
              <w:right w:val="single" w:sz="8" w:color="auto"/>
            </w:tcBorders>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4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340" w:type="dxa"/>
            <w:vAlign w:val="bottom"/>
            <w:tcBorders>
              <w:left w:val="single" w:sz="8" w:color="auto"/>
              <w:right w:val="single" w:sz="8" w:color="auto"/>
            </w:tcBorders>
          </w:tcPr>
          <w:p>
            <w:pPr>
              <w:ind w:left="40"/>
              <w:spacing w:after="0" w:line="250" w:lineRule="exact"/>
              <w:rPr>
                <w:sz w:val="20"/>
                <w:szCs w:val="20"/>
                <w:color w:val="auto"/>
              </w:rPr>
            </w:pPr>
            <w:r>
              <w:rPr>
                <w:rFonts w:ascii="Arial" w:cs="Arial" w:eastAsia="Arial" w:hAnsi="Arial"/>
                <w:sz w:val="18"/>
                <w:szCs w:val="18"/>
                <w:color w:val="auto"/>
              </w:rPr>
              <w:t>Abemaciclib (Verzenio</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tc>
        <w:tc>
          <w:tcPr>
            <w:tcW w:w="2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Prostate cancer</w:t>
            </w: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III</w:t>
            </w:r>
          </w:p>
        </w:tc>
        <w:tc>
          <w:tcPr>
            <w:tcW w:w="4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90"/>
        </w:trPr>
        <w:tc>
          <w:tcPr>
            <w:tcW w:w="23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HR+, HER2+ Adjuvant</w:t>
            </w:r>
          </w:p>
        </w:tc>
        <w:tc>
          <w:tcPr>
            <w:tcW w:w="16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January 2022 that we will discontinue the</w:t>
            </w:r>
          </w:p>
        </w:tc>
        <w:tc>
          <w:tcPr>
            <w:tcW w:w="0" w:type="dxa"/>
            <w:vAlign w:val="bottom"/>
          </w:tcPr>
          <w:p>
            <w:pPr>
              <w:spacing w:after="0"/>
              <w:rPr>
                <w:sz w:val="1"/>
                <w:szCs w:val="1"/>
                <w:color w:val="auto"/>
              </w:rPr>
            </w:pPr>
          </w:p>
        </w:tc>
      </w:tr>
      <w:tr>
        <w:trPr>
          <w:trHeight w:val="81"/>
        </w:trPr>
        <w:tc>
          <w:tcPr>
            <w:tcW w:w="2340" w:type="dxa"/>
            <w:vAlign w:val="bottom"/>
            <w:tcBorders>
              <w:left w:val="single" w:sz="8" w:color="auto"/>
              <w:right w:val="single" w:sz="8" w:color="auto"/>
            </w:tcBorders>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168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Discontinued</w:t>
            </w:r>
          </w:p>
        </w:tc>
        <w:tc>
          <w:tcPr>
            <w:tcW w:w="492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Phase III trial in response to the changing treatment</w:t>
            </w:r>
          </w:p>
        </w:tc>
        <w:tc>
          <w:tcPr>
            <w:tcW w:w="0" w:type="dxa"/>
            <w:vAlign w:val="bottom"/>
          </w:tcPr>
          <w:p>
            <w:pPr>
              <w:spacing w:after="0"/>
              <w:rPr>
                <w:sz w:val="1"/>
                <w:szCs w:val="1"/>
                <w:color w:val="auto"/>
              </w:rPr>
            </w:pPr>
          </w:p>
        </w:tc>
      </w:tr>
      <w:tr>
        <w:trPr>
          <w:trHeight w:val="95"/>
        </w:trPr>
        <w:tc>
          <w:tcPr>
            <w:tcW w:w="2340" w:type="dxa"/>
            <w:vAlign w:val="bottom"/>
            <w:tcBorders>
              <w:left w:val="single" w:sz="8" w:color="auto"/>
              <w:right w:val="single" w:sz="8" w:color="auto"/>
            </w:tcBorders>
          </w:tcPr>
          <w:p>
            <w:pPr>
              <w:spacing w:after="0"/>
              <w:rPr>
                <w:sz w:val="8"/>
                <w:szCs w:val="8"/>
                <w:color w:val="auto"/>
              </w:rPr>
            </w:pPr>
          </w:p>
        </w:tc>
        <w:tc>
          <w:tcPr>
            <w:tcW w:w="23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breast cancer</w:t>
            </w:r>
          </w:p>
        </w:tc>
        <w:tc>
          <w:tcPr>
            <w:tcW w:w="1680" w:type="dxa"/>
            <w:vAlign w:val="bottom"/>
            <w:tcBorders>
              <w:right w:val="single" w:sz="8" w:color="auto"/>
            </w:tcBorders>
            <w:vMerge w:val="continue"/>
          </w:tcPr>
          <w:p>
            <w:pPr>
              <w:spacing w:after="0"/>
              <w:rPr>
                <w:sz w:val="8"/>
                <w:szCs w:val="8"/>
                <w:color w:val="auto"/>
              </w:rPr>
            </w:pPr>
          </w:p>
        </w:tc>
        <w:tc>
          <w:tcPr>
            <w:tcW w:w="4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4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landscape and global enrollment challenges.</w:t>
            </w:r>
          </w:p>
        </w:tc>
        <w:tc>
          <w:tcPr>
            <w:tcW w:w="0" w:type="dxa"/>
            <w:vAlign w:val="bottom"/>
          </w:tcPr>
          <w:p>
            <w:pPr>
              <w:spacing w:after="0"/>
              <w:rPr>
                <w:sz w:val="1"/>
                <w:szCs w:val="1"/>
                <w:color w:val="auto"/>
              </w:rPr>
            </w:pPr>
          </w:p>
        </w:tc>
      </w:tr>
      <w:tr>
        <w:trPr>
          <w:trHeight w:val="95"/>
        </w:trPr>
        <w:tc>
          <w:tcPr>
            <w:tcW w:w="2340" w:type="dxa"/>
            <w:vAlign w:val="bottom"/>
            <w:tcBorders>
              <w:left w:val="single" w:sz="8" w:color="auto"/>
              <w:right w:val="single" w:sz="8" w:color="auto"/>
            </w:tcBorders>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4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40" w:type="dxa"/>
            <w:vAlign w:val="bottom"/>
            <w:tcBorders>
              <w:left w:val="single" w:sz="8" w:color="auto"/>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4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In collaboration with Boehringer Ingelheim.</w:t>
      </w:r>
    </w:p>
    <w:p>
      <w:pPr>
        <w:ind w:left="180" w:right="100" w:hanging="172"/>
        <w:spacing w:after="0" w:line="211" w:lineRule="auto"/>
        <w:tabs>
          <w:tab w:leader="none" w:pos="158"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ind w:left="140" w:hanging="132"/>
        <w:spacing w:after="0" w:line="211" w:lineRule="auto"/>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Fast Track designation is designed to expedite the development and review of new therapies to treat serious conditions and address unmet medical needs.</w:t>
      </w:r>
    </w:p>
    <w:p>
      <w:pPr>
        <w:ind w:left="160" w:hanging="152"/>
        <w:spacing w:after="0" w:line="199" w:lineRule="auto"/>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The FDA granted EUA for treatment with or without remdesivir in hospitalized COVID-19 patients.</w:t>
      </w:r>
    </w:p>
    <w:p>
      <w:pPr>
        <w:spacing w:after="0" w:line="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There are many difficulties and uncertainties inherent in pharmaceutical research and development and the introduction of new products, as well as a high rate of failure inherent in new drug discovery and development. To bring a drug from the discovery phase to market can take over a decade and often costs in excess of $ 2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limited scope of approved uses, label changes, changes in the relevant treatment standards or the availability of new or better competitive products, difficulty or excessive costs to manufacture, or infringement of the patents or intellectual property rights of others. Regulatory agencies establish high hurdles for the efficacy and safety of new products and indications. Delays and uncertainties in drug approval processes can result in delays in product launches and lost market opportunity. In addition, it can be very difficult to predict revenue growth rates of new products and indications.</w:t>
      </w:r>
    </w:p>
    <w:p>
      <w:pPr>
        <w:spacing w:after="0" w:line="200" w:lineRule="exact"/>
        <w:rPr>
          <w:sz w:val="20"/>
          <w:szCs w:val="20"/>
          <w:color w:val="auto"/>
        </w:rPr>
      </w:pPr>
    </w:p>
    <w:p>
      <w:pPr>
        <w:spacing w:after="0" w:line="376" w:lineRule="exact"/>
        <w:rPr>
          <w:sz w:val="20"/>
          <w:szCs w:val="20"/>
          <w:color w:val="auto"/>
        </w:rPr>
      </w:pPr>
    </w:p>
    <w:p>
      <w:pPr>
        <w:ind w:left="11060"/>
        <w:spacing w:after="0"/>
        <w:rPr>
          <w:sz w:val="20"/>
          <w:szCs w:val="20"/>
          <w:color w:val="auto"/>
        </w:rPr>
      </w:pPr>
      <w:r>
        <w:rPr>
          <w:rFonts w:ascii="Arial" w:cs="Arial" w:eastAsia="Arial" w:hAnsi="Arial"/>
          <w:sz w:val="17"/>
          <w:szCs w:val="17"/>
          <w:b w:val="1"/>
          <w:bCs w:val="1"/>
          <w:i w:val="1"/>
          <w:i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9" w:right="319" w:bottom="1440" w:gutter="0" w:footer="0" w:header="0"/>
        </w:sectPr>
      </w:pPr>
    </w:p>
    <w:bookmarkStart w:id="39" w:name="page40"/>
    <w:bookmarkEnd w:id="39"/>
    <w:p>
      <w:pPr>
        <w:spacing w:after="0" w:line="251" w:lineRule="auto"/>
        <w:rPr>
          <w:sz w:val="20"/>
          <w:szCs w:val="20"/>
          <w:color w:val="auto"/>
        </w:rPr>
      </w:pPr>
      <w:r>
        <w:rPr>
          <w:rFonts w:ascii="Arial" w:cs="Arial" w:eastAsia="Arial" w:hAnsi="Arial"/>
          <w:sz w:val="18"/>
          <w:szCs w:val="18"/>
          <w:color w:val="auto"/>
        </w:rPr>
        <w:t>We manage research and development spending across our portfolio of potential new medicines.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any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 property protection for most of our revenue, cash flows, and earnings.</w:t>
      </w:r>
    </w:p>
    <w:p>
      <w:pPr>
        <w:spacing w:after="0" w:line="10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2021, our vitamin regimen patents for 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worldwide. Following the loss of patent exclusivity in major European countries and Japan, we faced, and remain exposed to, generic competition which has eroded revenue and is likely to continue to rapidly and severely erode revenue from current levels. In the U.S., we expect pediatric data exclusivity to provide us with protection through May 2022. However, we and Eagle Pharmaceuticals, Inc. (Eagle) reached an agreement in December 2019 to settle all pending U.S. patent litigation, allowing Eagle a limited initial entry into the market with its product starting February 2022 (up to an approximate three-week supply) and subsequent unlimited entry starting April 2022. We expect that the entry of generic competition in the U.S. following the loss of exclusivity will cause a rapid and severe decline in revenue and will have a material adverse effect on our consolidated results of operations and cash flows. See Note 16 to the consolidated financial statements for a more detailed account of the legal proceedings currently pending regarding, among others, our Alimta patents.</w:t>
      </w:r>
    </w:p>
    <w:p>
      <w:pPr>
        <w:spacing w:after="0" w:line="10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compound patent for 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has similar version of insulin lispro in the U.S. and in certain European markets. While it is difficult to estimate the severity of the impact of insulin lispro products entering the market, we do not expect and have not experienced a rapid and severe decline in revenue; however, we expect additional pricing pressure and some loss of market share that may continue over time.</w:t>
      </w:r>
    </w:p>
    <w:p>
      <w:pPr>
        <w:spacing w:after="0" w:line="100"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Our formulation and use patents for 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have expired in major markets. We expect further decline in revenue as a result of the entry of generic and biosimilar competition due to the loss of patent exclusivity in major markets.</w:t>
      </w:r>
    </w:p>
    <w:p>
      <w:pPr>
        <w:spacing w:after="0" w:line="98"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Our regulatory data and patent exclusivity for Cymbalta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expired in Japan. Beginning in mid-2021, we have faced, and remain exposed to, generic competition which has eroded revenue and is likely to continue to rapidly and severely erode revenue from current levels.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operating expenses. While there is uncertainty in the future movements in foreign exchange rates, fluctuations in these rates could adversely impact our future consolidated results of operations and cash flows.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Trends Affecting Pharmaceutical Pricing, Reimbursement, and Access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as well as worldwide cost containment efforts by governmental authorities. Such measures may include the use of mandated discounts, price reporting requirements, mandated reference prices, restrictive formularies, changes to available intellectual property protections, as well as other efforts. In addition, consolidation of private payors in the U.S. has significantly impacted the market for pharmaceuticals by increasing payor leverage in negotiating manufacturer price concessions and pharmacy reimbursement rates. Furthermore, restrictive or unfavorable pricing, coverage, or reimbursement determinations for our medicines or product candidates by governments, regulatory agencies, or private payers, such as the recently proposed Alzheimer’s Monoclonal Antibody national coverage determination, may adversely impact our business and financial results. We expect that these actions may intensify and could particularly affect certain products, such as insulin, as governments manage and emerge from the COVID-19 pandemic, which could adversely affect our business. In addition, we are engaged in litigation and investigations related to our 340B program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1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evolving regulatory priorities have intensified governmental scrutiny of our operations and our industry, including with respect to current Good Manufacturing Practices, quality assurance, and similar regulations, and increased focus on business combinations in our industry. Any regulatory issues concerning these matters could lead to regulatory and legal actions, product recalls and seizures, fines and penalties, interruption of production leading to product shortages, import bans or denials of import certifications, delays or denials in the approvals of new products or supplemental approvals of current products pending resolution of the issues, impediments to the completion of business combinations, and reputational harm, any of which would adversely affect our business.</w:t>
      </w:r>
    </w:p>
    <w:p>
      <w:pPr>
        <w:spacing w:after="0" w:line="10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See Item 1, "Business - Regulations and Private Payer Actions Affecting Pharmaceutical Pricing, Reimbursement, and Access" and Note 16 to the consolidated financial statements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In 2017, the U.S. enacted the Tax Cuts and Jobs Act (the 2017 Tax Act), which contains a provision that requires capitalization and amortization of research and development expenses for tax purposes starting in 2022. Previously, these expenses could be deducted in the year incurred. While this provision of the 2017 Tax Act is expected to have an immaterial impact on our consolidated results of operations, if it is not deferred or repealed by Congress, we expect that the implementation of this provision will increase our cash payments of income taxes by up to $1.50 billion in 2022 and subsequently decrease our cash payments of income taxes moderately over the five-year amortization period.</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U.S. and countries around the world are actively considering and enacting tax law changes. Tax proposals introduced by Congress and the U.S. presidential administration contain significant changes, including increases to the tax rates at which both domestic and foreign income of U.S. companies would be taxed. In addition, tax authorities in the U.S. and other jurisdictions in which we do business routinely examine our tax returns and are intensifying their scrutiny and examinations of profit allocations among jurisdictions, which could adversely impact our future consolidated results of operations and cash flows. Further, actions taken with respect to tax-related matters by associations such as the Organisation for Economic Co-operation and Development and the European Commission could influence tax laws in countries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Acquisitions</w:t>
      </w:r>
    </w:p>
    <w:p>
      <w:pPr>
        <w:spacing w:after="0" w:line="13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opportunistically invest in external research and technologies that we believe complement and strengthen our own efforts. These investments can take many forms, including acquisitions, collaborations, investments, and licensing arrangements. We view our business development activity as a way to enhance our pipeline and strengthen our business.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contingent value right (CVR) per share. The CVR entitles Prevail stockholders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Under the terms of the agreement, we acquired potentially disease-modifying AAV9-based gene therapies for patients with neurodegenerative diseases. The acquisition establishes a new modality for drug discovery and development, extending our research efforts through the creation of a gene therapy program that is being anchored by Prevail's portfolio of assets.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2020, we acquired all shares of Dermira, Inc. for a purchase price of $849.3 million, net of cash acquired. Under the terms of the agreement, we acquired lebrikizumab, a novel, investigational, monoclonal antibody being evaluated for the treatment of moderate-to-severe atopic dermatitis. Lebrikizumab was granted Fast Track designation from the FDA. We also acquired Qbrexza cloth, a medicated cloth for the topical treatment of primary axillary hyperhidrosis (uncontrolled excessive underarm sweating). In 2021, we sold the rights to Qbrexza. See Note 5 to the consolidated financial statements for additional information regarding the sale of the rights to Qbrexza.</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February 2019, we acquired all shares of Loxo for a purchase price of $6.92 billion, net of cash acquired. Under the terms of the agreement, we acquired a pipeline of investigational medicines, including selpercatinib, an oral RET inhibitor, and LOXO-305 (pirtobrutinib), an oral BTK inhibitor. In the second quarter of 2020, the FDA approved selpercatinib (Retevmo) under its Accelerated Approval regulations and continued approval may be contingent upon verification and description of clinical benefit in confirmatory trials.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additional information regarding our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Operating Results—2021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Year Ended</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58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5"/>
                <w:szCs w:val="15"/>
                <w:color w:val="auto"/>
              </w:rPr>
            </w:pPr>
          </w:p>
        </w:tc>
        <w:tc>
          <w:tcPr>
            <w:tcW w:w="1100" w:type="dxa"/>
            <w:vAlign w:val="bottom"/>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582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U.S.</w:t>
            </w:r>
          </w:p>
        </w:tc>
        <w:tc>
          <w:tcPr>
            <w:tcW w:w="420" w:type="dxa"/>
            <w:vAlign w:val="bottom"/>
            <w:tcBorders>
              <w:top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gridSpan w:val="2"/>
            <w:shd w:val="clear" w:color="auto" w:fill="D8D8D8"/>
          </w:tcPr>
          <w:p>
            <w:pPr>
              <w:jc w:val="right"/>
              <w:ind w:right="88"/>
              <w:spacing w:after="0"/>
              <w:rPr>
                <w:sz w:val="20"/>
                <w:szCs w:val="20"/>
                <w:color w:val="auto"/>
              </w:rPr>
            </w:pPr>
            <w:r>
              <w:rPr>
                <w:rFonts w:ascii="Arial" w:cs="Arial" w:eastAsia="Arial" w:hAnsi="Arial"/>
                <w:sz w:val="18"/>
                <w:szCs w:val="18"/>
                <w:b w:val="1"/>
                <w:bCs w:val="1"/>
                <w:color w:val="auto"/>
              </w:rPr>
              <w:t>16,811.0</w:t>
            </w:r>
          </w:p>
        </w:tc>
        <w:tc>
          <w:tcPr>
            <w:tcW w:w="620" w:type="dxa"/>
            <w:vAlign w:val="bottom"/>
            <w:tcBorders>
              <w:top w:val="single" w:sz="8" w:color="auto"/>
            </w:tcBorders>
            <w:shd w:val="clear" w:color="auto" w:fill="D8D8D8"/>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14,229.3</w:t>
            </w:r>
          </w:p>
        </w:tc>
        <w:tc>
          <w:tcPr>
            <w:tcW w:w="380" w:type="dxa"/>
            <w:vAlign w:val="bottom"/>
            <w:tcBorders>
              <w:top w:val="single" w:sz="8" w:color="auto"/>
            </w:tcBorders>
            <w:shd w:val="clear" w:color="auto" w:fill="D8D8D8"/>
          </w:tcPr>
          <w:p>
            <w:pPr>
              <w:spacing w:after="0"/>
              <w:rPr>
                <w:sz w:val="19"/>
                <w:szCs w:val="19"/>
                <w:color w:val="auto"/>
              </w:rPr>
            </w:pPr>
          </w:p>
        </w:tc>
        <w:tc>
          <w:tcPr>
            <w:tcW w:w="1480" w:type="dxa"/>
            <w:vAlign w:val="bottom"/>
            <w:tcBorders>
              <w:top w:val="single" w:sz="8" w:color="auto"/>
            </w:tcBorders>
            <w:shd w:val="clear" w:color="auto" w:fill="D8D8D8"/>
          </w:tcPr>
          <w:p>
            <w:pPr>
              <w:jc w:val="center"/>
              <w:ind w:right="194"/>
              <w:spacing w:after="0"/>
              <w:rPr>
                <w:sz w:val="20"/>
                <w:szCs w:val="20"/>
                <w:color w:val="auto"/>
              </w:rPr>
            </w:pPr>
            <w:r>
              <w:rPr>
                <w:rFonts w:ascii="Arial" w:cs="Arial" w:eastAsia="Arial" w:hAnsi="Arial"/>
                <w:sz w:val="18"/>
                <w:szCs w:val="18"/>
                <w:color w:val="auto"/>
                <w:w w:val="99"/>
              </w:rPr>
              <w:t>18</w:t>
            </w:r>
          </w:p>
        </w:tc>
        <w:tc>
          <w:tcPr>
            <w:tcW w:w="40" w:type="dxa"/>
            <w:vAlign w:val="bottom"/>
          </w:tcPr>
          <w:p>
            <w:pPr>
              <w:spacing w:after="0"/>
              <w:rPr>
                <w:sz w:val="19"/>
                <w:szCs w:val="19"/>
                <w:color w:val="auto"/>
              </w:rPr>
            </w:pPr>
          </w:p>
        </w:tc>
      </w:tr>
      <w:tr>
        <w:trPr>
          <w:trHeight w:val="229"/>
        </w:trPr>
        <w:tc>
          <w:tcPr>
            <w:tcW w:w="58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Outside U.S.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b w:val="1"/>
                <w:bCs w:val="1"/>
                <w:color w:val="auto"/>
              </w:rPr>
              <w:t>11,507.4</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10,310.5</w:t>
            </w:r>
          </w:p>
        </w:tc>
        <w:tc>
          <w:tcPr>
            <w:tcW w:w="380" w:type="dxa"/>
            <w:vAlign w:val="bottom"/>
            <w:tcBorders>
              <w:bottom w:val="single" w:sz="8" w:color="D8D8D8"/>
            </w:tcBorders>
          </w:tcPr>
          <w:p>
            <w:pPr>
              <w:spacing w:after="0"/>
              <w:rPr>
                <w:sz w:val="19"/>
                <w:szCs w:val="19"/>
                <w:color w:val="auto"/>
              </w:rPr>
            </w:pPr>
          </w:p>
        </w:tc>
        <w:tc>
          <w:tcPr>
            <w:tcW w:w="1480" w:type="dxa"/>
            <w:vAlign w:val="bottom"/>
            <w:tcBorders>
              <w:bottom w:val="single" w:sz="8" w:color="D8D8D8"/>
            </w:tcBorders>
          </w:tcPr>
          <w:p>
            <w:pPr>
              <w:jc w:val="center"/>
              <w:ind w:right="194"/>
              <w:spacing w:after="0"/>
              <w:rPr>
                <w:sz w:val="20"/>
                <w:szCs w:val="20"/>
                <w:color w:val="auto"/>
              </w:rPr>
            </w:pPr>
            <w:r>
              <w:rPr>
                <w:rFonts w:ascii="Arial" w:cs="Arial" w:eastAsia="Arial" w:hAnsi="Arial"/>
                <w:sz w:val="18"/>
                <w:szCs w:val="18"/>
                <w:color w:val="auto"/>
                <w:w w:val="99"/>
              </w:rPr>
              <w:t>12</w:t>
            </w:r>
          </w:p>
        </w:tc>
        <w:tc>
          <w:tcPr>
            <w:tcW w:w="40" w:type="dxa"/>
            <w:vAlign w:val="bottom"/>
          </w:tcPr>
          <w:p>
            <w:pPr>
              <w:spacing w:after="0"/>
              <w:rPr>
                <w:sz w:val="19"/>
                <w:szCs w:val="19"/>
                <w:color w:val="auto"/>
              </w:rPr>
            </w:pPr>
          </w:p>
        </w:tc>
      </w:tr>
      <w:tr>
        <w:trPr>
          <w:trHeight w:val="230"/>
        </w:trPr>
        <w:tc>
          <w:tcPr>
            <w:tcW w:w="5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shd w:val="clear" w:color="auto" w:fill="D8D8D8"/>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gridSpan w:val="2"/>
            <w:shd w:val="clear" w:color="auto" w:fill="D8D8D8"/>
          </w:tcPr>
          <w:p>
            <w:pPr>
              <w:jc w:val="right"/>
              <w:ind w:right="88"/>
              <w:spacing w:after="0"/>
              <w:rPr>
                <w:sz w:val="20"/>
                <w:szCs w:val="20"/>
                <w:color w:val="auto"/>
              </w:rPr>
            </w:pPr>
            <w:r>
              <w:rPr>
                <w:rFonts w:ascii="Arial" w:cs="Arial" w:eastAsia="Arial" w:hAnsi="Arial"/>
                <w:sz w:val="18"/>
                <w:szCs w:val="18"/>
                <w:b w:val="1"/>
                <w:bCs w:val="1"/>
                <w:color w:val="auto"/>
              </w:rPr>
              <w:t>28,318.4</w:t>
            </w:r>
          </w:p>
        </w:tc>
        <w:tc>
          <w:tcPr>
            <w:tcW w:w="620" w:type="dxa"/>
            <w:vAlign w:val="bottom"/>
            <w:tcBorders>
              <w:bottom w:val="single" w:sz="8" w:color="auto"/>
            </w:tcBorders>
            <w:shd w:val="clear" w:color="auto" w:fill="D8D8D8"/>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24,539.8</w:t>
            </w:r>
          </w:p>
        </w:tc>
        <w:tc>
          <w:tcPr>
            <w:tcW w:w="380" w:type="dxa"/>
            <w:vAlign w:val="bottom"/>
            <w:tcBorders>
              <w:bottom w:val="single" w:sz="8" w:color="D8D8D8"/>
            </w:tcBorders>
            <w:shd w:val="clear" w:color="auto" w:fill="D8D8D8"/>
          </w:tcPr>
          <w:p>
            <w:pPr>
              <w:spacing w:after="0"/>
              <w:rPr>
                <w:sz w:val="20"/>
                <w:szCs w:val="20"/>
                <w:color w:val="auto"/>
              </w:rPr>
            </w:pPr>
          </w:p>
        </w:tc>
        <w:tc>
          <w:tcPr>
            <w:tcW w:w="1480" w:type="dxa"/>
            <w:vAlign w:val="bottom"/>
            <w:tcBorders>
              <w:bottom w:val="single" w:sz="8" w:color="D8D8D8"/>
            </w:tcBorders>
            <w:shd w:val="clear" w:color="auto" w:fill="D8D8D8"/>
          </w:tcPr>
          <w:p>
            <w:pPr>
              <w:jc w:val="center"/>
              <w:ind w:right="194"/>
              <w:spacing w:after="0"/>
              <w:rPr>
                <w:sz w:val="20"/>
                <w:szCs w:val="20"/>
                <w:color w:val="auto"/>
              </w:rPr>
            </w:pPr>
            <w:r>
              <w:rPr>
                <w:rFonts w:ascii="Arial" w:cs="Arial" w:eastAsia="Arial" w:hAnsi="Arial"/>
                <w:sz w:val="18"/>
                <w:szCs w:val="18"/>
                <w:color w:val="auto"/>
                <w:w w:val="99"/>
              </w:rPr>
              <w:t>15</w:t>
            </w:r>
          </w:p>
        </w:tc>
        <w:tc>
          <w:tcPr>
            <w:tcW w:w="40" w:type="dxa"/>
            <w:vAlign w:val="bottom"/>
          </w:tcPr>
          <w:p>
            <w:pPr>
              <w:spacing w:after="0"/>
              <w:rPr>
                <w:sz w:val="20"/>
                <w:szCs w:val="20"/>
                <w:color w:val="auto"/>
              </w:rPr>
            </w:pPr>
          </w:p>
        </w:tc>
      </w:tr>
      <w:tr>
        <w:trPr>
          <w:trHeight w:val="405"/>
        </w:trPr>
        <w:tc>
          <w:tcPr>
            <w:tcW w:w="7620" w:type="dxa"/>
            <w:vAlign w:val="bottom"/>
            <w:gridSpan w:val="4"/>
          </w:tcPr>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5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2021 vs. 2020</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3"/>
        </w:trPr>
        <w:tc>
          <w:tcPr>
            <w:tcW w:w="5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Outside U.S.</w:t>
            </w:r>
          </w:p>
        </w:tc>
        <w:tc>
          <w:tcPr>
            <w:tcW w:w="15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Volume</w:t>
            </w:r>
          </w:p>
        </w:tc>
        <w:tc>
          <w:tcPr>
            <w:tcW w:w="420" w:type="dxa"/>
            <w:vAlign w:val="bottom"/>
            <w:shd w:val="clear" w:color="auto" w:fill="D8D8D8"/>
          </w:tcPr>
          <w:p>
            <w:pPr>
              <w:spacing w:after="0"/>
              <w:rPr>
                <w:sz w:val="19"/>
                <w:szCs w:val="19"/>
                <w:color w:val="auto"/>
              </w:rPr>
            </w:pPr>
          </w:p>
        </w:tc>
        <w:tc>
          <w:tcPr>
            <w:tcW w:w="460" w:type="dxa"/>
            <w:vAlign w:val="bottom"/>
            <w:shd w:val="clear" w:color="auto" w:fill="D8D8D8"/>
          </w:tcPr>
          <w:p>
            <w:pPr>
              <w:spacing w:after="0"/>
              <w:rPr>
                <w:sz w:val="19"/>
                <w:szCs w:val="19"/>
                <w:color w:val="auto"/>
              </w:rPr>
            </w:pPr>
          </w:p>
        </w:tc>
        <w:tc>
          <w:tcPr>
            <w:tcW w:w="920" w:type="dxa"/>
            <w:vAlign w:val="bottom"/>
            <w:shd w:val="clear" w:color="auto" w:fill="D8D8D8"/>
          </w:tcPr>
          <w:p>
            <w:pPr>
              <w:spacing w:after="0"/>
              <w:rPr>
                <w:sz w:val="19"/>
                <w:szCs w:val="19"/>
                <w:color w:val="auto"/>
              </w:rPr>
            </w:pPr>
          </w:p>
        </w:tc>
        <w:tc>
          <w:tcPr>
            <w:tcW w:w="6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19 %</w:t>
            </w:r>
          </w:p>
        </w:tc>
        <w:tc>
          <w:tcPr>
            <w:tcW w:w="1480" w:type="dxa"/>
            <w:vAlign w:val="bottom"/>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13 %</w:t>
            </w:r>
          </w:p>
        </w:tc>
        <w:tc>
          <w:tcPr>
            <w:tcW w:w="1520" w:type="dxa"/>
            <w:vAlign w:val="bottom"/>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16 %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Price</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5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Foreign exchange rates</w:t>
            </w:r>
          </w:p>
        </w:tc>
        <w:tc>
          <w:tcPr>
            <w:tcW w:w="420" w:type="dxa"/>
            <w:vAlign w:val="bottom"/>
            <w:shd w:val="clear" w:color="auto" w:fill="D8D8D8"/>
          </w:tcPr>
          <w:p>
            <w:pPr>
              <w:spacing w:after="0"/>
              <w:rPr>
                <w:sz w:val="19"/>
                <w:szCs w:val="19"/>
                <w:color w:val="auto"/>
              </w:rPr>
            </w:pPr>
          </w:p>
        </w:tc>
        <w:tc>
          <w:tcPr>
            <w:tcW w:w="460" w:type="dxa"/>
            <w:vAlign w:val="bottom"/>
            <w:shd w:val="clear" w:color="auto" w:fill="D8D8D8"/>
          </w:tcPr>
          <w:p>
            <w:pPr>
              <w:spacing w:after="0"/>
              <w:rPr>
                <w:sz w:val="19"/>
                <w:szCs w:val="19"/>
                <w:color w:val="auto"/>
              </w:rPr>
            </w:pPr>
          </w:p>
        </w:tc>
        <w:tc>
          <w:tcPr>
            <w:tcW w:w="920" w:type="dxa"/>
            <w:vAlign w:val="bottom"/>
            <w:tcBorders>
              <w:bottom w:val="single" w:sz="8" w:color="auto"/>
            </w:tcBorders>
            <w:shd w:val="clear" w:color="auto" w:fill="D8D8D8"/>
          </w:tcPr>
          <w:p>
            <w:pPr>
              <w:spacing w:after="0"/>
              <w:rPr>
                <w:sz w:val="19"/>
                <w:szCs w:val="19"/>
                <w:color w:val="auto"/>
              </w:rPr>
            </w:pPr>
          </w:p>
        </w:tc>
        <w:tc>
          <w:tcPr>
            <w:tcW w:w="6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auto"/>
            </w:tcBorders>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3 %</w:t>
            </w:r>
          </w:p>
        </w:tc>
        <w:tc>
          <w:tcPr>
            <w:tcW w:w="1520" w:type="dxa"/>
            <w:vAlign w:val="bottom"/>
            <w:tcBorders>
              <w:bottom w:val="single" w:sz="8" w:color="auto"/>
            </w:tcBorders>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1 %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12 %</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 the U.S the increase in volume in 2021 was primarily driven by COVID-19 antibodies, Trulicity</w:t>
      </w:r>
      <w:r>
        <w:rPr>
          <w:rFonts w:ascii="Arial" w:cs="Arial" w:eastAsia="Arial" w:hAnsi="Arial"/>
          <w:sz w:val="23"/>
          <w:szCs w:val="23"/>
          <w:color w:val="auto"/>
          <w:vertAlign w:val="superscript"/>
        </w:rPr>
        <w:t>®</w:t>
      </w:r>
      <w:r>
        <w:rPr>
          <w:rFonts w:ascii="Arial" w:cs="Arial" w:eastAsia="Arial" w:hAnsi="Arial"/>
          <w:sz w:val="18"/>
          <w:szCs w:val="18"/>
          <w:color w:val="auto"/>
        </w:rPr>
        <w:t>, and Taltz</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7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Outside the U.S. the increase in volume in 2021 was primarily driven by Trulicity, Olumiant, COVID-19 antibodies, Verzenio, and Taltz. The decrease in realized prices outside the U.S. was primarily driven by the price impact of the updated National Reimbursement Drug List formulary for certain products, largely Tyvyt</w:t>
      </w:r>
      <w:r>
        <w:rPr>
          <w:rFonts w:ascii="Arial" w:cs="Arial" w:eastAsia="Arial" w:hAnsi="Arial"/>
          <w:sz w:val="23"/>
          <w:szCs w:val="23"/>
          <w:color w:val="auto"/>
          <w:vertAlign w:val="superscript"/>
        </w:rPr>
        <w:t>®</w:t>
      </w:r>
      <w:r>
        <w:rPr>
          <w:rFonts w:ascii="Arial" w:cs="Arial" w:eastAsia="Arial" w:hAnsi="Arial"/>
          <w:sz w:val="18"/>
          <w:szCs w:val="18"/>
          <w:color w:val="auto"/>
        </w:rPr>
        <w:t>, in China.</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summarizes our revenue activity in 2021 compared with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6"/>
        </w:trPr>
        <w:tc>
          <w:tcPr>
            <w:tcW w:w="4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r>
      <w:tr>
        <w:trPr>
          <w:trHeight w:val="196"/>
        </w:trPr>
        <w:tc>
          <w:tcPr>
            <w:tcW w:w="4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480" w:type="dxa"/>
            <w:vAlign w:val="bottom"/>
          </w:tcPr>
          <w:p>
            <w:pPr>
              <w:spacing w:after="0"/>
              <w:rPr>
                <w:sz w:val="17"/>
                <w:szCs w:val="17"/>
                <w:color w:val="auto"/>
              </w:rPr>
            </w:pPr>
          </w:p>
        </w:tc>
      </w:tr>
      <w:tr>
        <w:trPr>
          <w:trHeight w:val="35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Percent Change</w:t>
            </w:r>
          </w:p>
        </w:tc>
      </w:tr>
      <w:tr>
        <w:trPr>
          <w:trHeight w:val="223"/>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Trulicity</w:t>
            </w:r>
          </w:p>
        </w:tc>
        <w:tc>
          <w:tcPr>
            <w:tcW w:w="32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4,914.4</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1,557.6</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6,471.9</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5,068.1</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28</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1,320.7</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1,132.3</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2,625.9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COVID-19 antibodies</w:t>
            </w:r>
            <w:r>
              <w:rPr>
                <w:rFonts w:ascii="Arial" w:cs="Arial" w:eastAsia="Arial" w:hAnsi="Arial"/>
                <w:sz w:val="23"/>
                <w:szCs w:val="23"/>
                <w:color w:val="auto"/>
                <w:vertAlign w:val="superscript"/>
              </w:rPr>
              <w:t>(2)</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1,978.0</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261.4</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2,239.3</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871.2</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Taltz</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1,542.4</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670.4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1,788.5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24</w:t>
            </w:r>
          </w:p>
        </w:tc>
      </w:tr>
      <w:tr>
        <w:trPr>
          <w:trHeight w:val="230"/>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Alimta</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1,233.9</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827.5</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2,061.4</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2,329.9</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807.3</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683.5</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1,490.8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1,153.8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29</w:t>
            </w:r>
          </w:p>
        </w:tc>
      </w:tr>
      <w:tr>
        <w:trPr>
          <w:trHeight w:val="229"/>
        </w:trPr>
        <w:tc>
          <w:tcPr>
            <w:tcW w:w="4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834.9</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515.0</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1,349.9</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912.7</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48</w:t>
            </w: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832.9</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389.6</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1,259.6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(3)</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(4)</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324.1</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791.0</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1,115.1</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638.9</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75</w:t>
            </w: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358.1</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674.8</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588.3</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304.2</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892.5</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1,124.4</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(21)</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Forteo</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441.6</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360.3</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(23)</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Cialis</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10.6</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707.9</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718.4</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607.1</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18</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Cymbalta</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38.7</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542.8</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767.7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(24)</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434.5</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142.7</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577.2</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362.9</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59</w:t>
            </w:r>
          </w:p>
        </w:tc>
      </w:tr>
      <w:tr>
        <w:trPr>
          <w:trHeight w:val="230"/>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Erbitux</w:t>
            </w:r>
            <w:r>
              <w:rPr>
                <w:rFonts w:ascii="Arial" w:cs="Arial" w:eastAsia="Arial" w:hAnsi="Arial"/>
                <w:sz w:val="23"/>
                <w:szCs w:val="23"/>
                <w:color w:val="auto"/>
                <w:vertAlign w:val="superscript"/>
              </w:rPr>
              <w: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481.8</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66.4</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536.4</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29"/>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Zyprexa</w:t>
            </w:r>
            <w:r>
              <w:rPr>
                <w:rFonts w:ascii="Arial" w:cs="Arial" w:eastAsia="Arial" w:hAnsi="Arial"/>
                <w:sz w:val="23"/>
                <w:szCs w:val="23"/>
                <w:color w:val="auto"/>
                <w:vertAlign w:val="superscript"/>
              </w:rPr>
              <w:t>®</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39.6</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390.7</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430.3</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406.5</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6</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Tyvyt</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418.1</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35</w:t>
            </w:r>
          </w:p>
        </w:tc>
      </w:tr>
      <w:tr>
        <w:trPr>
          <w:trHeight w:val="230"/>
        </w:trPr>
        <w:tc>
          <w:tcPr>
            <w:tcW w:w="4000" w:type="dxa"/>
            <w:vAlign w:val="bottom"/>
            <w:shd w:val="clear" w:color="auto" w:fill="D8D8D8"/>
          </w:tcPr>
          <w:p>
            <w:pPr>
              <w:ind w:left="20"/>
              <w:spacing w:after="0" w:line="230" w:lineRule="exact"/>
              <w:rPr>
                <w:sz w:val="20"/>
                <w:szCs w:val="20"/>
                <w:color w:val="auto"/>
              </w:rPr>
            </w:pPr>
            <w:r>
              <w:rPr>
                <w:rFonts w:ascii="Arial" w:cs="Arial" w:eastAsia="Arial" w:hAnsi="Arial"/>
                <w:sz w:val="18"/>
                <w:szCs w:val="18"/>
                <w:color w:val="auto"/>
              </w:rPr>
              <w:t>Trajenta</w:t>
            </w:r>
            <w:r>
              <w:rPr>
                <w:rFonts w:ascii="Arial" w:cs="Arial" w:eastAsia="Arial" w:hAnsi="Arial"/>
                <w:sz w:val="23"/>
                <w:szCs w:val="23"/>
                <w:color w:val="auto"/>
                <w:vertAlign w:val="superscript"/>
              </w:rPr>
              <w:t>®(5)</w:t>
            </w:r>
          </w:p>
        </w:tc>
        <w:tc>
          <w:tcPr>
            <w:tcW w:w="32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82.1</w:t>
            </w:r>
          </w:p>
        </w:tc>
        <w:tc>
          <w:tcPr>
            <w:tcW w:w="26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290.4</w:t>
            </w:r>
          </w:p>
        </w:tc>
        <w:tc>
          <w:tcPr>
            <w:tcW w:w="560" w:type="dxa"/>
            <w:vAlign w:val="bottom"/>
            <w:shd w:val="clear" w:color="auto" w:fill="D8D8D8"/>
          </w:tcPr>
          <w:p>
            <w:pPr>
              <w:spacing w:after="0"/>
              <w:rPr>
                <w:sz w:val="19"/>
                <w:szCs w:val="19"/>
                <w:color w:val="auto"/>
              </w:rPr>
            </w:pPr>
          </w:p>
        </w:tc>
        <w:tc>
          <w:tcPr>
            <w:tcW w:w="9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372.5</w:t>
            </w:r>
          </w:p>
        </w:tc>
        <w:tc>
          <w:tcPr>
            <w:tcW w:w="1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358.5</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4</w:t>
            </w:r>
          </w:p>
        </w:tc>
      </w:tr>
      <w:tr>
        <w:trPr>
          <w:trHeight w:val="229"/>
        </w:trPr>
        <w:tc>
          <w:tcPr>
            <w:tcW w:w="40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547.1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780.8</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1,327.9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1,340.1</w:t>
            </w:r>
          </w:p>
        </w:tc>
        <w:tc>
          <w:tcPr>
            <w:tcW w:w="1480" w:type="dxa"/>
            <w:vAlign w:val="bottom"/>
            <w:tcBorders>
              <w:bottom w:val="single" w:sz="8" w:color="D8D8D8"/>
            </w:tcBorders>
          </w:tcPr>
          <w:p>
            <w:pPr>
              <w:jc w:val="center"/>
              <w:ind w:left="11"/>
              <w:spacing w:after="0"/>
              <w:rPr>
                <w:sz w:val="20"/>
                <w:szCs w:val="20"/>
                <w:color w:val="auto"/>
              </w:rPr>
            </w:pPr>
            <w:r>
              <w:rPr>
                <w:rFonts w:ascii="Arial" w:cs="Arial" w:eastAsia="Arial" w:hAnsi="Arial"/>
                <w:sz w:val="18"/>
                <w:szCs w:val="18"/>
                <w:color w:val="auto"/>
                <w:w w:val="99"/>
              </w:rPr>
              <w:t>(1)</w:t>
            </w:r>
          </w:p>
        </w:tc>
      </w:tr>
      <w:tr>
        <w:trPr>
          <w:trHeight w:val="230"/>
        </w:trPr>
        <w:tc>
          <w:tcPr>
            <w:tcW w:w="4000" w:type="dxa"/>
            <w:vAlign w:val="bottom"/>
            <w:tcBorders>
              <w:bottom w:val="single" w:sz="8" w:color="D8D8D8"/>
            </w:tcBorders>
            <w:shd w:val="clear" w:color="auto" w:fill="D8D8D8"/>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16,811.0</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11,507.4</w:t>
            </w:r>
          </w:p>
        </w:tc>
        <w:tc>
          <w:tcPr>
            <w:tcW w:w="56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28,318.4</w:t>
            </w:r>
          </w:p>
        </w:tc>
        <w:tc>
          <w:tcPr>
            <w:tcW w:w="100" w:type="dxa"/>
            <w:vAlign w:val="bottom"/>
            <w:tcBorders>
              <w:bottom w:val="single" w:sz="8" w:color="auto"/>
            </w:tcBorders>
            <w:shd w:val="clear" w:color="auto" w:fill="D8D8D8"/>
          </w:tcPr>
          <w:p>
            <w:pPr>
              <w:spacing w:after="0"/>
              <w:rPr>
                <w:sz w:val="20"/>
                <w:szCs w:val="20"/>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24,539.8</w:t>
            </w:r>
          </w:p>
        </w:tc>
        <w:tc>
          <w:tcPr>
            <w:tcW w:w="1480" w:type="dxa"/>
            <w:vAlign w:val="bottom"/>
            <w:tcBorders>
              <w:bottom w:val="single" w:sz="8" w:color="D8D8D8"/>
            </w:tcBorders>
            <w:shd w:val="clear" w:color="auto" w:fill="D8D8D8"/>
          </w:tcPr>
          <w:p>
            <w:pPr>
              <w:jc w:val="center"/>
              <w:ind w:left="31"/>
              <w:spacing w:after="0"/>
              <w:rPr>
                <w:sz w:val="20"/>
                <w:szCs w:val="20"/>
                <w:color w:val="auto"/>
              </w:rPr>
            </w:pPr>
            <w:r>
              <w:rPr>
                <w:rFonts w:ascii="Arial" w:cs="Arial" w:eastAsia="Arial" w:hAnsi="Arial"/>
                <w:sz w:val="18"/>
                <w:szCs w:val="18"/>
                <w:color w:val="auto"/>
                <w:w w:val="99"/>
              </w:rPr>
              <w:t>15</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30" w:lineRule="auto"/>
        <w:rPr>
          <w:sz w:val="20"/>
          <w:szCs w:val="20"/>
          <w:color w:val="auto"/>
        </w:rPr>
      </w:pPr>
      <w:r>
        <w:rPr>
          <w:rFonts w:ascii="Arial" w:cs="Arial" w:eastAsia="Arial" w:hAnsi="Arial"/>
          <w:sz w:val="14"/>
          <w:szCs w:val="14"/>
          <w:color w:val="auto"/>
        </w:rPr>
        <w:t>NM - Not meaningful</w:t>
      </w:r>
    </w:p>
    <w:p>
      <w:pPr>
        <w:ind w:left="140" w:hanging="132"/>
        <w:spacing w:after="0" w:line="222" w:lineRule="auto"/>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Humalog revenue includes insulin lispro.</w:t>
      </w:r>
    </w:p>
    <w:p>
      <w:pPr>
        <w:ind w:left="180" w:hanging="172"/>
        <w:spacing w:after="0" w:line="211" w:lineRule="auto"/>
        <w:tabs>
          <w:tab w:leader="none" w:pos="158"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COVID-19 antibodies include sales for bamlanivimab administered alone as well as sales for bamlanivimab and etesevimab administered together and were made pursuant to EUAs or similar regulatory authorizations.</w:t>
      </w:r>
    </w:p>
    <w:p>
      <w:pPr>
        <w:ind w:left="160" w:hanging="152"/>
        <w:spacing w:after="0" w:line="18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Jardiance revenue includes Glyxambi</w:t>
      </w:r>
      <w:r>
        <w:rPr>
          <w:rFonts w:ascii="Arial" w:cs="Arial" w:eastAsia="Arial" w:hAnsi="Arial"/>
          <w:sz w:val="17"/>
          <w:szCs w:val="17"/>
          <w:color w:val="auto"/>
          <w:vertAlign w:val="superscript"/>
        </w:rPr>
        <w:t>®</w:t>
      </w:r>
      <w:r>
        <w:rPr>
          <w:rFonts w:ascii="Arial" w:cs="Arial" w:eastAsia="Arial" w:hAnsi="Arial"/>
          <w:sz w:val="14"/>
          <w:szCs w:val="14"/>
          <w:color w:val="auto"/>
        </w:rPr>
        <w:t>, Synjardy</w:t>
      </w:r>
      <w:r>
        <w:rPr>
          <w:rFonts w:ascii="Arial" w:cs="Arial" w:eastAsia="Arial" w:hAnsi="Arial"/>
          <w:sz w:val="17"/>
          <w:szCs w:val="17"/>
          <w:color w:val="auto"/>
          <w:vertAlign w:val="superscript"/>
        </w:rPr>
        <w:t>®</w:t>
      </w:r>
      <w:r>
        <w:rPr>
          <w:rFonts w:ascii="Arial" w:cs="Arial" w:eastAsia="Arial" w:hAnsi="Arial"/>
          <w:sz w:val="14"/>
          <w:szCs w:val="14"/>
          <w:color w:val="auto"/>
        </w:rPr>
        <w:t>, and Trijardy</w:t>
      </w:r>
      <w:r>
        <w:rPr>
          <w:rFonts w:ascii="Arial" w:cs="Arial" w:eastAsia="Arial" w:hAnsi="Arial"/>
          <w:sz w:val="17"/>
          <w:szCs w:val="17"/>
          <w:color w:val="auto"/>
          <w:vertAlign w:val="superscript"/>
        </w:rPr>
        <w:t>®</w:t>
      </w:r>
      <w:r>
        <w:rPr>
          <w:rFonts w:ascii="Arial" w:cs="Arial" w:eastAsia="Arial" w:hAnsi="Arial"/>
          <w:sz w:val="14"/>
          <w:szCs w:val="14"/>
          <w:color w:val="auto"/>
        </w:rPr>
        <w:t xml:space="preserve"> XR.</w:t>
      </w:r>
    </w:p>
    <w:p>
      <w:pPr>
        <w:ind w:left="140" w:hanging="132"/>
        <w:spacing w:after="0" w:line="211" w:lineRule="auto"/>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Olumiant revenue includes sales for baricitinib, for treatment in hospitalized COVID-19 patients, that were made pursuant to EUA or similar regulatory authorizations.</w:t>
      </w: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2"/>
          <w:szCs w:val="12"/>
          <w:color w:val="auto"/>
        </w:rPr>
        <w:t>.</w:t>
      </w:r>
    </w:p>
    <w:p>
      <w:pPr>
        <w:spacing w:after="0" w:line="3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of Trulicity, a treatment for type 2 diabetes and to reduce the risk of major adverse cardiovascular events in adult patients with type 2 diabetes and established cardiovascular disease or multiple cardiovascular risk factors, increased 28 percent in the U.S., driven by increased demand. Revenue outside the U.S. increased 26 percent, driven by increased volume and, to a lesser extent, the favorable impact of foreign exchange rates, partially offset by lower realized prices.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of Humalog, an injectable human insulin analog for the treatment of diabetes, decreased 11 percent in the U.S., primarily driven by lower realized prices. Humalog's lower realized prices in the U.S. in 2021 were driven by higher contracted rebates and discounts and increased utilization in more highly-rebated government segments, partially offset by lower utilization in the 340B segment. Revenue outside the U.S. decreased 1 percent, driven by decreased volume and, to a lesser extent, lower realized prices, largely offset by the favorable impact of foreign exchange rates. Included in the revenue of Humalog in the U.S. are our own insulin lispro authorized generics. While it is difficult to estimate the severity of the impact of similar insulin lispro products entering the market, we do not expect and have not experienced a rapid and severe decline in revenue. However, due to the impact of competition and due to pricing pressure in the U.S. and some international markets, we expect some price decline and loss of market share to continue over time.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4" w:name="page45"/>
    <w:bookmarkEnd w:id="44"/>
    <w:p>
      <w:pPr>
        <w:ind w:right="20"/>
        <w:spacing w:after="0" w:line="252" w:lineRule="auto"/>
        <w:rPr>
          <w:sz w:val="20"/>
          <w:szCs w:val="20"/>
          <w:color w:val="auto"/>
        </w:rPr>
      </w:pPr>
      <w:r>
        <w:rPr>
          <w:rFonts w:ascii="Arial" w:cs="Arial" w:eastAsia="Arial" w:hAnsi="Arial"/>
          <w:sz w:val="18"/>
          <w:szCs w:val="18"/>
          <w:color w:val="auto"/>
        </w:rPr>
        <w:t>Revenue of COVID-19 antibodies, treatments for mild to moderate COVID-19 for higher-risk patients and for post-exposure prophylaxis in certain individuals for the prevention of SARS-CoV-2 infection, was $1.98 billion in the U.S. during the year ended December 31, 2021. Revenue outside the U.S. was $261.4 million during the year ended December 31, 2021. The availability of superior or competitive therapies, including therapies that can be administered more easily, or preventative measures, such as vaccines, coupled with the unpredictable nature of pandemics, have and could further negatively impact or eliminate demand for these COVID-19 antibodies. The FDA has revised, and may in the future revise, any EUA for our COVID-19 antibodies in response to the prevalence of variants against which our antibodies have varying degrees of efficacy. We expect that additional revenue from the sale of bamlanivimab and etesevimab after the first quarter of 2022 will be limited.</w:t>
      </w:r>
    </w:p>
    <w:p>
      <w:pPr>
        <w:spacing w:after="0" w:line="97"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Revenue of Taltz, a treatment for moderate-to-severe plaque psoriasis, active psoriatic arthritis, ankylosing spondylitis, and active non-radiographic axial spondyloarthritis, increased 20 percent in the U.S., driven by increased demand, partially offset by lower realized prices due to increased rebates to gain commercial access. Revenue outside the U.S. increased 34 percent, primarily driven by increased volume.</w:t>
      </w:r>
    </w:p>
    <w:p>
      <w:pPr>
        <w:spacing w:after="0" w:line="7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of Alimta, a treatment for various cancers, decreased 2 percent in the U.S., driven by decreased volume, partially offset by higher realized prices. Revenue outside the U.S. decreased 22 percent, primarily driven by decreased volume due to the entry of generic competition in certain markets and, to a lesser extent, lower realized prices, partially offset by the favorable impact of foreign exchange rates. Following the loss of exclusivity in major European countries and Japan in June 2021, we faced, and remain exposed to, generic competition which has eroded revenue and is likely to continue to rapidly and severely erode revenue from current levels. In the U.S., we expect the limited entry of generic competition starting February 2022 and subsequent unlimited entry starting April 2022. We expect that the entry of generic competition following the loss of exclusivity in the U.S. will cause a rapid and severe decline in revenue. See "Executive Overview - Other Matters- Patent Matters" for additional information.</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of Jardiance, a treatment for type 2 diabetes, to reduce the risk of cardiovascular death in adult patients with type 2 diabetes and established cardiovascular disease, and to reduce the risk of cardiovascular death and hospitalization for heart failure in adults with heart failure and reduced ejection fraction, increased 30 percent in the U.S., primarily driven by increased demand. Revenue outside the U.S. increased 28 percent, primarily driven by increased volume. See Note 4 to the consolidated financial statements for information regarding our collaboration with Boehringer Ingelheim involving Jardiance.</w:t>
      </w:r>
    </w:p>
    <w:p>
      <w:pPr>
        <w:spacing w:after="0" w:line="9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Revenue of Verzenio, a treatment for HR+, HER2- metastatic breast cancer and high risk early breast cancer, increased 35 percent in the U.S., driven by increased demand. Revenue outside the U.S. increased 75 percent, driven by increased volume.</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Revenue of Humulin, an injectable human insulin for the treatment of diabetes, decreased 4 percent in the U.S., driven by decreased demand and, to a lesser extent, lower realized prices. Revenue outside the U.S. decreased 1 percent, driven by decreased volume, largely offset by higher realized prices and the favorable impact of foreign exchange rates.</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Revenue of Olumiant, a treatment for adults with moderately-to-severely active rheumatoid arthritis, moderate to severe atopic dermatitis, and of baricitinib, a treatment, with or without remdesivir, of hospitalized patients with COVID-19, increased $260.3 million in the U.S., driven by increased volume and, to a lesser extent, higher realized prices. Revenue outside the U.S. increased 38 percent, driven by increased volume and, to a lesser extent, the favorable impact of foreign exchange rates, partially offset by lower realized prices. Increased volume worldwide was partially driven by utilization of Olumiant for the treatment of hospitalized patients with COVID-19.</w:t>
      </w:r>
    </w:p>
    <w:p>
      <w:pPr>
        <w:spacing w:after="0" w:line="9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Revenue of Cyramza, a treatment for various cancers, decreased 6 percent in the U.S., driven by decreased demand, partially offset by higher realized prices. Revenue outside the U.S. increased 4 percent, driven by increased volume, partially offset by lower realized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Gross margin as a percent of revenue was 74.2 percent in 2021, a decrease of 3.5 percentage points compared with 2020, driven by higher sales of COVID-19 antibodies.</w:t>
      </w:r>
    </w:p>
    <w:p>
      <w:pPr>
        <w:spacing w:after="0" w:line="9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Research and development expenses increased 15 percent to $7.03 billion in 2021, primarily driven by higher development expenses for late-stage assets.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Marketing, selling, and administrative expenses increased 5 percent to $6.43 billion in 2021, primarily due to increased marketing costs to continue to drive growth for certain products, investment in preparation for new launches, and lower marketing activities in 2020 as a result of pandemic-related spending reductions.</w:t>
      </w:r>
    </w:p>
    <w:p>
      <w:pPr>
        <w:spacing w:after="0" w:line="94"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We recognized acquired IPR&amp;D charges of $ 874.9 million and $660.4 million in 2021 and 2020, respectively, related to business development transactions. See Note 3 to the consolidated financial statements for additional information.</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recognized asset impairment, restructuring, and other special charges of $316.1 million in 2021. The charges were primarily related to an impairment of a contract-based intangible asset from our acquisition of Loxo, an intangible asset impairment resulting from the sale of the rights to Qbrexza, as well as acquisition and integration costs associated with the acquisition of Prevail. In 2020, we recognized $131.2 million of asset impairment, restructuring, and other special charges primarily related to severance costs incurred as a result of actions taken worldwide to reduce our cost structure.</w:t>
      </w:r>
    </w:p>
    <w:p>
      <w:pPr>
        <w:spacing w:after="0" w:line="9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Other—net, (income) expense was expense of $201.6 million in 2021 compared to income of $1.17 billion in 2020, primarily driven by lower net investment gains on equity securities and a debt extinguishment loss of $405.2 million related to the repurchase of debt.</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effective tax rate was 9.3 percent in 2021, compared with an effective tax rate of 14.3 percent in 2020, primarily driven by the tax impacts of acquired IPR&amp;D charges, lower net investment gains on equity securities, as well as a net discrete tax benefit.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Results—2020</w:t>
      </w:r>
    </w:p>
    <w:p>
      <w:pPr>
        <w:spacing w:after="0" w:line="247" w:lineRule="exact"/>
        <w:rPr>
          <w:sz w:val="20"/>
          <w:szCs w:val="20"/>
          <w:color w:val="auto"/>
        </w:rPr>
      </w:pPr>
    </w:p>
    <w:p>
      <w:pPr>
        <w:ind w:right="1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a discussion of our results of operations pertaining to 2020 and 2019 see Item 7, "Management's Discussion and Analysis of Results of Operations and Financial Condition" in our Annual Report on </w:t>
      </w:r>
      <w:hyperlink r:id="rId57">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3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believe our available cash and cash equivalents, together with our ability to generate operating cash flow and our access to short-term and long-term borrowings, are sufficient to fund our existing and planned capital requirements, which include:</w:t>
      </w:r>
    </w:p>
    <w:p>
      <w:pPr>
        <w:spacing w:after="0" w:line="9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working capital requirements, including related to employee payroll, clinical trials, manufacturing materials,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repurchases and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repayment of outstanding short-term and long-term borrowings;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contributions to our defined benefit pension and retiree health benefit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milestone and royalty payments;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acquisitions, collaborations, investments, and licensing arrangements.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management continuously evaluates our liquidity and capital resources, including our access to external capital, to ensure we can adequately and efficiently finance our capital requirements. As of December 31, 2021, our material cash requirements primarily related to purchases of goods and services to produce our products and conduct our operations, capital equipment expenditures, dividends, repayment of outstanding borrowings, milestone and royalty payments, the remaining obligations for the one-time repatriation transition tax (also known as the 'Toll Tax') from the 2017 Tax Act, leases, unfunded commitments to invest in venture capital funds, and retirement benefits (see Notes 11, 4, 14, 10, 7, and 15 to the consolidated financial statements). We anticipate our cash requirements related to ordinary course purchases of goods and services and capital equipment expenditures will be consistent with our past levels relative to revenues.</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Beginning in 2022, the 2017 Tax Act contains a provision that requires us to capitalize and amortize research and development expenses for tax purposes, whereas previously we could fully deduct these expenses in the year incurred. While this provision of the 2017 Tax Act is expected to have an immaterial impact on our consolidated results of operations, if it is not deferred or repealed by Congress, we expect that the implementation of this provision will increase our cash payments of income taxes by up to $1.50 billion in 2022 and subsequently decrease our cash payments of income taxes moderately over the five-year amortization period. See "Results of Operations - Executive Overview - Other Matters -Tax Matters" for additional information.</w:t>
      </w:r>
    </w:p>
    <w:p>
      <w:pPr>
        <w:spacing w:after="0" w:line="10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plan to invest more than $1 billion over several years in a new facility in Concord, North Carolina to manufacture parenteral (injectable) products and devices. We plan to invest more than 400 million euros over several years in a new facility in Limerick, Ireland to expand our manufacturing network for biologic active ingredients.</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Cash and cash equivalents increased to $ 3.82 billion as of December 31, 2021, compared with $3.66 billion at December 31, 2020. Net cash provided by operating activities was $ 7.26 billion in 2021, compared with $6.50 billion in 2020. Refer to the consolidated statements of cash flows for additional information on the significant sources and uses of cash for the years ended December 31, 2021 and 2020.</w:t>
      </w:r>
    </w:p>
    <w:p>
      <w:pPr>
        <w:spacing w:after="0" w:line="9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to our cash and cash equivalents, we held total investments of $3.30 billion and $2.99 billion as of December 31, 2021 and 2020, respectively. See Note 7 to the consolidated financial statements for additional information.</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CVR per share. The CVR entitles Prevail stockholders up to an additional $ 4.00 per share in cash (or an aggregate of approximately $160 million) payable, subject to certain terms and conditions. This acquisition was funded primarily through cash on hand. See Note 3 to the consolidated financial statements for additional information.</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7" w:name="page48"/>
    <w:bookmarkEnd w:id="47"/>
    <w:p>
      <w:pPr>
        <w:spacing w:after="0" w:line="251" w:lineRule="auto"/>
        <w:rPr>
          <w:sz w:val="20"/>
          <w:szCs w:val="20"/>
          <w:color w:val="auto"/>
        </w:rPr>
      </w:pPr>
      <w:r>
        <w:rPr>
          <w:rFonts w:ascii="Arial" w:cs="Arial" w:eastAsia="Arial" w:hAnsi="Arial"/>
          <w:sz w:val="18"/>
          <w:szCs w:val="18"/>
          <w:color w:val="auto"/>
        </w:rPr>
        <w:t>As of December 31, 2021, total debt was $16.88 billion, an increase of $289.4 million compared with $16.60 billion at December 31, 2020. In September 2021, we issued euro-denominated notes consisting of €500.0 million of 1.125 percent fixed-rate notes due in September 2051 and € 700.0 million of 1.375 percent fixed-rate notes due in September 2061, with interest to be paid annually, and British pound-denominated notes consisting of £250.0 million of 1.625 percent fixed-rate notes due in September 2043, with interest to be paid annually. We paid $1.91 billion of the net cash proceeds from the offering to purchase and redeem certain higher interest rate U.S. dollar-denominated notes with an aggregate principal amount of $1.50 billion. We used the remaining net proceeds from the offering to prefund certain 2022 debt maturities and for general corporate purposes. In addition, in September 2021, we issued euro-denominated notes consisting of €600.0 million of 0.50 percent fixed-rate notes due in September 2033, with interest to be paid annually. The net proceeds from the offering will be used to fund, in whole or in part, eligible projects designed to advance one or more of our environmental, social, and governance objectives. See Note 11 to the consolidated financial statements for additional information.</w:t>
      </w:r>
    </w:p>
    <w:p>
      <w:pPr>
        <w:spacing w:after="0" w:line="103"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As of December 31, 2021, we had a total of $5.26 billion of unused committed bank credit facilities, $5.00 billion of which is available to support our commercial paper program. See Note 11 to the consolidated financial statements for additional information. We believe that amounts accessible through existing commercial paper markets should be adequate to fund any short-term borrowing needs.</w:t>
      </w:r>
    </w:p>
    <w:p>
      <w:pPr>
        <w:spacing w:after="0" w:line="83"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For the 136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we distributed dividends to our shareholders. Dividends of $3.40 per share and $ 2.96 per share were paid in 2021 and 2020, respectively. In the fourth quarter of 2021, effective for the dividend to be paid in the first quarter of 2022, the quarterly dividend was increased to $0.98 per share, resulting in an indicated annual rate for 2022 of $3.92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of $1.31 billion during 2021, compared to $1.39 billion in 2020.</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2021, we repurchased $1.00 billion of shares, which completed our $8.00 billion share repurchase program authorized in June 2018. Additionally, our board authorized a $5.00 billion share repurchase program in May 2021. In 2021, we repurchased $250.0 million of shares under the $ 5.00 billion share repurchase program. As of December 31, 2021, we had $4.75 billion remaining under the $5.00 billion share repurchase program. See Note 13 to the consolidated financial statements for additional information.</w:t>
      </w:r>
    </w:p>
    <w:p>
      <w:pPr>
        <w:spacing w:after="0" w:line="9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See "Results of Operations - Executive Overview - Other Matters - Patent Matters" for information regarding recent and upcoming losses of patent protection.</w:t>
      </w:r>
    </w:p>
    <w:p>
      <w:pPr>
        <w:spacing w:after="0" w:line="90"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and various international government funding levels.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normal course of business, our operations are exposed to fluctuations in interest rates, currency values, and fair values of equity securities. These fluctuations can vary the costs of financing, investing, and operating. We seek to address a portion of these risks through a controlled program of risk management that includes the use of derivative financial instruments. The objective of this risk management program is to limit the impact on earnings of fluctuations in interest and currency exchange rates. All derivative activities are for purposes other than trading.</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As of December 31, 2021, substantially all of our total long-term debt carries interest at a fixed rate. We have converted approximately 13 percent of our long-term fixed-rate notes to floating rates through the use of interest rate swaps. Based on our overall interest rate exposure at December 31, 2021 and 2020, including derivatives and other interest rate risk-sensitive instruments, a hypothetical 10 percent change in interest rates applied to the fair value of the instruments as of December 31, 2021 and 2020, respectively, would not have a material impact on earnings, cash flows, or fair values of interest rate risk-sensitive instruments over a one-year period.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8" w:name="page49"/>
    <w:bookmarkEnd w:id="48"/>
    <w:p>
      <w:pPr>
        <w:ind w:right="20"/>
        <w:spacing w:after="0" w:line="251"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and Chinese yuan.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(primarily the euro, the Japanese yen, and Chinese yuan).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2021 and 2020,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1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fair value risk exposure relates primarily to our public equity investments and to equity investments that do not have readily determinable fair values. As of December 31, 2021 and 2020, our carrying values of these investments were $1.83 billion and $2.04 billion, respectively. A hypothetical 20 percent change in fair value of the equity instruments would have impacted other-net, (income) expense by $365.6 million and $407.6 million as of December 31, 2021 and 2020, respectively.</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product in the event that regulatory approval for marketing is obtained.</w:t>
      </w:r>
    </w:p>
    <w:p>
      <w:pPr>
        <w:spacing w:after="0" w:line="9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Individually, these arrangements are generally not material in any one annual reporting period. However, if milestones for multiple products covered by these arrangements were reached in the same reporting period, the aggregate expense or aggregate milestone payments made could be material to our results of operations or cash flows, respectively, in that period. See Note 4 to the consolidated financial statements for additional information. These arrangements often give us the discretion to unilaterally terminate development of the product, which would allow us to avoid making the contingent payments; however, we are unlikely to cease development if the compound successfully achieves milestone objectives. We also note that, from a business perspective, we view these payments as positive because they signify that the product is successfully moving through development and is now generating or is more likely to generate cash flows from sales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APPLICATION OF CRITICAL ACCOUNTING ESTIMATES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Our most critical accounting estimates have been discussed with our audit committee and are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Sales Return, Rebate, and Discount Accruals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or discounts that ultimately will be due to the direct customer and other customers in the distribution chain under the terms of our contracts. Significant judgments are required in making these estimates. The largest of our sales rebate and discount amounts are rebates associated with sales covered by managed care, Medicare, Medicaid, chargeback, and patient assistance programs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w:t>
      </w:r>
    </w:p>
    <w:p>
      <w:pPr>
        <w:spacing w:after="0" w:line="10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Refer to Note 2 to the consolidated financial statements for further information on revenue recognition and sales return, rebate, and discount accruals.</w:t>
      </w:r>
    </w:p>
    <w:p>
      <w:pPr>
        <w:spacing w:after="0" w:line="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Revenue recognized from collaborations and other arrangements will include our share of profits from the collaboration, as well as royalties, upfront and milestone payments we receive under these types of contracts.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rebate and discount liabilities are included in sales rebates and discounts on our consolidated balance sheet. Our sales return liability is included in other current liabilities and other noncurrent liabilities on our consolidated balance sheet. As of December 31, 2021, a 5 percent change in our consolidated sales return, rebate, and discount liability would have led to an approximate $366 million effect on our income before income taxes.</w:t>
      </w:r>
    </w:p>
    <w:p>
      <w:pPr>
        <w:spacing w:after="0" w:line="9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portion of our consolidated sales return, rebate, and discount liability resulting from sales of our products in the U.S. was approximately 90 percent as of December 31, 2021 and 2020.</w:t>
      </w:r>
    </w:p>
    <w:p>
      <w:pPr>
        <w:spacing w:after="0" w:line="9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represents a roll-forward of our most significant U.S. sales return, rebate, and discount liability balances, including managed care, Medicare, Medicaid, chargeback, and patient assistance programs: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23"/>
        </w:trPr>
        <w:tc>
          <w:tcPr>
            <w:tcW w:w="8540" w:type="dxa"/>
            <w:vAlign w:val="bottom"/>
            <w:shd w:val="clear" w:color="auto" w:fill="D8D8D8"/>
          </w:tcPr>
          <w:p>
            <w:pPr>
              <w:ind w:left="20"/>
              <w:spacing w:after="0"/>
              <w:rPr>
                <w:sz w:val="20"/>
                <w:szCs w:val="20"/>
                <w:color w:val="auto"/>
              </w:rPr>
            </w:pPr>
            <w:r>
              <w:rPr>
                <w:rFonts w:ascii="Arial" w:cs="Arial" w:eastAsia="Arial" w:hAnsi="Arial"/>
                <w:sz w:val="18"/>
                <w:szCs w:val="18"/>
                <w:color w:val="auto"/>
              </w:rPr>
              <w:t>Sales return, rebate, and discount liabilities, beginning of year</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5,400.0</w:t>
            </w:r>
          </w:p>
        </w:tc>
        <w:tc>
          <w:tcPr>
            <w:tcW w:w="3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4,635.5</w:t>
            </w:r>
          </w:p>
        </w:tc>
      </w:tr>
      <w:tr>
        <w:trPr>
          <w:trHeight w:val="230"/>
        </w:trPr>
        <w:tc>
          <w:tcPr>
            <w:tcW w:w="8540" w:type="dxa"/>
            <w:vAlign w:val="bottom"/>
          </w:tcPr>
          <w:p>
            <w:pPr>
              <w:ind w:left="220"/>
              <w:spacing w:after="0" w:line="230" w:lineRule="exact"/>
              <w:rPr>
                <w:sz w:val="20"/>
                <w:szCs w:val="20"/>
                <w:color w:val="auto"/>
              </w:rPr>
            </w:pPr>
            <w:r>
              <w:rPr>
                <w:rFonts w:ascii="Arial" w:cs="Arial" w:eastAsia="Arial" w:hAnsi="Arial"/>
                <w:sz w:val="18"/>
                <w:szCs w:val="18"/>
                <w:color w:val="auto"/>
              </w:rPr>
              <w:t>Reduction of net sales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20,106.3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18,668.4</w:t>
            </w:r>
          </w:p>
        </w:tc>
      </w:tr>
      <w:tr>
        <w:trPr>
          <w:trHeight w:val="229"/>
        </w:trPr>
        <w:tc>
          <w:tcPr>
            <w:tcW w:w="8540" w:type="dxa"/>
            <w:vAlign w:val="bottom"/>
            <w:shd w:val="clear" w:color="auto" w:fill="D8D8D8"/>
          </w:tcPr>
          <w:p>
            <w:pPr>
              <w:ind w:left="220"/>
              <w:spacing w:after="0"/>
              <w:rPr>
                <w:sz w:val="20"/>
                <w:szCs w:val="20"/>
                <w:color w:val="auto"/>
              </w:rPr>
            </w:pPr>
            <w:r>
              <w:rPr>
                <w:rFonts w:ascii="Arial" w:cs="Arial" w:eastAsia="Arial" w:hAnsi="Arial"/>
                <w:sz w:val="18"/>
                <w:szCs w:val="18"/>
                <w:color w:val="auto"/>
              </w:rPr>
              <w:t>Cash payments</w:t>
            </w:r>
          </w:p>
        </w:tc>
        <w:tc>
          <w:tcPr>
            <w:tcW w:w="2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(19,344.7)</w:t>
            </w:r>
          </w:p>
        </w:tc>
        <w:tc>
          <w:tcPr>
            <w:tcW w:w="32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(17,903.9)</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Sales return, rebate, and discount liabilities,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6,161.6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r>
    </w:tbl>
    <w:p>
      <w:pPr>
        <w:spacing w:after="0" w:line="86"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9"/>
          <w:szCs w:val="9"/>
          <w:color w:val="auto"/>
        </w:rPr>
      </w:pPr>
      <w:r>
        <w:rPr>
          <w:rFonts w:ascii="Arial" w:cs="Arial" w:eastAsia="Arial" w:hAnsi="Arial"/>
          <w:sz w:val="14"/>
          <w:szCs w:val="14"/>
          <w:color w:val="auto"/>
        </w:rPr>
        <w:t>Adjustments of the estimates for these returns, rebates, and discounts to actual results were less than 1 percent of consolidated revenue for each of the years presented.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Litigation Liabilities and 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Litigation liabilities and other contingencies are, by their nature, uncertain and based upon complex judgments and probabilities. The factors we consider in developing our litigation liability reserves and other contingent liability amounts include the merits and jurisdiction of the litigation, the nature and the number of other similar current and past matters, the nature of the product and the current assessment of the science subject to the litigation, as applicable, and the likelihood of settlement and current state of settlement discussions, if any. In addition, we accrue for certain liability claims incurred, but not filed, to the extent we can formulate a reasonable estimate of their costs based primarily on historical claims experience and data regarding product usage. We accrue legal defense costs expected to be incurred in connection with significant liability contingencies when both probable and reasonably estimable.</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litigation liability insurance, we are self-insured for litigation liability losses for all our currently marketed products. In addition to insurance coverage, we consider any third-party indemnification to which we are entitled or under which we are obligated. With respect to our third-party indemnification rights, these considerations include the nature of the indemnification, the financial condition of the indemnifying party, and the possibility of and length of time for collection.</w:t>
      </w:r>
    </w:p>
    <w:p>
      <w:pPr>
        <w:spacing w:after="0" w:line="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9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expense at the acquisition date, and goodwill is not recorded. See Note 3 to the consolidated financial statements for additional information.</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estimates and assumptions that are deemed reasonable by management. Significant estimates and assumptions include, but are not limited to, probability of technical success, revenue growth and discount rate. Depending on the facts and circumstances, we may deem it necessary to engage an independent valuation expert to assist in valuing significant assets and liabilities.</w:t>
      </w:r>
    </w:p>
    <w:p>
      <w:pPr>
        <w:spacing w:after="0" w:line="100"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primarily determined using a discounted cash flow analysis, as described in Note 7 to the consolidated financial statements. Estimating the fair value of contingent consideration requires the use of significant estimates and judgments, including, but not limited to, probability of technical success and the discount 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As of December 31, 2021, a 5 percent change in the contingent consideration liability would result in a change in income before income taxes of $3.5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Impairment of Indefinite-Lived and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96"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Goodwill and indefinite-lived intangible assets are reviewed for impairment at least annually, or more frequently if impairment indicators are present, by first assessing qualitative factors to determine whether it is more likely than not that the fair value of the intangible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w:t>
      </w:r>
    </w:p>
    <w:p>
      <w:pPr>
        <w:spacing w:after="0" w:line="96"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90"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"Results of Operations - Executive Overview - Late-Stage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96"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15 to the consolidated financial statements for additional information regarding our retirement benefits.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75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9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Annually, we determine the fair value of the plan assets in our defined benefit pension and retiree health benefit plans. Approximately 38 percent of our plan assets are in hedge funds and private equity-like investment funds (collectively, alternative assets). We value these alternative investments using significant unobservable inputs or using the net asset value reported by the counterparty, adjusted as necessary. Inputs include underlying net asset values, discounted cash flows valuations, comparable market valuations, and adjustments for currency, credit, liquidity and other risks.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the 2021 discount rate for the U.S. defined benefit pension and retiree health benefit plans (U.S. plans) were to change by a quarter percentage point, income before income taxes would change by $21.6 million. If the 2021 expected return on plan assets for U.S. plans were to change by a quarter percentage point, income before income taxes would change by $31.5 million. If our assumption regarding the 2021 expected age of future retirees for U.S. plans were adjusted by one year, our income before income taxes would be affected by $51.1 million. The U.S. plans, including Puerto Rico, represent approximately 80 percent of each of the total projected benefit obligation and total plan assets at December 31, 2021.</w:t>
      </w:r>
    </w:p>
    <w:p>
      <w:pPr>
        <w:spacing w:after="0" w:line="10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Adjustments to the fair value of plan assets are not recognized in pension and retiree health benefit expense in the year that the adjustments occur. Such changes are deferred, along with other actuarial gains and losses, and are amortized into expense over the expected remaining service life of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prepare and file tax returns based upon our interpretation of tax laws and regulations, and we record estimates based upon these interpretations. Our tax returns are routinely subject to examination by taxing authorities, which could result in future tax, interest, and penalty assessments. Inherent uncertainties exist in estimates of many tax positions due to changes in tax law resulting from legislation and regulation as concluded through the various jurisdictions' tax court systems. We recognize the tax benefit from an uncertain tax position only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For example, adjustments could result from changes to existing tax law, the issuance of regulations by taxing authorities, new information obtained during a tax examination, or resolution of a tax examination. We believe our estimates for uncertain tax positions are appropriate and sufficient to pay assessments that may result from examinations of our tax returns. We recognize both accrued interest and penalties related to unrecognized tax benefits in income tax expense.</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tax credits, and other tax carryforwards and carrybacks in certain taxing jurisdictions. In evaluating whether we would more likely than not recover these deferred tax assets, we have not assumed future taxable income in the jurisdictions associated with these carryforwards where history does not support such an assumption. Implementation of tax planning strategies to recover these deferred tax assets or to generate future taxable income in these jurisdictions could lead to the reversal of all or a portion of these valuation allowances and a reduction of income tax expense.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December 31, 2021, a 5 percent change in the amount of uncertain tax positions and the valuation allowance would result in a change in net income of $84.9 million and $43.8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MATTERS</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relating to certain legal proceedings can be found in Note 16 to the consolidated financial statements and is incorporated here by reference.</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rPr>
          <w:sz w:val="20"/>
          <w:szCs w:val="20"/>
          <w:color w:val="auto"/>
        </w:rPr>
      </w:pPr>
      <w:r>
        <w:rPr>
          <w:rFonts w:ascii="Arial" w:cs="Arial" w:eastAsia="Arial" w:hAnsi="Arial"/>
          <w:sz w:val="32"/>
          <w:szCs w:val="32"/>
          <w:b w:val="1"/>
          <w:bCs w:val="1"/>
          <w:i w:val="1"/>
          <w:iCs w:val="1"/>
          <w:color w:val="auto"/>
        </w:rPr>
        <w:t>Item 7A.Quantitative and Qualitative Disclosures About Market Risk</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You can find quantitative and qualitative disclosures about market risk (e.g.</w:t>
      </w:r>
      <w:r>
        <w:rPr>
          <w:rFonts w:ascii="Arial" w:cs="Arial" w:eastAsia="Arial" w:hAnsi="Arial"/>
          <w:sz w:val="18"/>
          <w:szCs w:val="18"/>
          <w:i w:val="1"/>
          <w:iCs w:val="1"/>
          <w:color w:val="auto"/>
        </w:rPr>
        <w:t>,</w:t>
      </w:r>
      <w:r>
        <w:rPr>
          <w:rFonts w:ascii="Arial" w:cs="Arial" w:eastAsia="Arial" w:hAnsi="Arial"/>
          <w:sz w:val="18"/>
          <w:szCs w:val="18"/>
          <w:color w:val="auto"/>
        </w:rPr>
        <w:t xml:space="preserve"> interest rate risk) at Item 7, "Management's Discussion and Analysis - Financial Condition and Liquidity."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37" w:right="819" w:bottom="1440" w:gutter="0" w:footer="0" w:header="0"/>
        </w:sectPr>
      </w:pPr>
    </w:p>
    <w:bookmarkStart w:id="54" w:name="page55"/>
    <w:bookmarkEnd w:id="54"/>
    <w:p>
      <w:pPr>
        <w:ind w:right="2820"/>
        <w:spacing w:after="0" w:line="421" w:lineRule="auto"/>
        <w:rPr>
          <w:sz w:val="20"/>
          <w:szCs w:val="20"/>
          <w:color w:val="auto"/>
        </w:rPr>
      </w:pPr>
      <w:r>
        <w:rPr>
          <w:rFonts w:ascii="Arial" w:cs="Arial" w:eastAsia="Arial" w:hAnsi="Arial"/>
          <w:sz w:val="32"/>
          <w:szCs w:val="32"/>
          <w:b w:val="1"/>
          <w:bCs w:val="1"/>
          <w:i w:val="1"/>
          <w:iCs w:val="1"/>
          <w:color w:val="auto"/>
        </w:rPr>
        <w:t xml:space="preserve">Item 8. Financial Statements and Supplementary Data </w:t>
      </w:r>
      <w:r>
        <w:rPr>
          <w:rFonts w:ascii="Arial" w:cs="Arial" w:eastAsia="Arial" w:hAnsi="Arial"/>
          <w:sz w:val="32"/>
          <w:szCs w:val="32"/>
          <w:i w:val="1"/>
          <w:iCs w:val="1"/>
          <w:color w:val="auto"/>
        </w:rPr>
        <w:t>Consolidated Statements of Operations</w:t>
      </w:r>
    </w:p>
    <w:tbl>
      <w:tblPr>
        <w:tblLayout w:type="fixed"/>
        <w:tblInd w:w="20" w:type="dxa"/>
        <w:tblCellMar>
          <w:top w:w="0" w:type="dxa"/>
          <w:left w:w="0" w:type="dxa"/>
          <w:bottom w:w="0" w:type="dxa"/>
          <w:right w:w="0" w:type="dxa"/>
        </w:tblCellMar>
      </w:tblPr>
      <w:tr>
        <w:trPr>
          <w:trHeight w:val="149"/>
        </w:trPr>
        <w:tc>
          <w:tcPr>
            <w:tcW w:w="46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ELI LILLY AND COMPANY AND SUBSIDIARIES</w:t>
            </w:r>
          </w:p>
        </w:tc>
        <w:tc>
          <w:tcPr>
            <w:tcW w:w="2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(Dollars in millions and shares in thousands, except per-</w:t>
            </w:r>
          </w:p>
        </w:tc>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1"/>
                <w:szCs w:val="11"/>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 data)</w:t>
            </w:r>
          </w:p>
        </w:tc>
        <w:tc>
          <w:tcPr>
            <w:tcW w:w="22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Revenue (Note 2)</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28,318.4</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24,539.8</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22,319.5</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Cost of sales</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7,312.8</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5,483.3</w:t>
            </w:r>
          </w:p>
        </w:tc>
        <w:tc>
          <w:tcPr>
            <w:tcW w:w="38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4,721.2</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7,025.9</w:t>
            </w:r>
          </w:p>
        </w:tc>
        <w:tc>
          <w:tcPr>
            <w:tcW w:w="4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6,085.7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5,595.0</w:t>
            </w:r>
          </w:p>
        </w:tc>
        <w:tc>
          <w:tcPr>
            <w:tcW w:w="0" w:type="dxa"/>
            <w:vAlign w:val="bottom"/>
          </w:tcPr>
          <w:p>
            <w:pPr>
              <w:spacing w:after="0"/>
              <w:rPr>
                <w:sz w:val="1"/>
                <w:szCs w:val="1"/>
                <w:color w:val="auto"/>
              </w:rPr>
            </w:pPr>
          </w:p>
        </w:tc>
      </w:tr>
      <w:tr>
        <w:trPr>
          <w:trHeight w:val="229"/>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Marketing, selling, and administrative</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6,431.6</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6,121.2</w:t>
            </w:r>
          </w:p>
        </w:tc>
        <w:tc>
          <w:tcPr>
            <w:tcW w:w="38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6,213.8</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w w:val="99"/>
              </w:rPr>
              <w:t>Acquired in-process research and development (Note 3)</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874.9</w:t>
            </w:r>
          </w:p>
        </w:tc>
        <w:tc>
          <w:tcPr>
            <w:tcW w:w="4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660.4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188"/>
        </w:trPr>
        <w:tc>
          <w:tcPr>
            <w:tcW w:w="6820" w:type="dxa"/>
            <w:vAlign w:val="bottom"/>
            <w:gridSpan w:val="2"/>
            <w:shd w:val="clear" w:color="auto" w:fill="D8D8D8"/>
          </w:tcPr>
          <w:p>
            <w:pPr>
              <w:ind w:left="140"/>
              <w:spacing w:after="0" w:line="189" w:lineRule="exact"/>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shd w:val="clear" w:color="auto" w:fill="D8D8D8"/>
          </w:tcPr>
          <w:p>
            <w:pPr>
              <w:spacing w:after="0"/>
              <w:rPr>
                <w:sz w:val="16"/>
                <w:szCs w:val="16"/>
                <w:color w:val="auto"/>
              </w:rPr>
            </w:pPr>
          </w:p>
        </w:tc>
        <w:tc>
          <w:tcPr>
            <w:tcW w:w="1100" w:type="dxa"/>
            <w:vAlign w:val="bottom"/>
            <w:vMerge w:val="restart"/>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316.1</w:t>
            </w:r>
          </w:p>
        </w:tc>
        <w:tc>
          <w:tcPr>
            <w:tcW w:w="400" w:type="dxa"/>
            <w:vAlign w:val="bottom"/>
            <w:shd w:val="clear" w:color="auto" w:fill="D8D8D8"/>
          </w:tcPr>
          <w:p>
            <w:pPr>
              <w:spacing w:after="0"/>
              <w:rPr>
                <w:sz w:val="16"/>
                <w:szCs w:val="16"/>
                <w:color w:val="auto"/>
              </w:rPr>
            </w:pPr>
          </w:p>
        </w:tc>
        <w:tc>
          <w:tcPr>
            <w:tcW w:w="112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10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(Note 5)</w:t>
            </w:r>
          </w:p>
        </w:tc>
        <w:tc>
          <w:tcPr>
            <w:tcW w:w="22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100" w:type="dxa"/>
            <w:vAlign w:val="bottom"/>
            <w:vMerge w:val="continue"/>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131.2</w:t>
            </w:r>
          </w:p>
        </w:tc>
        <w:tc>
          <w:tcPr>
            <w:tcW w:w="380" w:type="dxa"/>
            <w:vAlign w:val="bottom"/>
            <w:shd w:val="clear" w:color="auto" w:fill="D8D8D8"/>
          </w:tcPr>
          <w:p>
            <w:pPr>
              <w:spacing w:after="0"/>
              <w:rPr>
                <w:sz w:val="18"/>
                <w:szCs w:val="18"/>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Other—net, (income) expense (Note 18)</w:t>
            </w:r>
          </w:p>
        </w:tc>
        <w:tc>
          <w:tcPr>
            <w:tcW w:w="2200" w:type="dxa"/>
            <w:vAlign w:val="bottom"/>
            <w:tcBorders>
              <w:bottom w:val="single" w:sz="8" w:color="D8D8D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23"/>
        </w:trPr>
        <w:tc>
          <w:tcPr>
            <w:tcW w:w="4620" w:type="dxa"/>
            <w:vAlign w:val="bottom"/>
            <w:shd w:val="clear" w:color="auto" w:fill="D8D8D8"/>
          </w:tcPr>
          <w:p>
            <w:pPr>
              <w:spacing w:after="0"/>
              <w:rPr>
                <w:sz w:val="19"/>
                <w:szCs w:val="19"/>
                <w:color w:val="auto"/>
              </w:rPr>
            </w:pPr>
          </w:p>
        </w:tc>
        <w:tc>
          <w:tcPr>
            <w:tcW w:w="2200" w:type="dxa"/>
            <w:vAlign w:val="bottom"/>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22,162.9</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17,309.9</w:t>
            </w:r>
          </w:p>
        </w:tc>
        <w:tc>
          <w:tcPr>
            <w:tcW w:w="3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17,053.6</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6,155.5</w:t>
            </w:r>
          </w:p>
        </w:tc>
        <w:tc>
          <w:tcPr>
            <w:tcW w:w="4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7,229.9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5,265.9</w:t>
            </w: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taxes (Note 14)</w:t>
            </w:r>
          </w:p>
        </w:tc>
        <w:tc>
          <w:tcPr>
            <w:tcW w:w="2200" w:type="dxa"/>
            <w:vAlign w:val="bottom"/>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573.8</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1,036.2</w:t>
            </w:r>
          </w:p>
        </w:tc>
        <w:tc>
          <w:tcPr>
            <w:tcW w:w="3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5,581.7</w:t>
            </w:r>
          </w:p>
        </w:tc>
        <w:tc>
          <w:tcPr>
            <w:tcW w:w="4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6,193.7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4,637.9</w:t>
            </w:r>
          </w:p>
        </w:tc>
        <w:tc>
          <w:tcPr>
            <w:tcW w:w="0" w:type="dxa"/>
            <w:vAlign w:val="bottom"/>
          </w:tcPr>
          <w:p>
            <w:pPr>
              <w:spacing w:after="0"/>
              <w:rPr>
                <w:sz w:val="1"/>
                <w:szCs w:val="1"/>
                <w:color w:val="auto"/>
              </w:rPr>
            </w:pPr>
          </w:p>
        </w:tc>
      </w:tr>
      <w:tr>
        <w:trPr>
          <w:trHeight w:val="229"/>
        </w:trPr>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income from discontinued operations (Note 19)</w:t>
            </w:r>
          </w:p>
        </w:tc>
        <w:tc>
          <w:tcPr>
            <w:tcW w:w="2200" w:type="dxa"/>
            <w:vAlign w:val="bottom"/>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3,680.5</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Net income</w:t>
            </w:r>
          </w:p>
        </w:tc>
        <w:tc>
          <w:tcPr>
            <w:tcW w:w="2200" w:type="dxa"/>
            <w:vAlign w:val="bottom"/>
            <w:tcBorders>
              <w:bottom w:val="single" w:sz="8" w:color="D8D8D8"/>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5,581.7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6,193.7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8,318.4</w:t>
            </w:r>
          </w:p>
        </w:tc>
        <w:tc>
          <w:tcPr>
            <w:tcW w:w="0" w:type="dxa"/>
            <w:vAlign w:val="bottom"/>
          </w:tcPr>
          <w:p>
            <w:pPr>
              <w:spacing w:after="0"/>
              <w:rPr>
                <w:sz w:val="1"/>
                <w:szCs w:val="1"/>
                <w:color w:val="auto"/>
              </w:rPr>
            </w:pPr>
          </w:p>
        </w:tc>
      </w:tr>
      <w:tr>
        <w:trPr>
          <w:trHeight w:val="257"/>
        </w:trPr>
        <w:tc>
          <w:tcPr>
            <w:tcW w:w="4620" w:type="dxa"/>
            <w:vAlign w:val="bottom"/>
            <w:shd w:val="clear" w:color="auto" w:fill="D8D8D8"/>
          </w:tcPr>
          <w:p>
            <w:pPr>
              <w:spacing w:after="0"/>
              <w:rPr>
                <w:sz w:val="22"/>
                <w:szCs w:val="22"/>
                <w:color w:val="auto"/>
              </w:rPr>
            </w:pPr>
          </w:p>
        </w:tc>
        <w:tc>
          <w:tcPr>
            <w:tcW w:w="2200" w:type="dxa"/>
            <w:vAlign w:val="bottom"/>
            <w:shd w:val="clear" w:color="auto" w:fill="D8D8D8"/>
          </w:tcPr>
          <w:p>
            <w:pPr>
              <w:spacing w:after="0"/>
              <w:rPr>
                <w:sz w:val="22"/>
                <w:szCs w:val="22"/>
                <w:color w:val="auto"/>
              </w:rPr>
            </w:pPr>
          </w:p>
        </w:tc>
        <w:tc>
          <w:tcPr>
            <w:tcW w:w="320" w:type="dxa"/>
            <w:vAlign w:val="bottom"/>
            <w:shd w:val="clear" w:color="auto" w:fill="D8D8D8"/>
          </w:tcPr>
          <w:p>
            <w:pPr>
              <w:spacing w:after="0"/>
              <w:rPr>
                <w:sz w:val="22"/>
                <w:szCs w:val="22"/>
                <w:color w:val="auto"/>
              </w:rPr>
            </w:pPr>
          </w:p>
        </w:tc>
        <w:tc>
          <w:tcPr>
            <w:tcW w:w="110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12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106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Earnings from continuing operations - basic</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6.15</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6.82</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Earnings from discontinued operations - basic</w:t>
            </w:r>
          </w:p>
        </w:tc>
        <w:tc>
          <w:tcPr>
            <w:tcW w:w="2200" w:type="dxa"/>
            <w:vAlign w:val="bottom"/>
            <w:tcBorders>
              <w:bottom w:val="single" w:sz="8" w:color="D8D8D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D8D8D8"/>
            </w:tcBorders>
            <w:shd w:val="clear" w:color="auto" w:fill="D8D8D8"/>
          </w:tcPr>
          <w:p>
            <w:pPr>
              <w:ind w:left="140"/>
              <w:spacing w:after="0"/>
              <w:rPr>
                <w:sz w:val="20"/>
                <w:szCs w:val="20"/>
                <w:color w:val="auto"/>
              </w:rPr>
            </w:pPr>
            <w:r>
              <w:rPr>
                <w:rFonts w:ascii="Arial" w:cs="Arial" w:eastAsia="Arial" w:hAnsi="Arial"/>
                <w:sz w:val="18"/>
                <w:szCs w:val="18"/>
                <w:color w:val="auto"/>
              </w:rPr>
              <w:t>Earnings per share - basic</w:t>
            </w:r>
          </w:p>
        </w:tc>
        <w:tc>
          <w:tcPr>
            <w:tcW w:w="2200" w:type="dxa"/>
            <w:vAlign w:val="bottom"/>
            <w:tcBorders>
              <w:bottom w:val="single" w:sz="8" w:color="D8D8D8"/>
            </w:tcBorders>
            <w:shd w:val="clear" w:color="auto" w:fill="D8D8D8"/>
          </w:tcPr>
          <w:p>
            <w:pPr>
              <w:spacing w:after="0"/>
              <w:rPr>
                <w:sz w:val="20"/>
                <w:szCs w:val="20"/>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6.15</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6.82</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Earnings from continuing operations - diluted</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6.12</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6.79</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Earnings from discontinued operations - diluted</w:t>
            </w:r>
          </w:p>
        </w:tc>
        <w:tc>
          <w:tcPr>
            <w:tcW w:w="2200" w:type="dxa"/>
            <w:vAlign w:val="bottom"/>
            <w:tcBorders>
              <w:bottom w:val="single" w:sz="8" w:color="D8D8D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D8D8D8"/>
            </w:tcBorders>
            <w:shd w:val="clear" w:color="auto" w:fill="D8D8D8"/>
          </w:tcPr>
          <w:p>
            <w:pPr>
              <w:ind w:left="140"/>
              <w:spacing w:after="0"/>
              <w:rPr>
                <w:sz w:val="20"/>
                <w:szCs w:val="20"/>
                <w:color w:val="auto"/>
              </w:rPr>
            </w:pPr>
            <w:r>
              <w:rPr>
                <w:rFonts w:ascii="Arial" w:cs="Arial" w:eastAsia="Arial" w:hAnsi="Arial"/>
                <w:sz w:val="18"/>
                <w:szCs w:val="18"/>
                <w:color w:val="auto"/>
              </w:rPr>
              <w:t>Earnings per share - diluted</w:t>
            </w:r>
          </w:p>
        </w:tc>
        <w:tc>
          <w:tcPr>
            <w:tcW w:w="2200" w:type="dxa"/>
            <w:vAlign w:val="bottom"/>
            <w:tcBorders>
              <w:bottom w:val="single" w:sz="8" w:color="D8D8D8"/>
            </w:tcBorders>
            <w:shd w:val="clear" w:color="auto" w:fill="D8D8D8"/>
          </w:tcPr>
          <w:p>
            <w:pPr>
              <w:spacing w:after="0"/>
              <w:rPr>
                <w:sz w:val="20"/>
                <w:szCs w:val="20"/>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6.12</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6.79</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351"/>
        </w:trPr>
        <w:tc>
          <w:tcPr>
            <w:tcW w:w="4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D8D8D8"/>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Basic</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906,963</w:t>
            </w:r>
          </w:p>
        </w:tc>
        <w:tc>
          <w:tcPr>
            <w:tcW w:w="4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907,634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931,059</w:t>
            </w:r>
          </w:p>
        </w:tc>
        <w:tc>
          <w:tcPr>
            <w:tcW w:w="0" w:type="dxa"/>
            <w:vAlign w:val="bottom"/>
          </w:tcPr>
          <w:p>
            <w:pPr>
              <w:spacing w:after="0"/>
              <w:rPr>
                <w:sz w:val="1"/>
                <w:szCs w:val="1"/>
                <w:color w:val="auto"/>
              </w:rPr>
            </w:pPr>
          </w:p>
        </w:tc>
      </w:tr>
      <w:tr>
        <w:trPr>
          <w:trHeight w:val="230"/>
        </w:trPr>
        <w:tc>
          <w:tcPr>
            <w:tcW w:w="46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Diluted</w:t>
            </w:r>
          </w:p>
        </w:tc>
        <w:tc>
          <w:tcPr>
            <w:tcW w:w="220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911,681</w:t>
            </w:r>
          </w:p>
        </w:tc>
        <w:tc>
          <w:tcPr>
            <w:tcW w:w="40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912,505</w:t>
            </w:r>
          </w:p>
        </w:tc>
        <w:tc>
          <w:tcPr>
            <w:tcW w:w="38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935,684</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5" w:name="page56"/>
    <w:bookmarkEnd w:id="55"/>
    <w:p>
      <w:pPr>
        <w:spacing w:after="0"/>
        <w:rPr>
          <w:sz w:val="20"/>
          <w:szCs w:val="20"/>
          <w:color w:val="auto"/>
        </w:rPr>
      </w:pPr>
      <w:r>
        <w:rPr>
          <w:rFonts w:ascii="Arial" w:cs="Arial" w:eastAsia="Arial" w:hAnsi="Arial"/>
          <w:sz w:val="32"/>
          <w:szCs w:val="32"/>
          <w:i w:val="1"/>
          <w:iCs w:val="1"/>
          <w:color w:val="auto"/>
        </w:rPr>
        <w:t>Consolidated Statements of Comprehensive Income (Loss)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4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income</w:t>
            </w:r>
          </w:p>
        </w:tc>
        <w:tc>
          <w:tcPr>
            <w:tcW w:w="2420" w:type="dxa"/>
            <w:vAlign w:val="bottom"/>
            <w:shd w:val="clear" w:color="auto" w:fill="D8D8D8"/>
          </w:tcPr>
          <w:p>
            <w:pPr>
              <w:spacing w:after="0"/>
              <w:rPr>
                <w:sz w:val="19"/>
                <w:szCs w:val="19"/>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5,581.7</w:t>
            </w:r>
          </w:p>
        </w:tc>
        <w:tc>
          <w:tcPr>
            <w:tcW w:w="3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6,193.7</w:t>
            </w:r>
          </w:p>
        </w:tc>
        <w:tc>
          <w:tcPr>
            <w:tcW w:w="3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8,318.4</w:t>
            </w:r>
          </w:p>
        </w:tc>
        <w:tc>
          <w:tcPr>
            <w:tcW w:w="0" w:type="dxa"/>
            <w:vAlign w:val="bottom"/>
          </w:tcPr>
          <w:p>
            <w:pPr>
              <w:spacing w:after="0"/>
              <w:rPr>
                <w:sz w:val="1"/>
                <w:szCs w:val="1"/>
                <w:color w:val="auto"/>
              </w:rPr>
            </w:pP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from continuing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4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13.5</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122.1</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Change in net unrealized gains (losses) on securities</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3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Change in defined benefit pension and retiree health benefit plans (Note 15)</w:t>
            </w: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2,699.4</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(157.1)</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Change in effective portion of cash flow hedges</w:t>
            </w:r>
          </w:p>
        </w:tc>
        <w:tc>
          <w:tcPr>
            <w:tcW w:w="2420" w:type="dxa"/>
            <w:vAlign w:val="bottom"/>
            <w:tcBorders>
              <w:bottom w:val="single" w:sz="8" w:color="D8D8D8"/>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151.6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from continuing operations before income taxes</w:t>
            </w: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2,848.6</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(173.7)</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(991.2)</w:t>
            </w:r>
          </w:p>
        </w:tc>
        <w:tc>
          <w:tcPr>
            <w:tcW w:w="0" w:type="dxa"/>
            <w:vAlign w:val="bottom"/>
          </w:tcPr>
          <w:p>
            <w:pPr>
              <w:spacing w:after="0"/>
              <w:rPr>
                <w:sz w:val="1"/>
                <w:szCs w:val="1"/>
                <w:color w:val="auto"/>
              </w:rPr>
            </w:pPr>
          </w:p>
        </w:tc>
      </w:tr>
      <w:tr>
        <w:trPr>
          <w:trHeight w:val="188"/>
        </w:trPr>
        <w:tc>
          <w:tcPr>
            <w:tcW w:w="718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Benefit (provision) for income taxes related to other comprehensive income (loss)</w:t>
            </w: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(695.3)</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from continuing operations</w:t>
            </w:r>
          </w:p>
        </w:tc>
        <w:tc>
          <w:tcPr>
            <w:tcW w:w="2420" w:type="dxa"/>
            <w:vAlign w:val="bottom"/>
            <w:tcBorders>
              <w:bottom w:val="single" w:sz="8" w:color="D8D8D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200.9</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D8D8D8"/>
          </w:tcPr>
          <w:p>
            <w:pPr>
              <w:ind w:left="20"/>
              <w:spacing w:after="0"/>
              <w:rPr>
                <w:sz w:val="20"/>
                <w:szCs w:val="20"/>
                <w:color w:val="auto"/>
              </w:rPr>
            </w:pPr>
            <w:r>
              <w:rPr>
                <w:rFonts w:ascii="Arial" w:cs="Arial" w:eastAsia="Arial" w:hAnsi="Arial"/>
                <w:sz w:val="18"/>
                <w:szCs w:val="18"/>
                <w:color w:val="auto"/>
              </w:rPr>
              <w:t>Other comprehensive income (loss) from continuing operations, net of tax (Note 17)</w:t>
            </w:r>
          </w:p>
        </w:tc>
        <w:tc>
          <w:tcPr>
            <w:tcW w:w="30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2,153.3</w:t>
            </w:r>
          </w:p>
        </w:tc>
        <w:tc>
          <w:tcPr>
            <w:tcW w:w="34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27.2</w:t>
            </w:r>
          </w:p>
        </w:tc>
        <w:tc>
          <w:tcPr>
            <w:tcW w:w="34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D8D8D8"/>
            </w:tcBorders>
            <w:gridSpan w:val="2"/>
          </w:tcPr>
          <w:p>
            <w:pPr>
              <w:ind w:left="20"/>
              <w:spacing w:after="0"/>
              <w:rPr>
                <w:sz w:val="20"/>
                <w:szCs w:val="20"/>
                <w:color w:val="auto"/>
              </w:rPr>
            </w:pPr>
            <w:r>
              <w:rPr>
                <w:rFonts w:ascii="Arial" w:cs="Arial" w:eastAsia="Arial" w:hAnsi="Arial"/>
                <w:sz w:val="18"/>
                <w:szCs w:val="18"/>
                <w:color w:val="auto"/>
              </w:rPr>
              <w:t>Other comprehensive income from discontinued operations, net of tax (Note 17)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4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comprehensive income (loss), net of tax (Note 17)</w:t>
            </w:r>
          </w:p>
        </w:tc>
        <w:tc>
          <w:tcPr>
            <w:tcW w:w="2420" w:type="dxa"/>
            <w:vAlign w:val="bottom"/>
            <w:shd w:val="clear" w:color="auto" w:fill="D8D8D8"/>
          </w:tcPr>
          <w:p>
            <w:pPr>
              <w:spacing w:after="0"/>
              <w:rPr>
                <w:sz w:val="19"/>
                <w:szCs w:val="19"/>
                <w:color w:val="auto"/>
              </w:rPr>
            </w:pPr>
          </w:p>
        </w:tc>
        <w:tc>
          <w:tcPr>
            <w:tcW w:w="300" w:type="dxa"/>
            <w:vAlign w:val="bottom"/>
            <w:tcBorders>
              <w:bottom w:val="single" w:sz="8" w:color="auto"/>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2,153.3</w:t>
            </w:r>
          </w:p>
        </w:tc>
        <w:tc>
          <w:tcPr>
            <w:tcW w:w="34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27.2</w:t>
            </w:r>
          </w:p>
        </w:tc>
        <w:tc>
          <w:tcPr>
            <w:tcW w:w="34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7,735.0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6,220.9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7,535.0</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1" w:right="379" w:bottom="1440" w:gutter="0" w:footer="0" w:header="0"/>
        </w:sectPr>
      </w:pPr>
    </w:p>
    <w:bookmarkStart w:id="56" w:name="page57"/>
    <w:bookmarkEnd w:id="56"/>
    <w:p>
      <w:pPr>
        <w:spacing w:after="0"/>
        <w:rPr>
          <w:sz w:val="20"/>
          <w:szCs w:val="20"/>
          <w:color w:val="auto"/>
        </w:rPr>
      </w:pPr>
      <w:r>
        <w:rPr>
          <w:rFonts w:ascii="Arial" w:cs="Arial" w:eastAsia="Arial" w:hAnsi="Arial"/>
          <w:sz w:val="29"/>
          <w:szCs w:val="29"/>
          <w:i w:val="1"/>
          <w:iCs w:val="1"/>
          <w:color w:val="auto"/>
        </w:rPr>
        <w:t>Consolidated Balance Sheets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060" w:type="dxa"/>
            <w:vAlign w:val="bottom"/>
            <w:gridSpan w:val="2"/>
            <w:vMerge w:val="restart"/>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vMerge w:val="restart"/>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080" w:type="dxa"/>
            <w:vAlign w:val="bottom"/>
            <w:vMerge w:val="restart"/>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5"/>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 shares in thousands)</w:t>
            </w:r>
          </w:p>
        </w:tc>
        <w:tc>
          <w:tcPr>
            <w:tcW w:w="2060" w:type="dxa"/>
            <w:vAlign w:val="bottom"/>
            <w:tcBorders>
              <w:bottom w:val="single" w:sz="8" w:color="auto"/>
            </w:tcBorders>
            <w:gridSpan w:val="2"/>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Cash and cash equivalents (Note 7)</w:t>
            </w:r>
          </w:p>
        </w:tc>
        <w:tc>
          <w:tcPr>
            <w:tcW w:w="206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3,818.5</w:t>
            </w:r>
          </w:p>
        </w:tc>
        <w:tc>
          <w:tcPr>
            <w:tcW w:w="3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Short-term investments (Note 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90.1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$22.5 (2021)</w:t>
            </w:r>
            <w:r>
              <w:rPr>
                <w:rFonts w:ascii="Arial" w:cs="Arial" w:eastAsia="Arial" w:hAnsi="Arial"/>
                <w:sz w:val="18"/>
                <w:szCs w:val="18"/>
                <w:color w:val="auto"/>
              </w:rPr>
              <w:t xml:space="preserve"> and $25.9 (2020)</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6,672.8</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5,875.3</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1,454.4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Inventories (Note 6)</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3,886.0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3,980.3</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Prepaid expenses and other</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2,530.6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current assets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18,452.4</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17,462.1</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Investments (Note 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3,212.6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Goodwill (Note 8)</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3,892.0</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3,766.5</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 intangibles, net (Note 8)</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7,691.9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 (Note 14)</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2,489.3</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2,830.4</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 net (Note 9)</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8,985.1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8,681.9</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noncurrent assets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4,082.7</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3,475.4</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assets</w:t>
            </w:r>
          </w:p>
        </w:tc>
        <w:tc>
          <w:tcPr>
            <w:tcW w:w="174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48,806.0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46,633.1</w:t>
            </w:r>
          </w:p>
        </w:tc>
        <w:tc>
          <w:tcPr>
            <w:tcW w:w="0" w:type="dxa"/>
            <w:vAlign w:val="bottom"/>
          </w:tcPr>
          <w:p>
            <w:pPr>
              <w:spacing w:after="0"/>
              <w:rPr>
                <w:sz w:val="1"/>
                <w:szCs w:val="1"/>
                <w:color w:val="auto"/>
              </w:rPr>
            </w:pPr>
          </w:p>
        </w:tc>
      </w:tr>
      <w:tr>
        <w:trPr>
          <w:trHeight w:val="216"/>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74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Short-term borrowings and current maturities of long-term debt (Note 11)</w:t>
            </w:r>
          </w:p>
        </w:tc>
        <w:tc>
          <w:tcPr>
            <w:tcW w:w="2060" w:type="dxa"/>
            <w:vAlign w:val="bottom"/>
            <w:gridSpan w:val="2"/>
            <w:shd w:val="clear" w:color="auto" w:fill="DBDBDB"/>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1,538.3</w:t>
            </w:r>
          </w:p>
        </w:tc>
        <w:tc>
          <w:tcPr>
            <w:tcW w:w="3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1,670.6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Employee compensation</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958.1</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Sales rebates and discounts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6,845.8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5,853.0</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Dividends payable</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885.5</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Income taxes payable (Note 14)</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126.9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Other current liabilities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3,027.5</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2,750.3</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15,052.7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12,481.6</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Other Liabilities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Long-term debt (Note 11)</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15,346.4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16,586.6</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Accrued retirement benefits (Note 15)</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1,954.1</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Long-term income taxes payable (Note 14)</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3,920.0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3,837.8</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Deferred tax liabilities (Note 14)</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1,733.7</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Other noncurrent liabilities</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1,644.3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1,707.5</w:t>
            </w:r>
          </w:p>
        </w:tc>
        <w:tc>
          <w:tcPr>
            <w:tcW w:w="0" w:type="dxa"/>
            <w:vAlign w:val="bottom"/>
          </w:tcPr>
          <w:p>
            <w:pPr>
              <w:spacing w:after="0"/>
              <w:rPr>
                <w:sz w:val="1"/>
                <w:szCs w:val="1"/>
                <w:color w:val="auto"/>
              </w:rPr>
            </w:pPr>
          </w:p>
        </w:tc>
      </w:tr>
      <w:tr>
        <w:trPr>
          <w:trHeight w:val="223"/>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other liabilities</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24,598.5</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28,326.3</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Commitments and Contingencies (Note 16)</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i w:val="1"/>
                <w:iCs w:val="1"/>
                <w:color w:val="auto"/>
              </w:rPr>
              <w:t>Eli Lilly and Company Shareholders' Equity (Notes 12 and 13)</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560" w:type="dxa"/>
            <w:vAlign w:val="bottom"/>
          </w:tcPr>
          <w:p>
            <w:pPr>
              <w:ind w:left="220"/>
              <w:spacing w:after="0" w:line="189" w:lineRule="exact"/>
              <w:rPr>
                <w:sz w:val="20"/>
                <w:szCs w:val="20"/>
                <w:color w:val="auto"/>
              </w:rPr>
            </w:pPr>
            <w:r>
              <w:rPr>
                <w:rFonts w:ascii="Arial" w:cs="Arial" w:eastAsia="Arial" w:hAnsi="Arial"/>
                <w:sz w:val="18"/>
                <w:szCs w:val="18"/>
                <w:color w:val="auto"/>
              </w:rPr>
              <w:t>Common stock—no par value</w:t>
            </w:r>
          </w:p>
        </w:tc>
        <w:tc>
          <w:tcPr>
            <w:tcW w:w="1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560" w:type="dxa"/>
            <w:vAlign w:val="bottom"/>
          </w:tcPr>
          <w:p>
            <w:pPr>
              <w:ind w:left="220"/>
              <w:spacing w:after="0" w:line="163" w:lineRule="exact"/>
              <w:rPr>
                <w:sz w:val="20"/>
                <w:szCs w:val="20"/>
                <w:color w:val="auto"/>
              </w:rPr>
            </w:pPr>
            <w:r>
              <w:rPr>
                <w:rFonts w:ascii="Arial" w:cs="Arial" w:eastAsia="Arial" w:hAnsi="Arial"/>
                <w:sz w:val="18"/>
                <w:szCs w:val="18"/>
                <w:color w:val="auto"/>
              </w:rPr>
              <w:t>Authorized shares: 3,200,000</w:t>
            </w: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596.3</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954,116 (2021)</w:t>
            </w:r>
            <w:r>
              <w:rPr>
                <w:rFonts w:ascii="Arial" w:cs="Arial" w:eastAsia="Arial" w:hAnsi="Arial"/>
                <w:sz w:val="18"/>
                <w:szCs w:val="18"/>
                <w:color w:val="auto"/>
              </w:rPr>
              <w:t xml:space="preserve"> and 957,077 (2020)</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29"/>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Additional paid-in capital</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6,833.4</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6,778.5</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8,958.5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7,830.2</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Employee benefit trust</w:t>
            </w:r>
          </w:p>
        </w:tc>
        <w:tc>
          <w:tcPr>
            <w:tcW w:w="17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(3,013.2)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Accumulated other comprehensive loss (Note 17)</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(4,343.1)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Cost of common stock in treasury</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(52.7)</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Eli Lilly and Company shareholders' equity</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8,979.2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5,641.6</w:t>
            </w:r>
          </w:p>
        </w:tc>
        <w:tc>
          <w:tcPr>
            <w:tcW w:w="0" w:type="dxa"/>
            <w:vAlign w:val="bottom"/>
          </w:tcPr>
          <w:p>
            <w:pPr>
              <w:spacing w:after="0"/>
              <w:rPr>
                <w:sz w:val="1"/>
                <w:szCs w:val="1"/>
                <w:color w:val="auto"/>
              </w:rPr>
            </w:pPr>
          </w:p>
        </w:tc>
      </w:tr>
      <w:tr>
        <w:trPr>
          <w:trHeight w:val="230"/>
        </w:trPr>
        <w:tc>
          <w:tcPr>
            <w:tcW w:w="6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Noncontrolling interests</w:t>
            </w:r>
          </w:p>
        </w:tc>
        <w:tc>
          <w:tcPr>
            <w:tcW w:w="17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175.6</w:t>
            </w:r>
          </w:p>
        </w:tc>
        <w:tc>
          <w:tcPr>
            <w:tcW w:w="3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equity</w:t>
            </w:r>
          </w:p>
        </w:tc>
        <w:tc>
          <w:tcPr>
            <w:tcW w:w="17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9,154.8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 and equity</w:t>
            </w:r>
          </w:p>
        </w:tc>
        <w:tc>
          <w:tcPr>
            <w:tcW w:w="174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48,806.0</w:t>
            </w:r>
          </w:p>
        </w:tc>
        <w:tc>
          <w:tcPr>
            <w:tcW w:w="38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46,633.1</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3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1060"/>
        <w:spacing w:after="0"/>
        <w:rPr>
          <w:sz w:val="20"/>
          <w:szCs w:val="20"/>
          <w:color w:val="auto"/>
        </w:rPr>
      </w:pPr>
      <w:r>
        <w:rPr>
          <w:rFonts w:ascii="Arial" w:cs="Arial" w:eastAsia="Arial" w:hAnsi="Arial"/>
          <w:sz w:val="16"/>
          <w:szCs w:val="16"/>
          <w:b w:val="1"/>
          <w:bCs w:val="1"/>
          <w:i w:val="1"/>
          <w:i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32"/>
          <w:szCs w:val="32"/>
          <w:i w:val="1"/>
          <w:iCs w:val="1"/>
          <w:color w:val="auto"/>
        </w:rPr>
        <w:t>Consolidated Statements of Shareholders' Equity</w:t>
      </w:r>
    </w:p>
    <w:p>
      <w:pPr>
        <w:sectPr>
          <w:pgSz w:w="11900" w:h="16838" w:orient="portrait"/>
          <w:cols w:equalWidth="0" w:num="1">
            <w:col w:w="11240"/>
          </w:cols>
          <w:pgMar w:left="320" w:top="1243"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20"/>
        <w:spacing w:after="0" w:line="216" w:lineRule="auto"/>
        <w:rPr>
          <w:sz w:val="20"/>
          <w:szCs w:val="20"/>
          <w:color w:val="auto"/>
        </w:rPr>
      </w:pPr>
      <w:r>
        <w:rPr>
          <w:rFonts w:ascii="Arial" w:cs="Arial" w:eastAsia="Arial" w:hAnsi="Arial"/>
          <w:sz w:val="11"/>
          <w:szCs w:val="11"/>
          <w:b w:val="1"/>
          <w:bCs w:val="1"/>
          <w:color w:val="auto"/>
        </w:rPr>
        <w:t>ELI LILLY AND COMPANY AND SUBSIDIARIES</w:t>
      </w:r>
    </w:p>
    <w:p>
      <w:pPr>
        <w:ind w:left="20" w:right="100"/>
        <w:spacing w:after="0" w:line="225" w:lineRule="auto"/>
        <w:rPr>
          <w:sz w:val="20"/>
          <w:szCs w:val="20"/>
          <w:color w:val="auto"/>
        </w:rPr>
      </w:pPr>
      <w:r>
        <w:rPr>
          <w:rFonts w:ascii="Arial" w:cs="Arial" w:eastAsia="Arial" w:hAnsi="Arial"/>
          <w:sz w:val="11"/>
          <w:szCs w:val="11"/>
          <w:b w:val="1"/>
          <w:bCs w:val="1"/>
          <w:color w:val="auto"/>
        </w:rPr>
        <w:t>(Dollars in millions, shares in thousands)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40" w:type="dxa"/>
            <w:vAlign w:val="bottom"/>
            <w:gridSpan w:val="3"/>
          </w:tcPr>
          <w:p>
            <w:pPr>
              <w:ind w:left="6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860" w:type="dxa"/>
            <w:vAlign w:val="bottom"/>
            <w:gridSpan w:val="2"/>
          </w:tcPr>
          <w:p>
            <w:pPr>
              <w:ind w:left="520"/>
              <w:spacing w:after="0"/>
              <w:rPr>
                <w:sz w:val="20"/>
                <w:szCs w:val="20"/>
                <w:color w:val="auto"/>
              </w:rPr>
            </w:pPr>
            <w:r>
              <w:rPr>
                <w:rFonts w:ascii="Arial" w:cs="Arial" w:eastAsia="Arial" w:hAnsi="Arial"/>
                <w:sz w:val="11"/>
                <w:szCs w:val="11"/>
                <w:b w:val="1"/>
                <w:bCs w:val="1"/>
                <w:color w:val="auto"/>
              </w:rPr>
              <w:t>Common Stock</w:t>
            </w:r>
          </w:p>
        </w:tc>
        <w:tc>
          <w:tcPr>
            <w:tcW w:w="880" w:type="dxa"/>
            <w:vAlign w:val="bottom"/>
            <w:vMerge w:val="restart"/>
          </w:tcPr>
          <w:p>
            <w:pPr>
              <w:jc w:val="center"/>
              <w:ind w:left="148"/>
              <w:spacing w:after="0"/>
              <w:rPr>
                <w:sz w:val="20"/>
                <w:szCs w:val="20"/>
                <w:color w:val="auto"/>
              </w:rPr>
            </w:pPr>
            <w:r>
              <w:rPr>
                <w:rFonts w:ascii="Arial" w:cs="Arial" w:eastAsia="Arial" w:hAnsi="Arial"/>
                <w:sz w:val="11"/>
                <w:szCs w:val="11"/>
                <w:b w:val="1"/>
                <w:bCs w:val="1"/>
                <w:color w:val="auto"/>
                <w:w w:val="96"/>
              </w:rPr>
              <w:t>Additional</w:t>
            </w: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760" w:type="dxa"/>
            <w:vAlign w:val="bottom"/>
            <w:gridSpan w:val="2"/>
          </w:tcPr>
          <w:p>
            <w:pPr>
              <w:ind w:left="180"/>
              <w:spacing w:after="0"/>
              <w:rPr>
                <w:sz w:val="20"/>
                <w:szCs w:val="20"/>
                <w:color w:val="auto"/>
              </w:rPr>
            </w:pPr>
            <w:r>
              <w:rPr>
                <w:rFonts w:ascii="Arial" w:cs="Arial" w:eastAsia="Arial" w:hAnsi="Arial"/>
                <w:sz w:val="11"/>
                <w:szCs w:val="11"/>
                <w:b w:val="1"/>
                <w:bCs w:val="1"/>
                <w:color w:val="auto"/>
              </w:rPr>
              <w:t>Common Stock in Treasury</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92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9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Amount</w:t>
            </w:r>
          </w:p>
        </w:tc>
        <w:tc>
          <w:tcPr>
            <w:tcW w:w="880" w:type="dxa"/>
            <w:vAlign w:val="bottom"/>
          </w:tcPr>
          <w:p>
            <w:pPr>
              <w:jc w:val="center"/>
              <w:ind w:left="148"/>
              <w:spacing w:after="0" w:line="88" w:lineRule="exact"/>
              <w:rPr>
                <w:sz w:val="20"/>
                <w:szCs w:val="20"/>
                <w:color w:val="auto"/>
              </w:rPr>
            </w:pPr>
            <w:r>
              <w:rPr>
                <w:rFonts w:ascii="Arial" w:cs="Arial" w:eastAsia="Arial" w:hAnsi="Arial"/>
                <w:sz w:val="10"/>
                <w:szCs w:val="10"/>
                <w:b w:val="1"/>
                <w:bCs w:val="1"/>
                <w:color w:val="auto"/>
              </w:rPr>
              <w:t>Paid-in</w:t>
            </w:r>
          </w:p>
        </w:tc>
        <w:tc>
          <w:tcPr>
            <w:tcW w:w="1100" w:type="dxa"/>
            <w:vAlign w:val="bottom"/>
          </w:tcPr>
          <w:p>
            <w:pPr>
              <w:ind w:left="420"/>
              <w:spacing w:after="0" w:line="88" w:lineRule="exact"/>
              <w:rPr>
                <w:sz w:val="20"/>
                <w:szCs w:val="20"/>
                <w:color w:val="auto"/>
              </w:rPr>
            </w:pPr>
            <w:r>
              <w:rPr>
                <w:rFonts w:ascii="Arial" w:cs="Arial" w:eastAsia="Arial" w:hAnsi="Arial"/>
                <w:sz w:val="10"/>
                <w:szCs w:val="10"/>
                <w:b w:val="1"/>
                <w:bCs w:val="1"/>
                <w:color w:val="auto"/>
              </w:rPr>
              <w:t>Retained</w:t>
            </w:r>
          </w:p>
        </w:tc>
        <w:tc>
          <w:tcPr>
            <w:tcW w:w="980" w:type="dxa"/>
            <w:vAlign w:val="bottom"/>
          </w:tcPr>
          <w:p>
            <w:pPr>
              <w:jc w:val="center"/>
              <w:ind w:left="29"/>
              <w:spacing w:after="0" w:line="88" w:lineRule="exact"/>
              <w:rPr>
                <w:sz w:val="20"/>
                <w:szCs w:val="20"/>
                <w:color w:val="auto"/>
              </w:rPr>
            </w:pPr>
            <w:r>
              <w:rPr>
                <w:rFonts w:ascii="Arial" w:cs="Arial" w:eastAsia="Arial" w:hAnsi="Arial"/>
                <w:sz w:val="10"/>
                <w:szCs w:val="10"/>
                <w:b w:val="1"/>
                <w:bCs w:val="1"/>
                <w:color w:val="auto"/>
              </w:rPr>
              <w:t>Employee</w:t>
            </w:r>
          </w:p>
        </w:tc>
        <w:tc>
          <w:tcPr>
            <w:tcW w:w="13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Accumulated Other</w:t>
            </w:r>
          </w:p>
        </w:tc>
        <w:tc>
          <w:tcPr>
            <w:tcW w:w="8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92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Amount</w:t>
            </w:r>
          </w:p>
        </w:tc>
        <w:tc>
          <w:tcPr>
            <w:tcW w:w="1060" w:type="dxa"/>
            <w:vAlign w:val="bottom"/>
          </w:tcPr>
          <w:p>
            <w:pPr>
              <w:jc w:val="center"/>
              <w:ind w:left="229"/>
              <w:spacing w:after="0" w:line="88"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142"/>
        </w:trPr>
        <w:tc>
          <w:tcPr>
            <w:tcW w:w="9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jc w:val="center"/>
              <w:ind w:left="148"/>
              <w:spacing w:after="0"/>
              <w:rPr>
                <w:sz w:val="20"/>
                <w:szCs w:val="20"/>
                <w:color w:val="auto"/>
              </w:rPr>
            </w:pPr>
            <w:r>
              <w:rPr>
                <w:rFonts w:ascii="Arial" w:cs="Arial" w:eastAsia="Arial" w:hAnsi="Arial"/>
                <w:sz w:val="11"/>
                <w:szCs w:val="11"/>
                <w:b w:val="1"/>
                <w:bCs w:val="1"/>
                <w:color w:val="auto"/>
                <w:w w:val="98"/>
              </w:rPr>
              <w:t>Capital</w:t>
            </w:r>
          </w:p>
        </w:tc>
        <w:tc>
          <w:tcPr>
            <w:tcW w:w="1100" w:type="dxa"/>
            <w:vAlign w:val="bottom"/>
          </w:tcPr>
          <w:p>
            <w:pPr>
              <w:ind w:left="420"/>
              <w:spacing w:after="0"/>
              <w:rPr>
                <w:sz w:val="20"/>
                <w:szCs w:val="20"/>
                <w:color w:val="auto"/>
              </w:rPr>
            </w:pPr>
            <w:r>
              <w:rPr>
                <w:rFonts w:ascii="Arial" w:cs="Arial" w:eastAsia="Arial" w:hAnsi="Arial"/>
                <w:sz w:val="11"/>
                <w:szCs w:val="11"/>
                <w:b w:val="1"/>
                <w:bCs w:val="1"/>
                <w:color w:val="auto"/>
              </w:rPr>
              <w:t>Earnings</w:t>
            </w:r>
          </w:p>
        </w:tc>
        <w:tc>
          <w:tcPr>
            <w:tcW w:w="980" w:type="dxa"/>
            <w:vAlign w:val="bottom"/>
          </w:tcPr>
          <w:p>
            <w:pPr>
              <w:jc w:val="center"/>
              <w:ind w:left="29"/>
              <w:spacing w:after="0"/>
              <w:rPr>
                <w:sz w:val="20"/>
                <w:szCs w:val="20"/>
                <w:color w:val="auto"/>
              </w:rPr>
            </w:pPr>
            <w:r>
              <w:rPr>
                <w:rFonts w:ascii="Arial" w:cs="Arial" w:eastAsia="Arial" w:hAnsi="Arial"/>
                <w:sz w:val="11"/>
                <w:szCs w:val="11"/>
                <w:b w:val="1"/>
                <w:bCs w:val="1"/>
                <w:color w:val="auto"/>
                <w:w w:val="97"/>
              </w:rPr>
              <w:t>Benefit Trust</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Comprehensive Loss</w:t>
            </w:r>
          </w:p>
        </w:tc>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tcPr>
          <w:p>
            <w:pPr>
              <w:jc w:val="center"/>
              <w:ind w:left="229"/>
              <w:spacing w:after="0"/>
              <w:rPr>
                <w:sz w:val="20"/>
                <w:szCs w:val="20"/>
                <w:color w:val="auto"/>
              </w:rPr>
            </w:pPr>
            <w:r>
              <w:rPr>
                <w:rFonts w:ascii="Arial" w:cs="Arial" w:eastAsia="Arial" w:hAnsi="Arial"/>
                <w:sz w:val="11"/>
                <w:szCs w:val="11"/>
                <w:b w:val="1"/>
                <w:bCs w:val="1"/>
                <w:color w:val="auto"/>
                <w:w w:val="95"/>
              </w:rPr>
              <w:t>Interest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620" w:space="460"/>
            <w:col w:w="9160"/>
          </w:cols>
          <w:pgMar w:left="320" w:top="1243"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8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3"/>
                <w:szCs w:val="13"/>
                <w:color w:val="auto"/>
              </w:rPr>
              <w:t>Balance at January 1, 2019</w:t>
            </w:r>
          </w:p>
        </w:tc>
        <w:tc>
          <w:tcPr>
            <w:tcW w:w="94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1,057,639</w:t>
            </w:r>
          </w:p>
        </w:tc>
        <w:tc>
          <w:tcPr>
            <w:tcW w:w="340" w:type="dxa"/>
            <w:vAlign w:val="bottom"/>
            <w:tcBorders>
              <w:top w:val="single" w:sz="8" w:color="auto"/>
            </w:tcBorders>
            <w:shd w:val="clear" w:color="auto" w:fill="D8D8D8"/>
          </w:tcPr>
          <w:p>
            <w:pPr>
              <w:jc w:val="right"/>
              <w:ind w:right="13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D8D8D8"/>
          </w:tcPr>
          <w:p>
            <w:pPr>
              <w:jc w:val="right"/>
              <w:ind w:right="37"/>
              <w:spacing w:after="0"/>
              <w:rPr>
                <w:sz w:val="20"/>
                <w:szCs w:val="20"/>
                <w:color w:val="auto"/>
              </w:rPr>
            </w:pPr>
            <w:r>
              <w:rPr>
                <w:rFonts w:ascii="Arial" w:cs="Arial" w:eastAsia="Arial" w:hAnsi="Arial"/>
                <w:sz w:val="13"/>
                <w:szCs w:val="13"/>
                <w:color w:val="auto"/>
              </w:rPr>
              <w:t>661.0</w:t>
            </w:r>
          </w:p>
        </w:tc>
        <w:tc>
          <w:tcPr>
            <w:tcW w:w="300" w:type="dxa"/>
            <w:vAlign w:val="bottom"/>
            <w:tcBorders>
              <w:top w:val="single" w:sz="8" w:color="auto"/>
            </w:tcBorders>
            <w:shd w:val="clear" w:color="auto" w:fill="D8D8D8"/>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6,583.6</w:t>
            </w:r>
          </w:p>
        </w:tc>
        <w:tc>
          <w:tcPr>
            <w:tcW w:w="240" w:type="dxa"/>
            <w:vAlign w:val="bottom"/>
            <w:tcBorders>
              <w:top w:val="single" w:sz="8" w:color="auto"/>
            </w:tcBorders>
            <w:shd w:val="clear" w:color="auto" w:fill="D8D8D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11,395.9</w:t>
            </w:r>
          </w:p>
        </w:tc>
        <w:tc>
          <w:tcPr>
            <w:tcW w:w="280" w:type="dxa"/>
            <w:vAlign w:val="bottom"/>
            <w:tcBorders>
              <w:top w:val="single" w:sz="8" w:color="auto"/>
            </w:tcBorders>
            <w:shd w:val="clear" w:color="auto" w:fill="D8D8D8"/>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(3,013.2)</w:t>
            </w:r>
          </w:p>
        </w:tc>
        <w:tc>
          <w:tcPr>
            <w:tcW w:w="420" w:type="dxa"/>
            <w:vAlign w:val="bottom"/>
            <w:tcBorders>
              <w:top w:val="single" w:sz="8" w:color="auto"/>
            </w:tcBorders>
            <w:shd w:val="clear" w:color="auto" w:fill="D8D8D8"/>
          </w:tcPr>
          <w:p>
            <w:pPr>
              <w:jc w:val="right"/>
              <w:ind w:right="21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D8D8D8"/>
          </w:tcPr>
          <w:p>
            <w:pPr>
              <w:jc w:val="right"/>
              <w:ind w:right="117"/>
              <w:spacing w:after="0"/>
              <w:rPr>
                <w:sz w:val="20"/>
                <w:szCs w:val="20"/>
                <w:color w:val="auto"/>
              </w:rPr>
            </w:pPr>
            <w:r>
              <w:rPr>
                <w:rFonts w:ascii="Arial" w:cs="Arial" w:eastAsia="Arial" w:hAnsi="Arial"/>
                <w:sz w:val="13"/>
                <w:szCs w:val="13"/>
                <w:color w:val="auto"/>
              </w:rPr>
              <w:t>(5,729.2)</w:t>
            </w:r>
          </w:p>
        </w:tc>
        <w:tc>
          <w:tcPr>
            <w:tcW w:w="780" w:type="dxa"/>
            <w:vAlign w:val="bottom"/>
            <w:tcBorders>
              <w:top w:val="single" w:sz="8" w:color="auto"/>
            </w:tcBorders>
            <w:shd w:val="clear" w:color="auto" w:fill="D8D8D8"/>
          </w:tcPr>
          <w:p>
            <w:pPr>
              <w:jc w:val="right"/>
              <w:ind w:right="37"/>
              <w:spacing w:after="0"/>
              <w:rPr>
                <w:sz w:val="20"/>
                <w:szCs w:val="20"/>
                <w:color w:val="auto"/>
              </w:rPr>
            </w:pPr>
            <w:r>
              <w:rPr>
                <w:rFonts w:ascii="Arial" w:cs="Arial" w:eastAsia="Arial" w:hAnsi="Arial"/>
                <w:sz w:val="13"/>
                <w:szCs w:val="13"/>
                <w:color w:val="auto"/>
              </w:rPr>
              <w:t>604</w:t>
            </w:r>
          </w:p>
        </w:tc>
        <w:tc>
          <w:tcPr>
            <w:tcW w:w="280" w:type="dxa"/>
            <w:vAlign w:val="bottom"/>
            <w:tcBorders>
              <w:top w:val="single" w:sz="8" w:color="auto"/>
            </w:tcBorders>
            <w:shd w:val="clear" w:color="auto" w:fill="D8D8D8"/>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(69.4)</w:t>
            </w:r>
          </w:p>
        </w:tc>
        <w:tc>
          <w:tcPr>
            <w:tcW w:w="380" w:type="dxa"/>
            <w:vAlign w:val="bottom"/>
            <w:tcBorders>
              <w:top w:val="single" w:sz="8" w:color="auto"/>
            </w:tcBorders>
            <w:shd w:val="clear" w:color="auto" w:fill="D8D8D8"/>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1,080.4</w:t>
            </w:r>
          </w:p>
        </w:tc>
        <w:tc>
          <w:tcPr>
            <w:tcW w:w="0" w:type="dxa"/>
            <w:vAlign w:val="bottom"/>
          </w:tcPr>
          <w:p>
            <w:pPr>
              <w:spacing w:after="0"/>
              <w:rPr>
                <w:sz w:val="1"/>
                <w:szCs w:val="1"/>
                <w:color w:val="auto"/>
              </w:rPr>
            </w:pPr>
          </w:p>
        </w:tc>
      </w:tr>
      <w:tr>
        <w:trPr>
          <w:trHeight w:val="168"/>
        </w:trPr>
        <w:tc>
          <w:tcPr>
            <w:tcW w:w="2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8,318.4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37"/>
        </w:trPr>
        <w:tc>
          <w:tcPr>
            <w:tcW w:w="2080" w:type="dxa"/>
            <w:vAlign w:val="bottom"/>
            <w:shd w:val="clear" w:color="auto" w:fill="D8D8D8"/>
          </w:tcPr>
          <w:p>
            <w:pPr>
              <w:ind w:left="20"/>
              <w:spacing w:after="0" w:line="137" w:lineRule="exact"/>
              <w:rPr>
                <w:sz w:val="20"/>
                <w:szCs w:val="20"/>
                <w:color w:val="auto"/>
              </w:rPr>
            </w:pPr>
            <w:r>
              <w:rPr>
                <w:rFonts w:ascii="Arial" w:cs="Arial" w:eastAsia="Arial" w:hAnsi="Arial"/>
                <w:sz w:val="13"/>
                <w:szCs w:val="13"/>
                <w:color w:val="auto"/>
                <w:w w:val="97"/>
              </w:rPr>
              <w:t>Other comprehensive income (loss),</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2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4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940" w:type="dxa"/>
            <w:vAlign w:val="bottom"/>
            <w:vMerge w:val="restart"/>
            <w:shd w:val="clear" w:color="auto" w:fill="D8D8D8"/>
          </w:tcPr>
          <w:p>
            <w:pPr>
              <w:jc w:val="right"/>
              <w:ind w:right="117"/>
              <w:spacing w:after="0"/>
              <w:rPr>
                <w:sz w:val="20"/>
                <w:szCs w:val="20"/>
                <w:color w:val="auto"/>
              </w:rPr>
            </w:pPr>
            <w:r>
              <w:rPr>
                <w:rFonts w:ascii="Arial" w:cs="Arial" w:eastAsia="Arial" w:hAnsi="Arial"/>
                <w:sz w:val="13"/>
                <w:szCs w:val="13"/>
                <w:color w:val="auto"/>
              </w:rPr>
              <w:t>(794.4)</w:t>
            </w:r>
          </w:p>
        </w:tc>
        <w:tc>
          <w:tcPr>
            <w:tcW w:w="7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7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8"/>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net of tax</w:t>
            </w:r>
          </w:p>
        </w:tc>
        <w:tc>
          <w:tcPr>
            <w:tcW w:w="940" w:type="dxa"/>
            <w:vAlign w:val="bottom"/>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940" w:type="dxa"/>
            <w:vAlign w:val="bottom"/>
            <w:vMerge w:val="continue"/>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8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80" w:type="dxa"/>
            <w:vAlign w:val="bottom"/>
          </w:tcPr>
          <w:p>
            <w:pPr>
              <w:ind w:left="20"/>
              <w:spacing w:after="0" w:line="129"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(2,430.5)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20"/>
              <w:spacing w:after="0"/>
              <w:rPr>
                <w:sz w:val="20"/>
                <w:szCs w:val="20"/>
                <w:color w:val="auto"/>
              </w:rPr>
            </w:pPr>
            <w:r>
              <w:rPr>
                <w:rFonts w:ascii="Arial" w:cs="Arial" w:eastAsia="Arial" w:hAnsi="Arial"/>
                <w:sz w:val="13"/>
                <w:szCs w:val="13"/>
                <w:color w:val="auto"/>
              </w:rPr>
              <w:t>$2.68</w:t>
            </w: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(102,640)</w:t>
            </w:r>
          </w:p>
        </w:tc>
        <w:tc>
          <w:tcPr>
            <w:tcW w:w="340" w:type="dxa"/>
            <w:vAlign w:val="bottom"/>
            <w:shd w:val="clear" w:color="auto" w:fill="D8D8D8"/>
          </w:tcPr>
          <w:p>
            <w:pPr>
              <w:spacing w:after="0"/>
              <w:rPr>
                <w:sz w:val="15"/>
                <w:szCs w:val="15"/>
                <w:color w:val="auto"/>
              </w:rPr>
            </w:pPr>
          </w:p>
        </w:tc>
        <w:tc>
          <w:tcPr>
            <w:tcW w:w="6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(64.1)</w:t>
            </w:r>
          </w:p>
        </w:tc>
        <w:tc>
          <w:tcPr>
            <w:tcW w:w="30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(12,363.4)</w:t>
            </w:r>
          </w:p>
        </w:tc>
        <w:tc>
          <w:tcPr>
            <w:tcW w:w="28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(102,640)</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12,427.5</w:t>
            </w:r>
          </w:p>
        </w:tc>
        <w:tc>
          <w:tcPr>
            <w:tcW w:w="38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37,639</w:t>
            </w: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(4,400.0)</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80" w:type="dxa"/>
            <w:vAlign w:val="bottom"/>
            <w:shd w:val="clear" w:color="auto" w:fill="D8D8D8"/>
          </w:tcPr>
          <w:p>
            <w:pPr>
              <w:ind w:left="20"/>
              <w:spacing w:after="0" w:line="137" w:lineRule="exact"/>
              <w:rPr>
                <w:sz w:val="20"/>
                <w:szCs w:val="20"/>
                <w:color w:val="auto"/>
              </w:rPr>
            </w:pPr>
            <w:r>
              <w:rPr>
                <w:rFonts w:ascii="Arial" w:cs="Arial" w:eastAsia="Arial" w:hAnsi="Arial"/>
                <w:sz w:val="13"/>
                <w:szCs w:val="13"/>
                <w:color w:val="auto"/>
              </w:rPr>
              <w:t>Issuance of stock under employee</w:t>
            </w:r>
          </w:p>
        </w:tc>
        <w:tc>
          <w:tcPr>
            <w:tcW w:w="94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color w:val="auto"/>
              </w:rPr>
              <w:t>3,057</w:t>
            </w:r>
          </w:p>
        </w:tc>
        <w:tc>
          <w:tcPr>
            <w:tcW w:w="340" w:type="dxa"/>
            <w:vAlign w:val="bottom"/>
            <w:shd w:val="clear" w:color="auto" w:fill="D8D8D8"/>
          </w:tcPr>
          <w:p>
            <w:pPr>
              <w:spacing w:after="0"/>
              <w:rPr>
                <w:sz w:val="11"/>
                <w:szCs w:val="11"/>
                <w:color w:val="auto"/>
              </w:rPr>
            </w:pPr>
          </w:p>
        </w:tc>
        <w:tc>
          <w:tcPr>
            <w:tcW w:w="62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1.9</w:t>
            </w:r>
          </w:p>
        </w:tc>
        <w:tc>
          <w:tcPr>
            <w:tcW w:w="300" w:type="dxa"/>
            <w:vAlign w:val="bottom"/>
            <w:shd w:val="clear" w:color="auto" w:fill="D8D8D8"/>
          </w:tcPr>
          <w:p>
            <w:pPr>
              <w:spacing w:after="0"/>
              <w:rPr>
                <w:sz w:val="11"/>
                <w:szCs w:val="11"/>
                <w:color w:val="auto"/>
              </w:rPr>
            </w:pPr>
          </w:p>
        </w:tc>
        <w:tc>
          <w:tcPr>
            <w:tcW w:w="700" w:type="dxa"/>
            <w:vAlign w:val="bottom"/>
            <w:vMerge w:val="restart"/>
            <w:shd w:val="clear" w:color="auto" w:fill="D8D8D8"/>
          </w:tcPr>
          <w:p>
            <w:pPr>
              <w:jc w:val="right"/>
              <w:ind w:right="17"/>
              <w:spacing w:after="0"/>
              <w:rPr>
                <w:sz w:val="20"/>
                <w:szCs w:val="20"/>
                <w:color w:val="auto"/>
              </w:rPr>
            </w:pPr>
            <w:r>
              <w:rPr>
                <w:rFonts w:ascii="Arial" w:cs="Arial" w:eastAsia="Arial" w:hAnsi="Arial"/>
                <w:sz w:val="13"/>
                <w:szCs w:val="13"/>
                <w:color w:val="auto"/>
              </w:rPr>
              <w:t>(210.7)</w:t>
            </w:r>
          </w:p>
        </w:tc>
        <w:tc>
          <w:tcPr>
            <w:tcW w:w="240" w:type="dxa"/>
            <w:vAlign w:val="bottom"/>
            <w:shd w:val="clear" w:color="auto" w:fill="D8D8D8"/>
          </w:tcPr>
          <w:p>
            <w:pPr>
              <w:spacing w:after="0"/>
              <w:rPr>
                <w:sz w:val="11"/>
                <w:szCs w:val="11"/>
                <w:color w:val="auto"/>
              </w:rPr>
            </w:pPr>
          </w:p>
        </w:tc>
        <w:tc>
          <w:tcPr>
            <w:tcW w:w="74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940" w:type="dxa"/>
            <w:vAlign w:val="bottom"/>
            <w:shd w:val="clear" w:color="auto" w:fill="D8D8D8"/>
          </w:tcPr>
          <w:p>
            <w:pPr>
              <w:spacing w:after="0"/>
              <w:rPr>
                <w:sz w:val="11"/>
                <w:szCs w:val="11"/>
                <w:color w:val="auto"/>
              </w:rPr>
            </w:pPr>
          </w:p>
        </w:tc>
        <w:tc>
          <w:tcPr>
            <w:tcW w:w="780" w:type="dxa"/>
            <w:vAlign w:val="bottom"/>
            <w:vMerge w:val="restart"/>
            <w:shd w:val="clear" w:color="auto" w:fill="D8D8D8"/>
          </w:tcPr>
          <w:p>
            <w:pPr>
              <w:jc w:val="right"/>
              <w:spacing w:after="0"/>
              <w:rPr>
                <w:sz w:val="20"/>
                <w:szCs w:val="20"/>
                <w:color w:val="auto"/>
              </w:rPr>
            </w:pPr>
            <w:r>
              <w:rPr>
                <w:rFonts w:ascii="Arial" w:cs="Arial" w:eastAsia="Arial" w:hAnsi="Arial"/>
                <w:sz w:val="13"/>
                <w:szCs w:val="13"/>
                <w:color w:val="auto"/>
              </w:rPr>
              <w:t>(74)</w:t>
            </w:r>
          </w:p>
        </w:tc>
        <w:tc>
          <w:tcPr>
            <w:tcW w:w="280" w:type="dxa"/>
            <w:vAlign w:val="bottom"/>
            <w:shd w:val="clear" w:color="auto" w:fill="D8D8D8"/>
          </w:tcPr>
          <w:p>
            <w:pPr>
              <w:spacing w:after="0"/>
              <w:rPr>
                <w:sz w:val="11"/>
                <w:szCs w:val="11"/>
                <w:color w:val="auto"/>
              </w:rPr>
            </w:pPr>
          </w:p>
        </w:tc>
        <w:tc>
          <w:tcPr>
            <w:tcW w:w="72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color w:val="auto"/>
              </w:rPr>
              <w:t>8.6</w:t>
            </w:r>
          </w:p>
        </w:tc>
        <w:tc>
          <w:tcPr>
            <w:tcW w:w="38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vMerge w:val="continue"/>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620" w:type="dxa"/>
            <w:vAlign w:val="bottom"/>
            <w:vMerge w:val="continue"/>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700" w:type="dxa"/>
            <w:vAlign w:val="bottom"/>
            <w:vMerge w:val="continue"/>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940" w:type="dxa"/>
            <w:vAlign w:val="bottom"/>
            <w:shd w:val="clear" w:color="auto" w:fill="D8D8D8"/>
          </w:tcPr>
          <w:p>
            <w:pPr>
              <w:spacing w:after="0"/>
              <w:rPr>
                <w:sz w:val="14"/>
                <w:szCs w:val="14"/>
                <w:color w:val="auto"/>
              </w:rPr>
            </w:pPr>
          </w:p>
        </w:tc>
        <w:tc>
          <w:tcPr>
            <w:tcW w:w="780" w:type="dxa"/>
            <w:vAlign w:val="bottom"/>
            <w:vMerge w:val="continue"/>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20" w:type="dxa"/>
            <w:vAlign w:val="bottom"/>
            <w:vMerge w:val="continue"/>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312.4</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80" w:type="dxa"/>
            <w:vAlign w:val="bottom"/>
            <w:shd w:val="clear" w:color="auto" w:fill="D8D8D8"/>
          </w:tcPr>
          <w:p>
            <w:pPr>
              <w:ind w:left="20"/>
              <w:spacing w:after="0" w:line="137" w:lineRule="exact"/>
              <w:rPr>
                <w:sz w:val="20"/>
                <w:szCs w:val="20"/>
                <w:color w:val="auto"/>
              </w:rPr>
            </w:pPr>
            <w:r>
              <w:rPr>
                <w:rFonts w:ascii="Arial" w:cs="Arial" w:eastAsia="Arial" w:hAnsi="Arial"/>
                <w:sz w:val="13"/>
                <w:szCs w:val="13"/>
                <w:color w:val="auto"/>
              </w:rPr>
              <w:t>Acquisition of common stock in</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2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4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940" w:type="dxa"/>
            <w:vAlign w:val="bottom"/>
            <w:shd w:val="clear" w:color="auto" w:fill="D8D8D8"/>
          </w:tcPr>
          <w:p>
            <w:pPr>
              <w:spacing w:after="0"/>
              <w:rPr>
                <w:sz w:val="11"/>
                <w:szCs w:val="11"/>
                <w:color w:val="auto"/>
              </w:rPr>
            </w:pPr>
          </w:p>
        </w:tc>
        <w:tc>
          <w:tcPr>
            <w:tcW w:w="78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color w:val="auto"/>
              </w:rPr>
              <w:t>65,001</w:t>
            </w:r>
          </w:p>
        </w:tc>
        <w:tc>
          <w:tcPr>
            <w:tcW w:w="280" w:type="dxa"/>
            <w:vAlign w:val="bottom"/>
            <w:shd w:val="clear" w:color="auto" w:fill="D8D8D8"/>
          </w:tcPr>
          <w:p>
            <w:pPr>
              <w:spacing w:after="0"/>
              <w:rPr>
                <w:sz w:val="11"/>
                <w:szCs w:val="11"/>
                <w:color w:val="auto"/>
              </w:rPr>
            </w:pPr>
          </w:p>
        </w:tc>
        <w:tc>
          <w:tcPr>
            <w:tcW w:w="720" w:type="dxa"/>
            <w:vAlign w:val="bottom"/>
            <w:vMerge w:val="restart"/>
            <w:shd w:val="clear" w:color="auto" w:fill="D8D8D8"/>
          </w:tcPr>
          <w:p>
            <w:pPr>
              <w:jc w:val="right"/>
              <w:ind w:right="17"/>
              <w:spacing w:after="0"/>
              <w:rPr>
                <w:sz w:val="20"/>
                <w:szCs w:val="20"/>
                <w:color w:val="auto"/>
              </w:rPr>
            </w:pPr>
            <w:r>
              <w:rPr>
                <w:rFonts w:ascii="Arial" w:cs="Arial" w:eastAsia="Arial" w:hAnsi="Arial"/>
                <w:sz w:val="13"/>
                <w:szCs w:val="13"/>
                <w:color w:val="auto"/>
              </w:rPr>
              <w:t>(8,027.5)</w:t>
            </w:r>
          </w:p>
        </w:tc>
        <w:tc>
          <w:tcPr>
            <w:tcW w:w="38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exchange offer</w:t>
            </w:r>
          </w:p>
        </w:tc>
        <w:tc>
          <w:tcPr>
            <w:tcW w:w="940" w:type="dxa"/>
            <w:vAlign w:val="bottom"/>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940" w:type="dxa"/>
            <w:vAlign w:val="bottom"/>
            <w:shd w:val="clear" w:color="auto" w:fill="D8D8D8"/>
          </w:tcPr>
          <w:p>
            <w:pPr>
              <w:spacing w:after="0"/>
              <w:rPr>
                <w:sz w:val="14"/>
                <w:szCs w:val="14"/>
                <w:color w:val="auto"/>
              </w:rPr>
            </w:pPr>
          </w:p>
        </w:tc>
        <w:tc>
          <w:tcPr>
            <w:tcW w:w="780" w:type="dxa"/>
            <w:vAlign w:val="bottom"/>
            <w:vMerge w:val="continue"/>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20" w:type="dxa"/>
            <w:vAlign w:val="bottom"/>
            <w:vMerge w:val="continue"/>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80" w:type="dxa"/>
            <w:vAlign w:val="bottom"/>
          </w:tcPr>
          <w:p>
            <w:pPr>
              <w:ind w:left="20"/>
              <w:spacing w:after="0"/>
              <w:rPr>
                <w:sz w:val="20"/>
                <w:szCs w:val="20"/>
                <w:color w:val="auto"/>
              </w:rPr>
            </w:pPr>
            <w:r>
              <w:rPr>
                <w:rFonts w:ascii="Arial" w:cs="Arial" w:eastAsia="Arial" w:hAnsi="Arial"/>
                <w:sz w:val="13"/>
                <w:szCs w:val="13"/>
                <w:color w:val="auto"/>
              </w:rPr>
              <w:t>Deconsolidation of Elanco</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(1,028.9)</w:t>
            </w:r>
          </w:p>
        </w:tc>
        <w:tc>
          <w:tcPr>
            <w:tcW w:w="0" w:type="dxa"/>
            <w:vAlign w:val="bottom"/>
          </w:tcPr>
          <w:p>
            <w:pPr>
              <w:spacing w:after="0"/>
              <w:rPr>
                <w:sz w:val="1"/>
                <w:szCs w:val="1"/>
                <w:color w:val="auto"/>
              </w:rPr>
            </w:pPr>
          </w:p>
        </w:tc>
      </w:tr>
      <w:tr>
        <w:trPr>
          <w:trHeight w:val="183"/>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340" w:type="dxa"/>
            <w:vAlign w:val="bottom"/>
            <w:tcBorders>
              <w:bottom w:val="single" w:sz="8" w:color="auto"/>
            </w:tcBorders>
            <w:shd w:val="clear" w:color="auto" w:fill="D8D8D8"/>
          </w:tcPr>
          <w:p>
            <w:pPr>
              <w:spacing w:after="0"/>
              <w:rPr>
                <w:sz w:val="15"/>
                <w:szCs w:val="15"/>
                <w:color w:val="auto"/>
              </w:rPr>
            </w:pPr>
          </w:p>
        </w:tc>
        <w:tc>
          <w:tcPr>
            <w:tcW w:w="620" w:type="dxa"/>
            <w:vAlign w:val="bottom"/>
            <w:tcBorders>
              <w:bottom w:val="single" w:sz="8" w:color="auto"/>
            </w:tcBorders>
            <w:shd w:val="clear" w:color="auto" w:fill="D8D8D8"/>
          </w:tcPr>
          <w:p>
            <w:pPr>
              <w:spacing w:after="0"/>
              <w:rPr>
                <w:sz w:val="15"/>
                <w:szCs w:val="15"/>
                <w:color w:val="auto"/>
              </w:rPr>
            </w:pPr>
          </w:p>
        </w:tc>
        <w:tc>
          <w:tcPr>
            <w:tcW w:w="30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240" w:type="dxa"/>
            <w:vAlign w:val="bottom"/>
            <w:tcBorders>
              <w:bottom w:val="single" w:sz="8" w:color="auto"/>
            </w:tcBorders>
            <w:shd w:val="clear" w:color="auto" w:fill="D8D8D8"/>
          </w:tcPr>
          <w:p>
            <w:pPr>
              <w:spacing w:after="0"/>
              <w:rPr>
                <w:sz w:val="15"/>
                <w:szCs w:val="15"/>
                <w:color w:val="auto"/>
              </w:rPr>
            </w:pPr>
          </w:p>
        </w:tc>
        <w:tc>
          <w:tcPr>
            <w:tcW w:w="74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420" w:type="dxa"/>
            <w:vAlign w:val="bottom"/>
            <w:tcBorders>
              <w:bottom w:val="single" w:sz="8" w:color="auto"/>
            </w:tcBorders>
            <w:shd w:val="clear" w:color="auto" w:fill="D8D8D8"/>
          </w:tcPr>
          <w:p>
            <w:pPr>
              <w:spacing w:after="0"/>
              <w:rPr>
                <w:sz w:val="15"/>
                <w:szCs w:val="15"/>
                <w:color w:val="auto"/>
              </w:rPr>
            </w:pPr>
          </w:p>
        </w:tc>
        <w:tc>
          <w:tcPr>
            <w:tcW w:w="940" w:type="dxa"/>
            <w:vAlign w:val="bottom"/>
            <w:tcBorders>
              <w:bottom w:val="single" w:sz="8" w:color="auto"/>
            </w:tcBorders>
            <w:shd w:val="clear" w:color="auto" w:fill="D8D8D8"/>
          </w:tcPr>
          <w:p>
            <w:pPr>
              <w:spacing w:after="0"/>
              <w:rPr>
                <w:sz w:val="15"/>
                <w:szCs w:val="15"/>
                <w:color w:val="auto"/>
              </w:rPr>
            </w:pPr>
          </w:p>
        </w:tc>
        <w:tc>
          <w:tcPr>
            <w:tcW w:w="78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380" w:type="dxa"/>
            <w:vAlign w:val="bottom"/>
            <w:tcBorders>
              <w:bottom w:val="single" w:sz="8" w:color="auto"/>
            </w:tcBorders>
            <w:shd w:val="clear" w:color="auto" w:fill="D8D8D8"/>
          </w:tcPr>
          <w:p>
            <w:pPr>
              <w:spacing w:after="0"/>
              <w:rPr>
                <w:sz w:val="15"/>
                <w:szCs w:val="15"/>
                <w:color w:val="auto"/>
              </w:rPr>
            </w:pPr>
          </w:p>
        </w:tc>
        <w:tc>
          <w:tcPr>
            <w:tcW w:w="7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3"/>
                <w:szCs w:val="13"/>
                <w:color w:val="auto"/>
              </w:rPr>
              <w:t>Balance at December 31, 2019</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958,056</w:t>
            </w:r>
          </w:p>
        </w:tc>
        <w:tc>
          <w:tcPr>
            <w:tcW w:w="34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598.8</w:t>
            </w:r>
          </w:p>
        </w:tc>
        <w:tc>
          <w:tcPr>
            <w:tcW w:w="3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6,685.3</w:t>
            </w:r>
          </w:p>
        </w:tc>
        <w:tc>
          <w:tcPr>
            <w:tcW w:w="2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4,920.4</w:t>
            </w:r>
          </w:p>
        </w:tc>
        <w:tc>
          <w:tcPr>
            <w:tcW w:w="2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(3,013.2)</w:t>
            </w:r>
          </w:p>
        </w:tc>
        <w:tc>
          <w:tcPr>
            <w:tcW w:w="42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(6,523.6)</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530</w:t>
            </w: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(60.8)</w:t>
            </w: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84"/>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6,193.7</w:t>
            </w:r>
          </w:p>
        </w:tc>
        <w:tc>
          <w:tcPr>
            <w:tcW w:w="28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380" w:type="dxa"/>
            <w:vAlign w:val="bottom"/>
            <w:shd w:val="clear" w:color="auto" w:fill="D8D8D8"/>
          </w:tcPr>
          <w:p>
            <w:pPr>
              <w:spacing w:after="0"/>
              <w:rPr>
                <w:sz w:val="15"/>
                <w:szCs w:val="15"/>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126.6</w:t>
            </w:r>
          </w:p>
        </w:tc>
        <w:tc>
          <w:tcPr>
            <w:tcW w:w="0" w:type="dxa"/>
            <w:vAlign w:val="bottom"/>
          </w:tcPr>
          <w:p>
            <w:pPr>
              <w:spacing w:after="0"/>
              <w:rPr>
                <w:sz w:val="1"/>
                <w:szCs w:val="1"/>
                <w:color w:val="auto"/>
              </w:rPr>
            </w:pPr>
          </w:p>
        </w:tc>
      </w:tr>
      <w:tr>
        <w:trPr>
          <w:trHeight w:val="129"/>
        </w:trPr>
        <w:tc>
          <w:tcPr>
            <w:tcW w:w="2080" w:type="dxa"/>
            <w:vAlign w:val="bottom"/>
          </w:tcPr>
          <w:p>
            <w:pPr>
              <w:ind w:left="20"/>
              <w:spacing w:after="0" w:line="129"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vMerge w:val="restart"/>
          </w:tcPr>
          <w:p>
            <w:pPr>
              <w:jc w:val="right"/>
              <w:ind w:right="157"/>
              <w:spacing w:after="0"/>
              <w:rPr>
                <w:sz w:val="20"/>
                <w:szCs w:val="20"/>
                <w:color w:val="auto"/>
              </w:rPr>
            </w:pPr>
            <w:r>
              <w:rPr>
                <w:rFonts w:ascii="Arial" w:cs="Arial" w:eastAsia="Arial" w:hAnsi="Arial"/>
                <w:sz w:val="13"/>
                <w:szCs w:val="13"/>
                <w:color w:val="auto"/>
              </w:rPr>
              <w:t>27.2</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20"/>
              <w:spacing w:after="0"/>
              <w:rPr>
                <w:sz w:val="20"/>
                <w:szCs w:val="20"/>
                <w:color w:val="auto"/>
              </w:rPr>
            </w:pPr>
            <w:r>
              <w:rPr>
                <w:rFonts w:ascii="Arial" w:cs="Arial" w:eastAsia="Arial" w:hAnsi="Arial"/>
                <w:sz w:val="13"/>
                <w:szCs w:val="13"/>
                <w:color w:val="auto"/>
              </w:rPr>
              <w:t>tax</w:t>
            </w: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80" w:type="dxa"/>
            <w:vAlign w:val="bottom"/>
            <w:shd w:val="clear" w:color="auto" w:fill="D8D8D8"/>
          </w:tcPr>
          <w:p>
            <w:pPr>
              <w:ind w:left="20"/>
              <w:spacing w:after="0" w:line="137"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2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40" w:type="dxa"/>
            <w:vAlign w:val="bottom"/>
            <w:vMerge w:val="restart"/>
            <w:shd w:val="clear" w:color="auto" w:fill="D8D8D8"/>
          </w:tcPr>
          <w:p>
            <w:pPr>
              <w:jc w:val="right"/>
              <w:ind w:right="17"/>
              <w:spacing w:after="0"/>
              <w:rPr>
                <w:sz w:val="20"/>
                <w:szCs w:val="20"/>
                <w:color w:val="auto"/>
              </w:rPr>
            </w:pPr>
            <w:r>
              <w:rPr>
                <w:rFonts w:ascii="Arial" w:cs="Arial" w:eastAsia="Arial" w:hAnsi="Arial"/>
                <w:sz w:val="13"/>
                <w:szCs w:val="13"/>
                <w:color w:val="auto"/>
              </w:rPr>
              <w:t>(2,786.2)</w:t>
            </w:r>
          </w:p>
        </w:tc>
        <w:tc>
          <w:tcPr>
            <w:tcW w:w="28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94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$3.07</w:t>
            </w:r>
          </w:p>
        </w:tc>
        <w:tc>
          <w:tcPr>
            <w:tcW w:w="940" w:type="dxa"/>
            <w:vAlign w:val="bottom"/>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vMerge w:val="continue"/>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94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8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(3,627)</w:t>
            </w:r>
          </w:p>
        </w:tc>
        <w:tc>
          <w:tcPr>
            <w:tcW w:w="34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(497.7)</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(3,627)</w:t>
            </w:r>
          </w:p>
        </w:tc>
        <w:tc>
          <w:tcPr>
            <w:tcW w:w="28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500.0</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7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3,627</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(500.0)</w:t>
            </w:r>
          </w:p>
        </w:tc>
        <w:tc>
          <w:tcPr>
            <w:tcW w:w="38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80" w:type="dxa"/>
            <w:vAlign w:val="bottom"/>
          </w:tcPr>
          <w:p>
            <w:pPr>
              <w:ind w:left="20"/>
              <w:spacing w:after="0" w:line="129" w:lineRule="exact"/>
              <w:rPr>
                <w:sz w:val="20"/>
                <w:szCs w:val="20"/>
                <w:color w:val="auto"/>
              </w:rPr>
            </w:pPr>
            <w:r>
              <w:rPr>
                <w:rFonts w:ascii="Arial" w:cs="Arial" w:eastAsia="Arial" w:hAnsi="Arial"/>
                <w:sz w:val="13"/>
                <w:szCs w:val="13"/>
                <w:color w:val="auto"/>
              </w:rPr>
              <w:t>Issuance of stock under employee</w:t>
            </w:r>
          </w:p>
        </w:tc>
        <w:tc>
          <w:tcPr>
            <w:tcW w:w="940" w:type="dxa"/>
            <w:vAlign w:val="bottom"/>
            <w:vMerge w:val="restart"/>
          </w:tcPr>
          <w:p>
            <w:pPr>
              <w:jc w:val="right"/>
              <w:ind w:right="57"/>
              <w:spacing w:after="0"/>
              <w:rPr>
                <w:sz w:val="20"/>
                <w:szCs w:val="20"/>
                <w:color w:val="auto"/>
              </w:rPr>
            </w:pPr>
            <w:r>
              <w:rPr>
                <w:rFonts w:ascii="Arial" w:cs="Arial" w:eastAsia="Arial" w:hAnsi="Arial"/>
                <w:sz w:val="13"/>
                <w:szCs w:val="13"/>
                <w:color w:val="auto"/>
              </w:rPr>
              <w:t>2,648</w:t>
            </w:r>
          </w:p>
        </w:tc>
        <w:tc>
          <w:tcPr>
            <w:tcW w:w="340" w:type="dxa"/>
            <w:vAlign w:val="bottom"/>
          </w:tcPr>
          <w:p>
            <w:pPr>
              <w:spacing w:after="0"/>
              <w:rPr>
                <w:sz w:val="11"/>
                <w:szCs w:val="11"/>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1.7</w:t>
            </w:r>
          </w:p>
        </w:tc>
        <w:tc>
          <w:tcPr>
            <w:tcW w:w="300" w:type="dxa"/>
            <w:vAlign w:val="bottom"/>
          </w:tcPr>
          <w:p>
            <w:pPr>
              <w:spacing w:after="0"/>
              <w:rPr>
                <w:sz w:val="11"/>
                <w:szCs w:val="11"/>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(212.7)</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280" w:type="dxa"/>
            <w:vAlign w:val="bottom"/>
          </w:tcPr>
          <w:p>
            <w:pPr>
              <w:spacing w:after="0"/>
              <w:rPr>
                <w:sz w:val="11"/>
                <w:szCs w:val="11"/>
                <w:color w:val="auto"/>
              </w:rPr>
            </w:pP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5.1</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70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308.1</w:t>
            </w:r>
          </w:p>
        </w:tc>
        <w:tc>
          <w:tcPr>
            <w:tcW w:w="240" w:type="dxa"/>
            <w:vAlign w:val="bottom"/>
            <w:shd w:val="clear" w:color="auto" w:fill="D8D8D8"/>
          </w:tcPr>
          <w:p>
            <w:pPr>
              <w:spacing w:after="0"/>
              <w:rPr>
                <w:sz w:val="15"/>
                <w:szCs w:val="15"/>
                <w:color w:val="auto"/>
              </w:rPr>
            </w:pPr>
          </w:p>
        </w:tc>
        <w:tc>
          <w:tcPr>
            <w:tcW w:w="74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spacing w:after="0"/>
              <w:rPr>
                <w:sz w:val="15"/>
                <w:szCs w:val="15"/>
                <w:color w:val="auto"/>
              </w:rPr>
            </w:pPr>
          </w:p>
        </w:tc>
        <w:tc>
          <w:tcPr>
            <w:tcW w:w="38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D8D8D8"/>
            </w:tcBorders>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75"/>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Balance at December 31, 2020</w:t>
            </w:r>
          </w:p>
        </w:tc>
        <w:tc>
          <w:tcPr>
            <w:tcW w:w="9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957,077</w:t>
            </w:r>
          </w:p>
        </w:tc>
        <w:tc>
          <w:tcPr>
            <w:tcW w:w="340" w:type="dxa"/>
            <w:vAlign w:val="bottom"/>
            <w:shd w:val="clear" w:color="auto" w:fill="D8D8D8"/>
          </w:tcPr>
          <w:p>
            <w:pPr>
              <w:spacing w:after="0"/>
              <w:rPr>
                <w:sz w:val="15"/>
                <w:szCs w:val="15"/>
                <w:color w:val="auto"/>
              </w:rPr>
            </w:pPr>
          </w:p>
        </w:tc>
        <w:tc>
          <w:tcPr>
            <w:tcW w:w="62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598.2</w:t>
            </w:r>
          </w:p>
        </w:tc>
        <w:tc>
          <w:tcPr>
            <w:tcW w:w="300" w:type="dxa"/>
            <w:vAlign w:val="bottom"/>
            <w:shd w:val="clear" w:color="auto" w:fill="D8D8D8"/>
          </w:tcPr>
          <w:p>
            <w:pPr>
              <w:spacing w:after="0"/>
              <w:rPr>
                <w:sz w:val="15"/>
                <w:szCs w:val="15"/>
                <w:color w:val="auto"/>
              </w:rPr>
            </w:pPr>
          </w:p>
        </w:tc>
        <w:tc>
          <w:tcPr>
            <w:tcW w:w="70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6,778.5</w:t>
            </w:r>
          </w:p>
        </w:tc>
        <w:tc>
          <w:tcPr>
            <w:tcW w:w="24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57"/>
              <w:spacing w:after="0"/>
              <w:rPr>
                <w:sz w:val="20"/>
                <w:szCs w:val="20"/>
                <w:color w:val="auto"/>
              </w:rPr>
            </w:pPr>
            <w:r>
              <w:rPr>
                <w:rFonts w:ascii="Arial" w:cs="Arial" w:eastAsia="Arial" w:hAnsi="Arial"/>
                <w:sz w:val="13"/>
                <w:szCs w:val="13"/>
                <w:color w:val="auto"/>
              </w:rPr>
              <w:t>7,830.2</w:t>
            </w:r>
          </w:p>
        </w:tc>
        <w:tc>
          <w:tcPr>
            <w:tcW w:w="280" w:type="dxa"/>
            <w:vAlign w:val="bottom"/>
            <w:shd w:val="clear" w:color="auto" w:fill="D8D8D8"/>
          </w:tcPr>
          <w:p>
            <w:pPr>
              <w:spacing w:after="0"/>
              <w:rPr>
                <w:sz w:val="15"/>
                <w:szCs w:val="15"/>
                <w:color w:val="auto"/>
              </w:rPr>
            </w:pPr>
          </w:p>
        </w:tc>
        <w:tc>
          <w:tcPr>
            <w:tcW w:w="70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(3,013.2)</w:t>
            </w:r>
          </w:p>
        </w:tc>
        <w:tc>
          <w:tcPr>
            <w:tcW w:w="420" w:type="dxa"/>
            <w:vAlign w:val="bottom"/>
            <w:shd w:val="clear" w:color="auto" w:fill="D8D8D8"/>
          </w:tcPr>
          <w:p>
            <w:pPr>
              <w:spacing w:after="0"/>
              <w:rPr>
                <w:sz w:val="15"/>
                <w:szCs w:val="15"/>
                <w:color w:val="auto"/>
              </w:rPr>
            </w:pPr>
          </w:p>
        </w:tc>
        <w:tc>
          <w:tcPr>
            <w:tcW w:w="940" w:type="dxa"/>
            <w:vAlign w:val="bottom"/>
            <w:shd w:val="clear" w:color="auto" w:fill="D8D8D8"/>
          </w:tcPr>
          <w:p>
            <w:pPr>
              <w:jc w:val="right"/>
              <w:ind w:right="117"/>
              <w:spacing w:after="0"/>
              <w:rPr>
                <w:sz w:val="20"/>
                <w:szCs w:val="20"/>
                <w:color w:val="auto"/>
              </w:rPr>
            </w:pPr>
            <w:r>
              <w:rPr>
                <w:rFonts w:ascii="Arial" w:cs="Arial" w:eastAsia="Arial" w:hAnsi="Arial"/>
                <w:sz w:val="13"/>
                <w:szCs w:val="13"/>
                <w:color w:val="auto"/>
              </w:rPr>
              <w:t>(6,496.4)</w:t>
            </w:r>
          </w:p>
        </w:tc>
        <w:tc>
          <w:tcPr>
            <w:tcW w:w="780" w:type="dxa"/>
            <w:vAlign w:val="bottom"/>
            <w:shd w:val="clear" w:color="auto" w:fill="D8D8D8"/>
          </w:tcPr>
          <w:p>
            <w:pPr>
              <w:jc w:val="right"/>
              <w:ind w:right="37"/>
              <w:spacing w:after="0"/>
              <w:rPr>
                <w:sz w:val="20"/>
                <w:szCs w:val="20"/>
                <w:color w:val="auto"/>
              </w:rPr>
            </w:pPr>
            <w:r>
              <w:rPr>
                <w:rFonts w:ascii="Arial" w:cs="Arial" w:eastAsia="Arial" w:hAnsi="Arial"/>
                <w:sz w:val="13"/>
                <w:szCs w:val="13"/>
                <w:color w:val="auto"/>
              </w:rPr>
              <w:t>487</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(55.7)</w:t>
            </w:r>
          </w:p>
        </w:tc>
        <w:tc>
          <w:tcPr>
            <w:tcW w:w="380" w:type="dxa"/>
            <w:vAlign w:val="bottom"/>
            <w:shd w:val="clear" w:color="auto" w:fill="D8D8D8"/>
          </w:tcPr>
          <w:p>
            <w:pPr>
              <w:spacing w:after="0"/>
              <w:rPr>
                <w:sz w:val="15"/>
                <w:szCs w:val="15"/>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183.6</w:t>
            </w:r>
          </w:p>
        </w:tc>
        <w:tc>
          <w:tcPr>
            <w:tcW w:w="0" w:type="dxa"/>
            <w:vAlign w:val="bottom"/>
          </w:tcPr>
          <w:p>
            <w:pPr>
              <w:spacing w:after="0"/>
              <w:rPr>
                <w:sz w:val="1"/>
                <w:szCs w:val="1"/>
                <w:color w:val="auto"/>
              </w:rPr>
            </w:pPr>
          </w:p>
        </w:tc>
      </w:tr>
      <w:tr>
        <w:trPr>
          <w:trHeight w:val="172"/>
        </w:trPr>
        <w:tc>
          <w:tcPr>
            <w:tcW w:w="2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rPr>
              <w:t>5,581.7</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3.4</w:t>
            </w:r>
          </w:p>
        </w:tc>
        <w:tc>
          <w:tcPr>
            <w:tcW w:w="0" w:type="dxa"/>
            <w:vAlign w:val="bottom"/>
          </w:tcPr>
          <w:p>
            <w:pPr>
              <w:spacing w:after="0"/>
              <w:rPr>
                <w:sz w:val="1"/>
                <w:szCs w:val="1"/>
                <w:color w:val="auto"/>
              </w:rPr>
            </w:pPr>
          </w:p>
        </w:tc>
      </w:tr>
      <w:tr>
        <w:trPr>
          <w:trHeight w:val="133"/>
        </w:trPr>
        <w:tc>
          <w:tcPr>
            <w:tcW w:w="2080" w:type="dxa"/>
            <w:vAlign w:val="bottom"/>
            <w:shd w:val="clear" w:color="auto" w:fill="D8D8D8"/>
          </w:tcPr>
          <w:p>
            <w:pPr>
              <w:ind w:left="20"/>
              <w:spacing w:after="0" w:line="133" w:lineRule="exact"/>
              <w:rPr>
                <w:sz w:val="20"/>
                <w:szCs w:val="20"/>
                <w:color w:val="auto"/>
              </w:rPr>
            </w:pPr>
            <w:r>
              <w:rPr>
                <w:rFonts w:ascii="Arial" w:cs="Arial" w:eastAsia="Arial" w:hAnsi="Arial"/>
                <w:sz w:val="13"/>
                <w:szCs w:val="13"/>
                <w:color w:val="auto"/>
                <w:w w:val="97"/>
              </w:rPr>
              <w:t>Other comprehensive income, net of</w:t>
            </w:r>
          </w:p>
        </w:tc>
        <w:tc>
          <w:tcPr>
            <w:tcW w:w="94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62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74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940" w:type="dxa"/>
            <w:vAlign w:val="bottom"/>
            <w:vMerge w:val="restart"/>
            <w:shd w:val="clear" w:color="auto" w:fill="D8D8D8"/>
          </w:tcPr>
          <w:p>
            <w:pPr>
              <w:jc w:val="right"/>
              <w:ind w:right="157"/>
              <w:spacing w:after="0"/>
              <w:rPr>
                <w:sz w:val="20"/>
                <w:szCs w:val="20"/>
                <w:color w:val="auto"/>
              </w:rPr>
            </w:pPr>
            <w:r>
              <w:rPr>
                <w:rFonts w:ascii="Arial" w:cs="Arial" w:eastAsia="Arial" w:hAnsi="Arial"/>
                <w:sz w:val="13"/>
                <w:szCs w:val="13"/>
                <w:b w:val="1"/>
                <w:bCs w:val="1"/>
                <w:color w:val="auto"/>
              </w:rPr>
              <w:t>2,153.3</w:t>
            </w:r>
          </w:p>
        </w:tc>
        <w:tc>
          <w:tcPr>
            <w:tcW w:w="78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20" w:type="dxa"/>
            <w:vAlign w:val="bottom"/>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tax</w:t>
            </w:r>
          </w:p>
        </w:tc>
        <w:tc>
          <w:tcPr>
            <w:tcW w:w="940" w:type="dxa"/>
            <w:vAlign w:val="bottom"/>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940" w:type="dxa"/>
            <w:vAlign w:val="bottom"/>
            <w:vMerge w:val="continue"/>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80" w:type="dxa"/>
            <w:vAlign w:val="bottom"/>
          </w:tcPr>
          <w:p>
            <w:pPr>
              <w:ind w:left="20"/>
              <w:spacing w:after="0" w:line="129" w:lineRule="exact"/>
              <w:rPr>
                <w:sz w:val="20"/>
                <w:szCs w:val="20"/>
                <w:color w:val="auto"/>
              </w:rPr>
            </w:pPr>
            <w:r>
              <w:rPr>
                <w:rFonts w:ascii="Arial" w:cs="Arial" w:eastAsia="Arial" w:hAnsi="Arial"/>
                <w:sz w:val="13"/>
                <w:szCs w:val="13"/>
                <w:color w:val="auto"/>
                <w:w w:val="99"/>
              </w:rPr>
              <w:t>Cash dividends declared per share: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(3,201.7)</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20"/>
              <w:spacing w:after="0"/>
              <w:rPr>
                <w:sz w:val="20"/>
                <w:szCs w:val="20"/>
                <w:color w:val="auto"/>
              </w:rPr>
            </w:pPr>
            <w:r>
              <w:rPr>
                <w:rFonts w:ascii="Arial" w:cs="Arial" w:eastAsia="Arial" w:hAnsi="Arial"/>
                <w:sz w:val="13"/>
                <w:szCs w:val="13"/>
                <w:color w:val="auto"/>
              </w:rPr>
              <w:t>$3.53</w:t>
            </w: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Retirement of treasury shares</w:t>
            </w:r>
          </w:p>
        </w:tc>
        <w:tc>
          <w:tcPr>
            <w:tcW w:w="94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(5,412)</w:t>
            </w:r>
          </w:p>
        </w:tc>
        <w:tc>
          <w:tcPr>
            <w:tcW w:w="340" w:type="dxa"/>
            <w:vAlign w:val="bottom"/>
            <w:shd w:val="clear" w:color="auto" w:fill="D8D8D8"/>
          </w:tcPr>
          <w:p>
            <w:pPr>
              <w:spacing w:after="0"/>
              <w:rPr>
                <w:sz w:val="15"/>
                <w:szCs w:val="15"/>
                <w:color w:val="auto"/>
              </w:rPr>
            </w:pPr>
          </w:p>
        </w:tc>
        <w:tc>
          <w:tcPr>
            <w:tcW w:w="62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(3.4)</w:t>
            </w:r>
          </w:p>
        </w:tc>
        <w:tc>
          <w:tcPr>
            <w:tcW w:w="30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(1,246.6)</w:t>
            </w:r>
          </w:p>
        </w:tc>
        <w:tc>
          <w:tcPr>
            <w:tcW w:w="280" w:type="dxa"/>
            <w:vAlign w:val="bottom"/>
            <w:shd w:val="clear" w:color="auto" w:fill="D8D8D8"/>
          </w:tcPr>
          <w:p>
            <w:pPr>
              <w:spacing w:after="0"/>
              <w:rPr>
                <w:sz w:val="15"/>
                <w:szCs w:val="15"/>
                <w:color w:val="auto"/>
              </w:rPr>
            </w:pPr>
          </w:p>
        </w:tc>
        <w:tc>
          <w:tcPr>
            <w:tcW w:w="700" w:type="dxa"/>
            <w:vAlign w:val="bottom"/>
            <w:shd w:val="clear" w:color="auto" w:fill="D8D8D8"/>
          </w:tcPr>
          <w:p>
            <w:pPr>
              <w:spacing w:after="0"/>
              <w:rPr>
                <w:sz w:val="15"/>
                <w:szCs w:val="15"/>
                <w:color w:val="auto"/>
              </w:rPr>
            </w:pPr>
          </w:p>
        </w:tc>
        <w:tc>
          <w:tcPr>
            <w:tcW w:w="42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b w:val="1"/>
                <w:bCs w:val="1"/>
                <w:color w:val="auto"/>
              </w:rPr>
              <w:t>(5,412)</w:t>
            </w:r>
          </w:p>
        </w:tc>
        <w:tc>
          <w:tcPr>
            <w:tcW w:w="28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1,250.0</w:t>
            </w:r>
          </w:p>
        </w:tc>
        <w:tc>
          <w:tcPr>
            <w:tcW w:w="380" w:type="dxa"/>
            <w:vAlign w:val="bottom"/>
            <w:shd w:val="clear" w:color="auto" w:fill="D8D8D8"/>
          </w:tcPr>
          <w:p>
            <w:pPr>
              <w:spacing w:after="0"/>
              <w:rPr>
                <w:sz w:val="15"/>
                <w:szCs w:val="15"/>
                <w:color w:val="auto"/>
              </w:rPr>
            </w:pPr>
          </w:p>
        </w:tc>
        <w:tc>
          <w:tcPr>
            <w:tcW w:w="7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8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5,412</w:t>
            </w:r>
          </w:p>
        </w:tc>
        <w:tc>
          <w:tcPr>
            <w:tcW w:w="28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(1,250.0)</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80" w:type="dxa"/>
            <w:vAlign w:val="bottom"/>
            <w:shd w:val="clear" w:color="auto" w:fill="D8D8D8"/>
          </w:tcPr>
          <w:p>
            <w:pPr>
              <w:ind w:left="20"/>
              <w:spacing w:after="0" w:line="133" w:lineRule="exact"/>
              <w:rPr>
                <w:sz w:val="20"/>
                <w:szCs w:val="20"/>
                <w:color w:val="auto"/>
              </w:rPr>
            </w:pPr>
            <w:r>
              <w:rPr>
                <w:rFonts w:ascii="Arial" w:cs="Arial" w:eastAsia="Arial" w:hAnsi="Arial"/>
                <w:sz w:val="13"/>
                <w:szCs w:val="13"/>
                <w:color w:val="auto"/>
              </w:rPr>
              <w:t>Issuance of stock under employee</w:t>
            </w:r>
          </w:p>
        </w:tc>
        <w:tc>
          <w:tcPr>
            <w:tcW w:w="94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2,451</w:t>
            </w:r>
          </w:p>
        </w:tc>
        <w:tc>
          <w:tcPr>
            <w:tcW w:w="340" w:type="dxa"/>
            <w:vAlign w:val="bottom"/>
            <w:shd w:val="clear" w:color="auto" w:fill="D8D8D8"/>
          </w:tcPr>
          <w:p>
            <w:pPr>
              <w:spacing w:after="0"/>
              <w:rPr>
                <w:sz w:val="11"/>
                <w:szCs w:val="11"/>
                <w:color w:val="auto"/>
              </w:rPr>
            </w:pPr>
          </w:p>
        </w:tc>
        <w:tc>
          <w:tcPr>
            <w:tcW w:w="620" w:type="dxa"/>
            <w:vAlign w:val="bottom"/>
            <w:vMerge w:val="restart"/>
            <w:shd w:val="clear" w:color="auto" w:fill="D8D8D8"/>
          </w:tcPr>
          <w:p>
            <w:pPr>
              <w:jc w:val="right"/>
              <w:ind w:right="37"/>
              <w:spacing w:after="0"/>
              <w:rPr>
                <w:sz w:val="20"/>
                <w:szCs w:val="20"/>
                <w:color w:val="auto"/>
              </w:rPr>
            </w:pPr>
            <w:r>
              <w:rPr>
                <w:rFonts w:ascii="Arial" w:cs="Arial" w:eastAsia="Arial" w:hAnsi="Arial"/>
                <w:sz w:val="13"/>
                <w:szCs w:val="13"/>
                <w:b w:val="1"/>
                <w:bCs w:val="1"/>
                <w:color w:val="auto"/>
              </w:rPr>
              <w:t>1.5</w:t>
            </w:r>
          </w:p>
        </w:tc>
        <w:tc>
          <w:tcPr>
            <w:tcW w:w="300" w:type="dxa"/>
            <w:vAlign w:val="bottom"/>
            <w:shd w:val="clear" w:color="auto" w:fill="D8D8D8"/>
          </w:tcPr>
          <w:p>
            <w:pPr>
              <w:spacing w:after="0"/>
              <w:rPr>
                <w:sz w:val="11"/>
                <w:szCs w:val="11"/>
                <w:color w:val="auto"/>
              </w:rPr>
            </w:pPr>
          </w:p>
        </w:tc>
        <w:tc>
          <w:tcPr>
            <w:tcW w:w="700" w:type="dxa"/>
            <w:vAlign w:val="bottom"/>
            <w:vMerge w:val="restart"/>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(287.9)</w:t>
            </w:r>
          </w:p>
        </w:tc>
        <w:tc>
          <w:tcPr>
            <w:tcW w:w="240" w:type="dxa"/>
            <w:vAlign w:val="bottom"/>
            <w:shd w:val="clear" w:color="auto" w:fill="D8D8D8"/>
          </w:tcPr>
          <w:p>
            <w:pPr>
              <w:spacing w:after="0"/>
              <w:rPr>
                <w:sz w:val="11"/>
                <w:szCs w:val="11"/>
                <w:color w:val="auto"/>
              </w:rPr>
            </w:pPr>
          </w:p>
        </w:tc>
        <w:tc>
          <w:tcPr>
            <w:tcW w:w="74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700" w:type="dxa"/>
            <w:vAlign w:val="bottom"/>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940" w:type="dxa"/>
            <w:vAlign w:val="bottom"/>
            <w:shd w:val="clear" w:color="auto" w:fill="D8D8D8"/>
          </w:tcPr>
          <w:p>
            <w:pPr>
              <w:spacing w:after="0"/>
              <w:rPr>
                <w:sz w:val="11"/>
                <w:szCs w:val="11"/>
                <w:color w:val="auto"/>
              </w:rPr>
            </w:pPr>
          </w:p>
        </w:tc>
        <w:tc>
          <w:tcPr>
            <w:tcW w:w="780" w:type="dxa"/>
            <w:vAlign w:val="bottom"/>
            <w:vMerge w:val="restart"/>
            <w:shd w:val="clear" w:color="auto" w:fill="D8D8D8"/>
          </w:tcPr>
          <w:p>
            <w:pPr>
              <w:jc w:val="right"/>
              <w:spacing w:after="0"/>
              <w:rPr>
                <w:sz w:val="20"/>
                <w:szCs w:val="20"/>
                <w:color w:val="auto"/>
              </w:rPr>
            </w:pPr>
            <w:r>
              <w:rPr>
                <w:rFonts w:ascii="Arial" w:cs="Arial" w:eastAsia="Arial" w:hAnsi="Arial"/>
                <w:sz w:val="13"/>
                <w:szCs w:val="13"/>
                <w:b w:val="1"/>
                <w:bCs w:val="1"/>
                <w:color w:val="auto"/>
              </w:rPr>
              <w:t>(24)</w:t>
            </w:r>
          </w:p>
        </w:tc>
        <w:tc>
          <w:tcPr>
            <w:tcW w:w="280" w:type="dxa"/>
            <w:vAlign w:val="bottom"/>
            <w:shd w:val="clear" w:color="auto" w:fill="D8D8D8"/>
          </w:tcPr>
          <w:p>
            <w:pPr>
              <w:spacing w:after="0"/>
              <w:rPr>
                <w:sz w:val="11"/>
                <w:szCs w:val="11"/>
                <w:color w:val="auto"/>
              </w:rPr>
            </w:pPr>
          </w:p>
        </w:tc>
        <w:tc>
          <w:tcPr>
            <w:tcW w:w="720" w:type="dxa"/>
            <w:vAlign w:val="bottom"/>
            <w:vMerge w:val="restart"/>
            <w:shd w:val="clear" w:color="auto" w:fill="D8D8D8"/>
          </w:tcPr>
          <w:p>
            <w:pPr>
              <w:jc w:val="right"/>
              <w:ind w:right="57"/>
              <w:spacing w:after="0"/>
              <w:rPr>
                <w:sz w:val="20"/>
                <w:szCs w:val="20"/>
                <w:color w:val="auto"/>
              </w:rPr>
            </w:pPr>
            <w:r>
              <w:rPr>
                <w:rFonts w:ascii="Arial" w:cs="Arial" w:eastAsia="Arial" w:hAnsi="Arial"/>
                <w:sz w:val="13"/>
                <w:szCs w:val="13"/>
                <w:b w:val="1"/>
                <w:bCs w:val="1"/>
                <w:color w:val="auto"/>
              </w:rPr>
              <w:t>3.0</w:t>
            </w:r>
          </w:p>
        </w:tc>
        <w:tc>
          <w:tcPr>
            <w:tcW w:w="380" w:type="dxa"/>
            <w:vAlign w:val="bottom"/>
            <w:shd w:val="clear" w:color="auto" w:fill="D8D8D8"/>
          </w:tcPr>
          <w:p>
            <w:pPr>
              <w:spacing w:after="0"/>
              <w:rPr>
                <w:sz w:val="11"/>
                <w:szCs w:val="11"/>
                <w:color w:val="auto"/>
              </w:rPr>
            </w:pPr>
          </w:p>
        </w:tc>
        <w:tc>
          <w:tcPr>
            <w:tcW w:w="78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stock plans, net</w:t>
            </w:r>
          </w:p>
        </w:tc>
        <w:tc>
          <w:tcPr>
            <w:tcW w:w="940" w:type="dxa"/>
            <w:vAlign w:val="bottom"/>
            <w:vMerge w:val="continue"/>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620" w:type="dxa"/>
            <w:vAlign w:val="bottom"/>
            <w:vMerge w:val="continue"/>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700" w:type="dxa"/>
            <w:vAlign w:val="bottom"/>
            <w:vMerge w:val="continue"/>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420" w:type="dxa"/>
            <w:vAlign w:val="bottom"/>
            <w:shd w:val="clear" w:color="auto" w:fill="D8D8D8"/>
          </w:tcPr>
          <w:p>
            <w:pPr>
              <w:spacing w:after="0"/>
              <w:rPr>
                <w:sz w:val="14"/>
                <w:szCs w:val="14"/>
                <w:color w:val="auto"/>
              </w:rPr>
            </w:pPr>
          </w:p>
        </w:tc>
        <w:tc>
          <w:tcPr>
            <w:tcW w:w="940" w:type="dxa"/>
            <w:vAlign w:val="bottom"/>
            <w:shd w:val="clear" w:color="auto" w:fill="D8D8D8"/>
          </w:tcPr>
          <w:p>
            <w:pPr>
              <w:spacing w:after="0"/>
              <w:rPr>
                <w:sz w:val="14"/>
                <w:szCs w:val="14"/>
                <w:color w:val="auto"/>
              </w:rPr>
            </w:pPr>
          </w:p>
        </w:tc>
        <w:tc>
          <w:tcPr>
            <w:tcW w:w="780" w:type="dxa"/>
            <w:vAlign w:val="bottom"/>
            <w:vMerge w:val="continue"/>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720" w:type="dxa"/>
            <w:vAlign w:val="bottom"/>
            <w:vMerge w:val="continue"/>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342.8</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D8D8D8"/>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shd w:val="clear" w:color="auto" w:fill="D8D8D8"/>
          </w:tcPr>
          <w:p>
            <w:pPr>
              <w:spacing w:after="0"/>
              <w:rPr>
                <w:sz w:val="15"/>
                <w:szCs w:val="15"/>
                <w:color w:val="auto"/>
              </w:rPr>
            </w:pPr>
          </w:p>
        </w:tc>
        <w:tc>
          <w:tcPr>
            <w:tcW w:w="340" w:type="dxa"/>
            <w:vAlign w:val="bottom"/>
            <w:tcBorders>
              <w:bottom w:val="single" w:sz="8" w:color="auto"/>
            </w:tcBorders>
            <w:shd w:val="clear" w:color="auto" w:fill="D8D8D8"/>
          </w:tcPr>
          <w:p>
            <w:pPr>
              <w:spacing w:after="0"/>
              <w:rPr>
                <w:sz w:val="15"/>
                <w:szCs w:val="15"/>
                <w:color w:val="auto"/>
              </w:rPr>
            </w:pPr>
          </w:p>
        </w:tc>
        <w:tc>
          <w:tcPr>
            <w:tcW w:w="620" w:type="dxa"/>
            <w:vAlign w:val="bottom"/>
            <w:tcBorders>
              <w:bottom w:val="single" w:sz="8" w:color="auto"/>
            </w:tcBorders>
            <w:shd w:val="clear" w:color="auto" w:fill="D8D8D8"/>
          </w:tcPr>
          <w:p>
            <w:pPr>
              <w:spacing w:after="0"/>
              <w:rPr>
                <w:sz w:val="15"/>
                <w:szCs w:val="15"/>
                <w:color w:val="auto"/>
              </w:rPr>
            </w:pPr>
          </w:p>
        </w:tc>
        <w:tc>
          <w:tcPr>
            <w:tcW w:w="30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240" w:type="dxa"/>
            <w:vAlign w:val="bottom"/>
            <w:tcBorders>
              <w:bottom w:val="single" w:sz="8" w:color="auto"/>
            </w:tcBorders>
            <w:shd w:val="clear" w:color="auto" w:fill="D8D8D8"/>
          </w:tcPr>
          <w:p>
            <w:pPr>
              <w:spacing w:after="0"/>
              <w:rPr>
                <w:sz w:val="15"/>
                <w:szCs w:val="15"/>
                <w:color w:val="auto"/>
              </w:rPr>
            </w:pPr>
          </w:p>
        </w:tc>
        <w:tc>
          <w:tcPr>
            <w:tcW w:w="7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b w:val="1"/>
                <w:bCs w:val="1"/>
                <w:color w:val="auto"/>
              </w:rPr>
              <w:t>(5.1)</w:t>
            </w:r>
          </w:p>
        </w:tc>
        <w:tc>
          <w:tcPr>
            <w:tcW w:w="280" w:type="dxa"/>
            <w:vAlign w:val="bottom"/>
            <w:tcBorders>
              <w:bottom w:val="single" w:sz="8" w:color="auto"/>
            </w:tcBorders>
            <w:shd w:val="clear" w:color="auto" w:fill="D8D8D8"/>
          </w:tcPr>
          <w:p>
            <w:pPr>
              <w:spacing w:after="0"/>
              <w:rPr>
                <w:sz w:val="15"/>
                <w:szCs w:val="15"/>
                <w:color w:val="auto"/>
              </w:rPr>
            </w:pPr>
          </w:p>
        </w:tc>
        <w:tc>
          <w:tcPr>
            <w:tcW w:w="700" w:type="dxa"/>
            <w:vAlign w:val="bottom"/>
            <w:tcBorders>
              <w:bottom w:val="single" w:sz="8" w:color="auto"/>
            </w:tcBorders>
            <w:shd w:val="clear" w:color="auto" w:fill="D8D8D8"/>
          </w:tcPr>
          <w:p>
            <w:pPr>
              <w:spacing w:after="0"/>
              <w:rPr>
                <w:sz w:val="15"/>
                <w:szCs w:val="15"/>
                <w:color w:val="auto"/>
              </w:rPr>
            </w:pPr>
          </w:p>
        </w:tc>
        <w:tc>
          <w:tcPr>
            <w:tcW w:w="420" w:type="dxa"/>
            <w:vAlign w:val="bottom"/>
            <w:tcBorders>
              <w:bottom w:val="single" w:sz="8" w:color="auto"/>
            </w:tcBorders>
            <w:shd w:val="clear" w:color="auto" w:fill="D8D8D8"/>
          </w:tcPr>
          <w:p>
            <w:pPr>
              <w:spacing w:after="0"/>
              <w:rPr>
                <w:sz w:val="15"/>
                <w:szCs w:val="15"/>
                <w:color w:val="auto"/>
              </w:rPr>
            </w:pPr>
          </w:p>
        </w:tc>
        <w:tc>
          <w:tcPr>
            <w:tcW w:w="940" w:type="dxa"/>
            <w:vAlign w:val="bottom"/>
            <w:tcBorders>
              <w:bottom w:val="single" w:sz="8" w:color="auto"/>
            </w:tcBorders>
            <w:shd w:val="clear" w:color="auto" w:fill="D8D8D8"/>
          </w:tcPr>
          <w:p>
            <w:pPr>
              <w:spacing w:after="0"/>
              <w:rPr>
                <w:sz w:val="15"/>
                <w:szCs w:val="15"/>
                <w:color w:val="auto"/>
              </w:rPr>
            </w:pPr>
          </w:p>
        </w:tc>
        <w:tc>
          <w:tcPr>
            <w:tcW w:w="780" w:type="dxa"/>
            <w:vAlign w:val="bottom"/>
            <w:tcBorders>
              <w:bottom w:val="single" w:sz="8" w:color="auto"/>
            </w:tcBorders>
            <w:shd w:val="clear" w:color="auto" w:fill="D8D8D8"/>
          </w:tcPr>
          <w:p>
            <w:pPr>
              <w:spacing w:after="0"/>
              <w:rPr>
                <w:sz w:val="15"/>
                <w:szCs w:val="15"/>
                <w:color w:val="auto"/>
              </w:rPr>
            </w:pPr>
          </w:p>
        </w:tc>
        <w:tc>
          <w:tcPr>
            <w:tcW w:w="280" w:type="dxa"/>
            <w:vAlign w:val="bottom"/>
            <w:tcBorders>
              <w:bottom w:val="single" w:sz="8" w:color="auto"/>
            </w:tcBorders>
            <w:shd w:val="clear" w:color="auto" w:fill="D8D8D8"/>
          </w:tcPr>
          <w:p>
            <w:pPr>
              <w:spacing w:after="0"/>
              <w:rPr>
                <w:sz w:val="15"/>
                <w:szCs w:val="15"/>
                <w:color w:val="auto"/>
              </w:rPr>
            </w:pPr>
          </w:p>
        </w:tc>
        <w:tc>
          <w:tcPr>
            <w:tcW w:w="720" w:type="dxa"/>
            <w:vAlign w:val="bottom"/>
            <w:tcBorders>
              <w:bottom w:val="single" w:sz="8" w:color="auto"/>
            </w:tcBorders>
            <w:shd w:val="clear" w:color="auto" w:fill="D8D8D8"/>
          </w:tcPr>
          <w:p>
            <w:pPr>
              <w:spacing w:after="0"/>
              <w:rPr>
                <w:sz w:val="15"/>
                <w:szCs w:val="15"/>
                <w:color w:val="auto"/>
              </w:rPr>
            </w:pPr>
          </w:p>
        </w:tc>
        <w:tc>
          <w:tcPr>
            <w:tcW w:w="380" w:type="dxa"/>
            <w:vAlign w:val="bottom"/>
            <w:tcBorders>
              <w:bottom w:val="single" w:sz="8" w:color="auto"/>
            </w:tcBorders>
            <w:shd w:val="clear" w:color="auto" w:fill="D8D8D8"/>
          </w:tcPr>
          <w:p>
            <w:pPr>
              <w:spacing w:after="0"/>
              <w:rPr>
                <w:sz w:val="15"/>
                <w:szCs w:val="15"/>
                <w:color w:val="auto"/>
              </w:rPr>
            </w:pPr>
          </w:p>
        </w:tc>
        <w:tc>
          <w:tcPr>
            <w:tcW w:w="7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b w:val="1"/>
                <w:bCs w:val="1"/>
                <w:color w:val="auto"/>
              </w:rPr>
              <w:t>(11.4)</w:t>
            </w:r>
          </w:p>
        </w:tc>
        <w:tc>
          <w:tcPr>
            <w:tcW w:w="0" w:type="dxa"/>
            <w:vAlign w:val="bottom"/>
          </w:tcPr>
          <w:p>
            <w:pPr>
              <w:spacing w:after="0"/>
              <w:rPr>
                <w:sz w:val="1"/>
                <w:szCs w:val="1"/>
                <w:color w:val="auto"/>
              </w:rPr>
            </w:pPr>
          </w:p>
        </w:tc>
      </w:tr>
      <w:tr>
        <w:trPr>
          <w:trHeight w:val="180"/>
        </w:trPr>
        <w:tc>
          <w:tcPr>
            <w:tcW w:w="208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954,116</w:t>
            </w:r>
          </w:p>
        </w:tc>
        <w:tc>
          <w:tcPr>
            <w:tcW w:w="3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596.3</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6,833.4</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8,958.5</w:t>
            </w: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(4,343.1)</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463</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(52.7)</w:t>
            </w: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175.6</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32"/>
          <w:szCs w:val="32"/>
          <w:i w:val="1"/>
          <w:iCs w:val="1"/>
          <w:color w:val="auto"/>
        </w:rPr>
        <w:t>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ELI LILLY AND COMPANY AND SUBSIDIARIES</w:t>
            </w:r>
          </w:p>
        </w:tc>
        <w:tc>
          <w:tcPr>
            <w:tcW w:w="2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020" w:type="dxa"/>
            <w:vAlign w:val="bottom"/>
            <w:vMerge w:val="restart"/>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5,581.7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6,193.7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8,318.4</w:t>
            </w: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DBDBDB"/>
          </w:tcPr>
          <w:p>
            <w:pPr>
              <w:ind w:left="1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Gain related to disposition of Elanco (Note 19)</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(3,680.5)</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Gain on sale of antibiotic business in China (Note 3)</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1,547.6</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1,323.9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1,232.6</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Debt extinguishment loss (Note 11)</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405.2</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Change in deferred income taxes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(802.3)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Stock-based compensation expense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342.8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308.1</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Net investment gains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(178.0)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(1,438.5)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Acquired in-process research and development (Note 3)</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874.9</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660.4</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Other non-cash operating activities, net</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511.4</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333.9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188"/>
        </w:trPr>
        <w:tc>
          <w:tcPr>
            <w:tcW w:w="7120" w:type="dxa"/>
            <w:vAlign w:val="bottom"/>
            <w:gridSpan w:val="2"/>
            <w:shd w:val="clear" w:color="auto" w:fill="DBDBDB"/>
          </w:tcPr>
          <w:p>
            <w:pPr>
              <w:ind w:left="360"/>
              <w:spacing w:after="0" w:line="189" w:lineRule="exact"/>
              <w:rPr>
                <w:sz w:val="20"/>
                <w:szCs w:val="20"/>
                <w:color w:val="auto"/>
              </w:rPr>
            </w:pPr>
            <w:r>
              <w:rPr>
                <w:rFonts w:ascii="Arial" w:cs="Arial" w:eastAsia="Arial" w:hAnsi="Arial"/>
                <w:sz w:val="18"/>
                <w:szCs w:val="18"/>
                <w:color w:val="auto"/>
              </w:rPr>
              <w:t>Other changes in operating assets and liabilities, net of acquisitions and</w:t>
            </w:r>
          </w:p>
        </w:tc>
        <w:tc>
          <w:tcPr>
            <w:tcW w:w="3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divestitures:</w:t>
            </w:r>
          </w:p>
        </w:tc>
        <w:tc>
          <w:tcPr>
            <w:tcW w:w="22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Receivables—(increase) decrease</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(1,278.3)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(1,350.2)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480"/>
              <w:spacing w:after="0"/>
              <w:rPr>
                <w:sz w:val="20"/>
                <w:szCs w:val="20"/>
                <w:color w:val="auto"/>
              </w:rPr>
            </w:pPr>
            <w:r>
              <w:rPr>
                <w:rFonts w:ascii="Arial" w:cs="Arial" w:eastAsia="Arial" w:hAnsi="Arial"/>
                <w:sz w:val="18"/>
                <w:szCs w:val="18"/>
                <w:color w:val="auto"/>
              </w:rPr>
              <w:t>Inventories—(increase) decrease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(235.9)</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(533.4)</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9"/>
        </w:trPr>
        <w:tc>
          <w:tcPr>
            <w:tcW w:w="4900" w:type="dxa"/>
            <w:vAlign w:val="bottom"/>
          </w:tcPr>
          <w:p>
            <w:pPr>
              <w:ind w:left="480"/>
              <w:spacing w:after="0"/>
              <w:rPr>
                <w:sz w:val="20"/>
                <w:szCs w:val="20"/>
                <w:color w:val="auto"/>
              </w:rPr>
            </w:pPr>
            <w:r>
              <w:rPr>
                <w:rFonts w:ascii="Arial" w:cs="Arial" w:eastAsia="Arial" w:hAnsi="Arial"/>
                <w:sz w:val="18"/>
                <w:szCs w:val="18"/>
                <w:color w:val="auto"/>
              </w:rPr>
              <w:t>Other assets—(increase) decrease</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1,515.4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480"/>
              <w:spacing w:after="0"/>
              <w:rPr>
                <w:sz w:val="20"/>
                <w:szCs w:val="20"/>
                <w:color w:val="auto"/>
              </w:rPr>
            </w:pPr>
            <w:r>
              <w:rPr>
                <w:rFonts w:ascii="Arial" w:cs="Arial" w:eastAsia="Arial" w:hAnsi="Arial"/>
                <w:sz w:val="18"/>
                <w:szCs w:val="18"/>
                <w:color w:val="auto"/>
              </w:rPr>
              <w:t>Income taxes payable—increase (decrease)</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(359.7)</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322.0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DBDBDB"/>
            </w:tcBorders>
            <w:gridSpan w:val="2"/>
          </w:tcPr>
          <w:p>
            <w:pPr>
              <w:ind w:left="480"/>
              <w:spacing w:after="0"/>
              <w:rPr>
                <w:sz w:val="20"/>
                <w:szCs w:val="20"/>
                <w:color w:val="auto"/>
              </w:rPr>
            </w:pPr>
            <w:r>
              <w:rPr>
                <w:rFonts w:ascii="Arial" w:cs="Arial" w:eastAsia="Arial" w:hAnsi="Arial"/>
                <w:sz w:val="18"/>
                <w:szCs w:val="18"/>
                <w:color w:val="auto"/>
              </w:rPr>
              <w:t>Accounts payable and other liabilities—increase (decrease)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1,271.3</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7,260.7</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6,499.6</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4,836.6</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property and equipment</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(1,309.8)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(1,387.9)</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(1,033.9)</w:t>
            </w:r>
          </w:p>
        </w:tc>
        <w:tc>
          <w:tcPr>
            <w:tcW w:w="0" w:type="dxa"/>
            <w:vAlign w:val="bottom"/>
          </w:tcPr>
          <w:p>
            <w:pPr>
              <w:spacing w:after="0"/>
              <w:rPr>
                <w:sz w:val="1"/>
                <w:szCs w:val="1"/>
                <w:color w:val="auto"/>
              </w:rPr>
            </w:pPr>
          </w:p>
        </w:tc>
      </w:tr>
      <w:tr>
        <w:trPr>
          <w:trHeight w:val="230"/>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Proceeds from sales and maturities of short-term investments</w:t>
            </w: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47.4</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short-term investments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(83.5)</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Proceeds from sales of noncurrent investments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800.0</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757.1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noncurrent investments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(929.9)</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(358.7)</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Purchases of in-process research and development</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(563.4)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Cash paid for acquisitions, net of cash acquired (Note 3)</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(747.4)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(849.3)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(6,917.7)</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Cash distributed to Elanco upon disposition</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Cash received for sale of antibiotic business in China</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Other investing activities, net</w:t>
            </w:r>
          </w:p>
        </w:tc>
        <w:tc>
          <w:tcPr>
            <w:tcW w:w="22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(2,762.3)</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(2,258.9)</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(8,082.9)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Dividends paid</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(3,086.8)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(2,687.1)</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Net change in short-term borrowings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2,410.8</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2,062.3</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6,556.4</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(1,905.4)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(2,866.4)</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Purchases of common stock</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(1,250.0)</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Other financing activities, net</w:t>
            </w:r>
          </w:p>
        </w:tc>
        <w:tc>
          <w:tcPr>
            <w:tcW w:w="22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Cash Used for Financing Activities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(4,131.3)</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(3,137.1)</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(2,324.5)</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(205.7)</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216.0</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3"/>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161.4</w:t>
            </w:r>
          </w:p>
        </w:tc>
        <w:tc>
          <w:tcPr>
            <w:tcW w:w="3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1,319.6</w:t>
            </w:r>
          </w:p>
        </w:tc>
        <w:tc>
          <w:tcPr>
            <w:tcW w:w="3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(5,660.7)</w:t>
            </w:r>
          </w:p>
        </w:tc>
        <w:tc>
          <w:tcPr>
            <w:tcW w:w="0" w:type="dxa"/>
            <w:vAlign w:val="bottom"/>
          </w:tcPr>
          <w:p>
            <w:pPr>
              <w:spacing w:after="0"/>
              <w:rPr>
                <w:sz w:val="1"/>
                <w:szCs w:val="1"/>
                <w:color w:val="auto"/>
              </w:rPr>
            </w:pPr>
          </w:p>
        </w:tc>
      </w:tr>
      <w:tr>
        <w:trPr>
          <w:trHeight w:val="188"/>
        </w:trPr>
        <w:tc>
          <w:tcPr>
            <w:tcW w:w="7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Cash and cash equivalents at beginning of year (2019 includes $677.5 of discontinued</w:t>
            </w:r>
          </w:p>
        </w:tc>
        <w:tc>
          <w:tcPr>
            <w:tcW w:w="300" w:type="dxa"/>
            <w:vAlign w:val="bottom"/>
          </w:tcPr>
          <w:p>
            <w:pPr>
              <w:spacing w:after="0"/>
              <w:rPr>
                <w:sz w:val="16"/>
                <w:szCs w:val="16"/>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3,657.1</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operations)</w:t>
            </w:r>
          </w:p>
        </w:tc>
        <w:tc>
          <w:tcPr>
            <w:tcW w:w="222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2,337.5</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7,998.2</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2220" w:type="dxa"/>
            <w:vAlign w:val="bottom"/>
            <w:tcBorders>
              <w:bottom w:val="single" w:sz="8" w:color="DBDBDB"/>
            </w:tcBorders>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3,818.5</w:t>
            </w:r>
          </w:p>
        </w:tc>
        <w:tc>
          <w:tcPr>
            <w:tcW w:w="3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3,657.1</w:t>
            </w:r>
          </w:p>
        </w:tc>
        <w:tc>
          <w:tcPr>
            <w:tcW w:w="36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9" w:name="page60"/>
    <w:bookmarkEnd w:id="59"/>
    <w:p>
      <w:pPr>
        <w:spacing w:after="0"/>
        <w:rPr>
          <w:sz w:val="20"/>
          <w:szCs w:val="20"/>
          <w:color w:val="auto"/>
        </w:rPr>
      </w:pPr>
      <w:r>
        <w:rPr>
          <w:rFonts w:ascii="Arial" w:cs="Arial" w:eastAsia="Arial" w:hAnsi="Arial"/>
          <w:sz w:val="32"/>
          <w:szCs w:val="32"/>
          <w:i w:val="1"/>
          <w:iCs w:val="1"/>
          <w:color w:val="auto"/>
        </w:rPr>
        <w:t>Notes to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(Tables present dollars in millions, except per-share data)</w:t>
      </w:r>
    </w:p>
    <w:p>
      <w:pPr>
        <w:spacing w:after="0" w:line="95" w:lineRule="exact"/>
        <w:rPr>
          <w:sz w:val="20"/>
          <w:szCs w:val="20"/>
          <w:color w:val="auto"/>
        </w:rPr>
      </w:pPr>
    </w:p>
    <w:p>
      <w:pPr>
        <w:ind w:right="1600"/>
        <w:spacing w:after="0" w:line="388" w:lineRule="auto"/>
        <w:rPr>
          <w:sz w:val="20"/>
          <w:szCs w:val="20"/>
          <w:color w:val="auto"/>
        </w:rPr>
      </w:pPr>
      <w:r>
        <w:rPr>
          <w:rFonts w:ascii="Arial" w:cs="Arial" w:eastAsia="Arial" w:hAnsi="Arial"/>
          <w:sz w:val="18"/>
          <w:szCs w:val="18"/>
          <w:b w:val="1"/>
          <w:bCs w:val="1"/>
          <w:color w:val="auto"/>
        </w:rPr>
        <w:t>Note 1: Summary of Significant Accounting Policies and Implementation of New Financial Accounting Standard Basis of Presentation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accompanying consolidated financial statements include Eli Lilly and Company and all subsidiaries and have been prepared in accordance with accounting principles generally accepted in the United States (GAAP). We consider majority voting interests, as well as effective economic or other control over an entity when deciding whether or not to consolidate an entity. We generally do not have control by means other than voting interests. Where our ownership of consolidated subsidiaries is less than 100 percent, the noncontrolling shareholders' interests are reflected as a separate component of equity. All intercompany balances and transactions have been eliminated.</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(SEC) and have evaluated subsequent events up to the time of the filing of this Annual Report on Form 10-K.</w:t>
      </w:r>
    </w:p>
    <w:p>
      <w:pPr>
        <w:spacing w:after="0" w:line="9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per-share amounts, unless otherwise noted in the footnotes, are presented on a diluted basis.</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Incorporated (Elanco) common stock through a tax-free exchange offer. As a result, Elanco has been presented as discontinued operations in our consolidated financial statements for all periods presented.</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 (IPR&amp;D)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 the following:</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Research and development costs, which are expensed as incurred.</w:t>
      </w:r>
    </w:p>
    <w:p>
      <w:pPr>
        <w:spacing w:after="0" w:line="117"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Milestone payment obligations incurred prior to regulatory approval of the product, which are accrued when the event requiring payment of the milestone occurs.</w:t>
      </w:r>
    </w:p>
    <w:p>
      <w:pPr>
        <w:spacing w:after="0" w:line="9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Acquired IPR&amp;D expense includes the initial costs of externally developed IPR&amp;D projects, acquired directly in a transaction other than a business combination, that do not have an alternative future use.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calculate basic EPS based on the weighted-average number of common shares outstanding plus the effect of incremental shares from potential participating securities. We calculate diluted EPS based on the weighted-average number of common shares outstanding plus the effect of incremental shares from our stock-based compensation programs.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1"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 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Costs associated with advertising are expensed as incurred and are included in marketing, selling, and administrative expenses. Advertising expenses, comprised primarily of television, radio, print media, and Internet advertising, totaled approximately $1.2 billion, $1.1 billion, and $1.1 billion in 2021, 2020, and 2019, respectively, which was less than 5 percent of revenue each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w:t>
      </w:r>
    </w:p>
    <w:p>
      <w:pPr>
        <w:spacing w:after="0" w:line="12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Accounting Standards Update 2021-01,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provides for temporary optional expedients and exceptions in applying current GAAP to contracts, hedging relationships, and other transactions affected by the transition from the use of the London Interbank Offered Rate (LIBOR) to an alternative reference rate. The standard can be adopted immediately and is applicable to contracts entered into before January 1, 2023. We do not expect the transition from the use of LIBOR to an alternative reference rate to have a material impact to our consolidated statements of operations or balance sheets at the initial transition.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5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product revenue</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25,957.9</w:t>
            </w:r>
          </w:p>
        </w:tc>
        <w:tc>
          <w:tcPr>
            <w:tcW w:w="46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22,694.8</w:t>
            </w:r>
          </w:p>
        </w:tc>
        <w:tc>
          <w:tcPr>
            <w:tcW w:w="4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20,377.3</w:t>
            </w:r>
          </w:p>
        </w:tc>
      </w:tr>
      <w:tr>
        <w:trPr>
          <w:trHeight w:val="229"/>
        </w:trPr>
        <w:tc>
          <w:tcPr>
            <w:tcW w:w="5860" w:type="dxa"/>
            <w:vAlign w:val="bottom"/>
            <w:tcBorders>
              <w:bottom w:val="single" w:sz="8" w:color="D8D8D8"/>
            </w:tcBorders>
          </w:tcPr>
          <w:p>
            <w:pPr>
              <w:ind w:left="20"/>
              <w:spacing w:after="0" w:line="230" w:lineRule="exact"/>
              <w:rPr>
                <w:sz w:val="20"/>
                <w:szCs w:val="20"/>
                <w:color w:val="auto"/>
              </w:rPr>
            </w:pPr>
            <w:r>
              <w:rPr>
                <w:rFonts w:ascii="Arial" w:cs="Arial" w:eastAsia="Arial" w:hAnsi="Arial"/>
                <w:sz w:val="18"/>
                <w:szCs w:val="18"/>
                <w:color w:val="auto"/>
              </w:rPr>
              <w:t>Collaboration and other revenue</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2,360.5</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1,845.0</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1,942.2</w:t>
            </w:r>
          </w:p>
        </w:tc>
      </w:tr>
      <w:tr>
        <w:trPr>
          <w:trHeight w:val="230"/>
        </w:trPr>
        <w:tc>
          <w:tcPr>
            <w:tcW w:w="58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28,318.4</w:t>
            </w:r>
          </w:p>
        </w:tc>
        <w:tc>
          <w:tcPr>
            <w:tcW w:w="46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24,539.8</w:t>
            </w:r>
          </w:p>
        </w:tc>
        <w:tc>
          <w:tcPr>
            <w:tcW w:w="4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22,319.5</w:t>
            </w:r>
          </w:p>
        </w:tc>
      </w:tr>
    </w:tbl>
    <w:p>
      <w:pPr>
        <w:spacing w:after="0" w:line="113" w:lineRule="exact"/>
        <w:rPr>
          <w:sz w:val="20"/>
          <w:szCs w:val="20"/>
          <w:color w:val="auto"/>
        </w:rPr>
      </w:pPr>
    </w:p>
    <w:p>
      <w:pPr>
        <w:ind w:left="180" w:right="240" w:hanging="172"/>
        <w:spacing w:after="0" w:line="217" w:lineRule="auto"/>
        <w:tabs>
          <w:tab w:leader="none" w:pos="158"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Collaboration and other revenue associated with prior period transfers of intellectual property was $175.0 million, $135.6 million, and $301.5 million during the years ended December 31, 2021, 2020, and 2019, respectively.</w:t>
      </w:r>
    </w:p>
    <w:p>
      <w:pPr>
        <w:spacing w:after="0" w:line="148"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Jardiance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Trajenta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Net Product Revenue</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70 days from date of shipment. Revenue for our product sales has not been adjusted for the effects of a 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discounts, and returns are established in the same period the related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Most of our products are sold to wholesalers that serve pharmacies, physicians and other health care professionals, and hospitals. For the years ended December 31, 2021, 2020, and 2019, our three largest wholesalers each accounted for between 15 percent and 20 percent of consolidated revenue. Further, they each accounted for between 18 percent and 28 percent of accounts receivable as of December 31, 2021 and 2020.</w:t>
      </w:r>
    </w:p>
    <w:p>
      <w:pPr>
        <w:spacing w:after="0" w:line="9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discounts and returns. The following describe the most significant of these judgments: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Rebates and Discounts - Background and Uncertainties</w:t>
      </w:r>
    </w:p>
    <w:p>
      <w:pPr>
        <w:spacing w:after="0" w:line="117" w:lineRule="exact"/>
        <w:rPr>
          <w:sz w:val="20"/>
          <w:szCs w:val="20"/>
          <w:color w:val="auto"/>
        </w:rPr>
      </w:pPr>
    </w:p>
    <w:p>
      <w:pPr>
        <w:ind w:left="660" w:right="140" w:hanging="328"/>
        <w:spacing w:after="0" w:line="25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must estimate any rebates or discounts that ultimately will be due to the direct customer and other customers in the distribution chain under the terms of our contracts. Significant judgments are required in making these estimates.</w:t>
      </w:r>
    </w:p>
    <w:p>
      <w:pPr>
        <w:spacing w:after="0" w:line="97"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95"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largest of our sales rebate and discount amounts are rebates associated with sales covered by managed care, Medicare, Medicaid, chargeback, and patient assistance programs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rebates related to these programs at the time we record the sale, the rebate related to that sale is typically paid up to six months later. Because of this time lag, in any particular period our rebate adjustments may incorporate revisions of accruals for several periods.</w:t>
      </w:r>
    </w:p>
    <w:p>
      <w:pPr>
        <w:spacing w:after="0" w:line="98"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auto"/>
        </w:rPr>
        <w:t>Sales Returns - Background and Uncertainties</w:t>
      </w:r>
    </w:p>
    <w:p>
      <w:pPr>
        <w:spacing w:after="0" w:line="117" w:lineRule="exact"/>
        <w:rPr>
          <w:sz w:val="20"/>
          <w:szCs w:val="20"/>
          <w:color w:val="auto"/>
        </w:rPr>
      </w:pPr>
    </w:p>
    <w:p>
      <w:pPr>
        <w:ind w:left="660" w:right="40" w:hanging="328"/>
        <w:spacing w:after="0" w:line="25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specifically-identified anticipated returns due to known factors such as the loss of patent exclusivity, product recalls and discontinuances, or a changing competitive environment. We maintain a returns policy that allows most U.S.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101" w:lineRule="exact"/>
        <w:rPr>
          <w:rFonts w:ascii="Arial" w:cs="Arial" w:eastAsia="Arial" w:hAnsi="Arial"/>
          <w:sz w:val="18"/>
          <w:szCs w:val="18"/>
          <w:color w:val="auto"/>
        </w:rPr>
      </w:pPr>
    </w:p>
    <w:p>
      <w:pPr>
        <w:ind w:left="660" w:right="20" w:hanging="328"/>
        <w:spacing w:after="0" w:line="25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at the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103"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U.S. product returns have been less than 2 percent of our U.S. revenue during each of the past three years and have not fluctuated significantly as a percentage of revenue, although fluctuations are more likely in periods following loss of patent exclusivity for major products in the U.S. market.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record adjustments to revenue as a result of changes in estimates, for the judgments described above, for our most significant U.S. sales returns, rebates and discounts liability balances. Such adjustments for products shipped in previous periods resulted in approximately 2 percent or less increase to U.S revenue during each of the years ended December 31, 2021, 2020, and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Other Arrangements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not contracts with customers but are evaluated to determine whether any aspects of the arrangements are contracts with customers.</w:t>
      </w:r>
    </w:p>
    <w:p>
      <w:pPr>
        <w:spacing w:after="0" w:line="96" w:lineRule="exact"/>
        <w:rPr>
          <w:sz w:val="20"/>
          <w:szCs w:val="20"/>
          <w:color w:val="auto"/>
        </w:rPr>
      </w:pPr>
    </w:p>
    <w:p>
      <w:pPr>
        <w:ind w:left="660" w:right="54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while other sources of revenue (e.g., royalties and profit sharing from our partner) are included in collaboration and other revenue.</w:t>
      </w:r>
    </w:p>
    <w:p>
      <w:pPr>
        <w:spacing w:after="0" w:line="89" w:lineRule="exact"/>
        <w:rPr>
          <w:rFonts w:ascii="Arial" w:cs="Arial" w:eastAsia="Arial" w:hAnsi="Arial"/>
          <w:sz w:val="18"/>
          <w:szCs w:val="18"/>
          <w:color w:val="auto"/>
        </w:rPr>
      </w:pPr>
    </w:p>
    <w:p>
      <w:pPr>
        <w:jc w:val="both"/>
        <w:ind w:left="660" w:right="520" w:hanging="328"/>
        <w:spacing w:after="0" w:line="291"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Initial fees and developmental milestones we receive in collaborative and other similar arrangements from the partnering of our compounds under development are generally deferred and amortized into income through the expected product approval date.</w:t>
      </w:r>
    </w:p>
    <w:p>
      <w:pPr>
        <w:spacing w:after="0" w:line="65" w:lineRule="exact"/>
        <w:rPr>
          <w:rFonts w:ascii="Arial" w:cs="Arial" w:eastAsia="Arial" w:hAnsi="Arial"/>
          <w:sz w:val="17"/>
          <w:szCs w:val="17"/>
          <w:color w:val="auto"/>
        </w:rPr>
      </w:pPr>
    </w:p>
    <w:p>
      <w:pPr>
        <w:ind w:left="660" w:right="18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3" w:name="page64"/>
    <w:bookmarkEnd w:id="63"/>
    <w:p>
      <w:pPr>
        <w:ind w:left="660" w:right="380" w:hanging="328"/>
        <w:spacing w:after="0" w:line="25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Royalty revenue from licensees and certain of our collaboration partners, which is based on sales to third-parties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95" w:lineRule="exact"/>
        <w:rPr>
          <w:rFonts w:ascii="Arial" w:cs="Arial" w:eastAsia="Arial" w:hAnsi="Arial"/>
          <w:sz w:val="18"/>
          <w:szCs w:val="18"/>
          <w:color w:val="auto"/>
        </w:rPr>
      </w:pPr>
    </w:p>
    <w:p>
      <w:pPr>
        <w:ind w:left="660" w:right="160" w:hanging="328"/>
        <w:spacing w:after="0" w:line="252"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 For arrangements that involve variable consideration where we have sold intellectual property, we recognize revenue based on estimates of the amount of consideration we believe we will be entitled to receive from the other party, subject to a constraint. These estimates are adjusted to reflect the actual amounts to be collected when those facts and circumstances become known.</w:t>
      </w:r>
    </w:p>
    <w:p>
      <w:pPr>
        <w:spacing w:after="0" w:line="97"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2020</w:t>
            </w:r>
          </w:p>
        </w:tc>
      </w:tr>
      <w:tr>
        <w:trPr>
          <w:trHeight w:val="223"/>
        </w:trPr>
        <w:tc>
          <w:tcPr>
            <w:tcW w:w="3600" w:type="dxa"/>
            <w:vAlign w:val="bottom"/>
            <w:shd w:val="clear" w:color="auto" w:fill="D1D1D1"/>
          </w:tcPr>
          <w:p>
            <w:pPr>
              <w:ind w:left="20"/>
              <w:spacing w:after="0"/>
              <w:rPr>
                <w:sz w:val="20"/>
                <w:szCs w:val="20"/>
                <w:color w:val="auto"/>
              </w:rPr>
            </w:pPr>
            <w:r>
              <w:rPr>
                <w:rFonts w:ascii="Arial" w:cs="Arial" w:eastAsia="Arial" w:hAnsi="Arial"/>
                <w:sz w:val="18"/>
                <w:szCs w:val="18"/>
                <w:color w:val="auto"/>
              </w:rPr>
              <w:t>Contract liabilities</w:t>
            </w:r>
          </w:p>
        </w:tc>
        <w:tc>
          <w:tcPr>
            <w:tcW w:w="2780" w:type="dxa"/>
            <w:vAlign w:val="bottom"/>
            <w:shd w:val="clear" w:color="auto" w:fill="D1D1D1"/>
          </w:tcPr>
          <w:p>
            <w:pPr>
              <w:jc w:val="right"/>
              <w:ind w:right="43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D1D1D1"/>
          </w:tcPr>
          <w:p>
            <w:pPr>
              <w:jc w:val="right"/>
              <w:ind w:right="10"/>
              <w:spacing w:after="0"/>
              <w:rPr>
                <w:sz w:val="20"/>
                <w:szCs w:val="20"/>
                <w:color w:val="auto"/>
              </w:rPr>
            </w:pPr>
            <w:r>
              <w:rPr>
                <w:rFonts w:ascii="Arial" w:cs="Arial" w:eastAsia="Arial" w:hAnsi="Arial"/>
                <w:sz w:val="18"/>
                <w:szCs w:val="18"/>
                <w:b w:val="1"/>
                <w:bCs w:val="1"/>
                <w:color w:val="auto"/>
              </w:rPr>
              <w:t>262.6</w:t>
            </w:r>
          </w:p>
        </w:tc>
        <w:tc>
          <w:tcPr>
            <w:tcW w:w="720" w:type="dxa"/>
            <w:vAlign w:val="bottom"/>
            <w:shd w:val="clear" w:color="auto" w:fill="D1D1D1"/>
          </w:tcPr>
          <w:p>
            <w:pPr>
              <w:jc w:val="right"/>
              <w:ind w:right="430"/>
              <w:spacing w:after="0"/>
              <w:rPr>
                <w:sz w:val="20"/>
                <w:szCs w:val="20"/>
                <w:color w:val="auto"/>
              </w:rPr>
            </w:pPr>
            <w:r>
              <w:rPr>
                <w:rFonts w:ascii="Arial" w:cs="Arial" w:eastAsia="Arial" w:hAnsi="Arial"/>
                <w:sz w:val="18"/>
                <w:szCs w:val="18"/>
                <w:color w:val="auto"/>
              </w:rPr>
              <w:t>$</w:t>
            </w:r>
          </w:p>
        </w:tc>
        <w:tc>
          <w:tcPr>
            <w:tcW w:w="2060" w:type="dxa"/>
            <w:vAlign w:val="bottom"/>
            <w:shd w:val="clear" w:color="auto" w:fill="D1D1D1"/>
          </w:tcPr>
          <w:p>
            <w:pPr>
              <w:jc w:val="right"/>
              <w:spacing w:after="0"/>
              <w:rPr>
                <w:sz w:val="20"/>
                <w:szCs w:val="20"/>
                <w:color w:val="auto"/>
              </w:rPr>
            </w:pPr>
            <w:r>
              <w:rPr>
                <w:rFonts w:ascii="Arial" w:cs="Arial" w:eastAsia="Arial" w:hAnsi="Arial"/>
                <w:sz w:val="18"/>
                <w:szCs w:val="18"/>
                <w:color w:val="auto"/>
              </w:rPr>
              <w:t>276.8</w:t>
            </w:r>
          </w:p>
        </w:tc>
      </w:tr>
    </w:tbl>
    <w:p>
      <w:pPr>
        <w:spacing w:after="0" w:line="16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contract liabilities balances disclosed above as of December 31, 2021 and 2020 were primarily related to the remaining license period of symbolic intellectual property and obligations to perform research and development activities or supply product for a defined period of time.</w:t>
      </w:r>
    </w:p>
    <w:p>
      <w:pPr>
        <w:spacing w:after="0" w:line="9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During the years ended December 31, 2021, 2020, and 2019, revenue recognized from contract liabilities as of the beginning of the respective year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Disaggregation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Outside U.S.</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3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Revenue—to unaffiliated customers: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4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Diabetes:</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Trulicity</w:t>
            </w:r>
            <w:r>
              <w:rPr>
                <w:rFonts w:ascii="Arial" w:cs="Arial" w:eastAsia="Arial" w:hAnsi="Arial"/>
                <w:sz w:val="23"/>
                <w:szCs w:val="23"/>
                <w:i w:val="1"/>
                <w:iCs w:val="1"/>
                <w:color w:val="auto"/>
                <w:vertAlign w:val="superscript"/>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4,914.4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3,835.9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3,155.2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1,557.6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1,232.2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972.7</w:t>
            </w:r>
          </w:p>
        </w:tc>
      </w:tr>
      <w:tr>
        <w:trPr>
          <w:trHeight w:val="230"/>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Humalog</w:t>
            </w:r>
            <w:r>
              <w:rPr>
                <w:rFonts w:ascii="Arial" w:cs="Arial" w:eastAsia="Arial" w:hAnsi="Arial"/>
                <w:sz w:val="23"/>
                <w:szCs w:val="23"/>
                <w:i w:val="1"/>
                <w:iCs w:val="1"/>
                <w:color w:val="auto"/>
                <w:vertAlign w:val="superscript"/>
              </w:rPr>
              <w:t>® (1)</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1,320.7</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1,485.6</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1,669.7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1,132.3</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1,140.3</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1,151.0</w:t>
            </w: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3"/>
                <w:szCs w:val="23"/>
                <w:i w:val="1"/>
                <w:iCs w:val="1"/>
                <w:color w:val="auto"/>
                <w:vertAlign w:val="superscript"/>
              </w:rPr>
              <w:t>(2)</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807.3</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620.8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683.5</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533.0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378.3</w:t>
            </w: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Humulin</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832.9</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866.4</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389.6</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393.2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410.4</w:t>
            </w:r>
          </w:p>
        </w:tc>
      </w:tr>
      <w:tr>
        <w:trPr>
          <w:trHeight w:val="230"/>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Basaglar</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588.3</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842.3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304.2</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282.1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3"/>
                <w:szCs w:val="23"/>
                <w:i w:val="1"/>
                <w:iCs w:val="1"/>
                <w:color w:val="auto"/>
                <w:vertAlign w:val="superscript"/>
              </w:rPr>
              <w:t>(3)</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82.1</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95.6</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290.4</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263.0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365.8</w:t>
            </w:r>
          </w:p>
        </w:tc>
      </w:tr>
      <w:tr>
        <w:trPr>
          <w:trHeight w:val="230"/>
        </w:trPr>
        <w:tc>
          <w:tcPr>
            <w:tcW w:w="344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Diabetes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173.6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111.2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81.5</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r>
      <w:tr>
        <w:trPr>
          <w:trHeight w:val="223"/>
        </w:trPr>
        <w:tc>
          <w:tcPr>
            <w:tcW w:w="344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Total Diabetes</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8,719.3</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7,909.1</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7,529.5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4,468.8</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3,925.3</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3,602.6</w:t>
            </w:r>
          </w:p>
        </w:tc>
      </w:tr>
      <w:tr>
        <w:trPr>
          <w:trHeight w:val="230"/>
        </w:trPr>
        <w:tc>
          <w:tcPr>
            <w:tcW w:w="3440" w:type="dxa"/>
            <w:vAlign w:val="bottom"/>
          </w:tcPr>
          <w:p>
            <w:pPr>
              <w:ind w:left="440"/>
              <w:spacing w:after="0"/>
              <w:rPr>
                <w:sz w:val="20"/>
                <w:szCs w:val="20"/>
                <w:color w:val="auto"/>
              </w:rPr>
            </w:pPr>
            <w:r>
              <w:rPr>
                <w:rFonts w:ascii="Arial" w:cs="Arial" w:eastAsia="Arial" w:hAnsi="Arial"/>
                <w:sz w:val="18"/>
                <w:szCs w:val="18"/>
                <w:color w:val="auto"/>
              </w:rPr>
              <w:t>Oncology:</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Alimta</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1,233.9</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1,265.3</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1,219.5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827.5</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1,064.7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896.4</w:t>
            </w: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Verzenio</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834.9</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618.2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515.0</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294.4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30"/>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Cyramza</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358.1</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381.9</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674.8</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650.8</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589.9</w:t>
            </w: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Erbitux</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481.8</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480.1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66.4</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Tyvyt</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418.1</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308.7</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134.0</w:t>
            </w:r>
          </w:p>
        </w:tc>
      </w:tr>
      <w:tr>
        <w:trPr>
          <w:trHeight w:val="230"/>
        </w:trPr>
        <w:tc>
          <w:tcPr>
            <w:tcW w:w="3440" w:type="dxa"/>
            <w:vAlign w:val="bottom"/>
            <w:tcBorders>
              <w:bottom w:val="single" w:sz="8" w:color="DBDBDB"/>
            </w:tcBorders>
          </w:tcPr>
          <w:p>
            <w:pPr>
              <w:ind w:left="80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120.1</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210.7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152.3</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r>
      <w:tr>
        <w:trPr>
          <w:trHeight w:val="223"/>
        </w:trPr>
        <w:tc>
          <w:tcPr>
            <w:tcW w:w="3440" w:type="dxa"/>
            <w:vAlign w:val="bottom"/>
            <w:shd w:val="clear" w:color="auto" w:fill="DBDBDB"/>
          </w:tcPr>
          <w:p>
            <w:pPr>
              <w:ind w:left="680"/>
              <w:spacing w:after="0"/>
              <w:rPr>
                <w:sz w:val="20"/>
                <w:szCs w:val="20"/>
                <w:color w:val="auto"/>
              </w:rPr>
            </w:pPr>
            <w:r>
              <w:rPr>
                <w:rFonts w:ascii="Arial" w:cs="Arial" w:eastAsia="Arial" w:hAnsi="Arial"/>
                <w:sz w:val="18"/>
                <w:szCs w:val="18"/>
                <w:color w:val="auto"/>
              </w:rPr>
              <w:t>Total Oncology</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3,028.8</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2,792.1</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2,608.5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2,712.5</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2,527.2</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2,005.9</w:t>
            </w:r>
          </w:p>
        </w:tc>
      </w:tr>
      <w:tr>
        <w:trPr>
          <w:trHeight w:val="230"/>
        </w:trPr>
        <w:tc>
          <w:tcPr>
            <w:tcW w:w="3440" w:type="dxa"/>
            <w:vAlign w:val="bottom"/>
          </w:tcPr>
          <w:p>
            <w:pPr>
              <w:ind w:left="480"/>
              <w:spacing w:after="0"/>
              <w:rPr>
                <w:sz w:val="20"/>
                <w:szCs w:val="20"/>
                <w:color w:val="auto"/>
              </w:rPr>
            </w:pPr>
            <w:r>
              <w:rPr>
                <w:rFonts w:ascii="Arial" w:cs="Arial" w:eastAsia="Arial" w:hAnsi="Arial"/>
                <w:sz w:val="18"/>
                <w:szCs w:val="18"/>
                <w:color w:val="auto"/>
              </w:rPr>
              <w:t>Immunology:</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Taltz</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1,542.4</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1,288.5</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1,016.8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670.4</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349.6</w:t>
            </w:r>
          </w:p>
        </w:tc>
      </w:tr>
      <w:tr>
        <w:trPr>
          <w:trHeight w:val="230"/>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Olumiant</w:t>
            </w:r>
            <w:r>
              <w:rPr>
                <w:rFonts w:ascii="Arial" w:cs="Arial" w:eastAsia="Arial" w:hAnsi="Arial"/>
                <w:sz w:val="23"/>
                <w:szCs w:val="23"/>
                <w:i w:val="1"/>
                <w:iCs w:val="1"/>
                <w:color w:val="auto"/>
                <w:vertAlign w:val="superscript"/>
              </w:rPr>
              <w:t>® (4)</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324.1</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791.0</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575.0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384.7</w:t>
            </w:r>
          </w:p>
        </w:tc>
      </w:tr>
      <w:tr>
        <w:trPr>
          <w:trHeight w:val="230"/>
        </w:trPr>
        <w:tc>
          <w:tcPr>
            <w:tcW w:w="344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15.3</w:t>
            </w:r>
          </w:p>
        </w:tc>
        <w:tc>
          <w:tcPr>
            <w:tcW w:w="3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40" w:type="dxa"/>
            <w:vAlign w:val="bottom"/>
          </w:tcPr>
          <w:p>
            <w:pPr>
              <w:ind w:left="680"/>
              <w:spacing w:after="0"/>
              <w:rPr>
                <w:sz w:val="20"/>
                <w:szCs w:val="20"/>
                <w:color w:val="auto"/>
              </w:rPr>
            </w:pPr>
            <w:r>
              <w:rPr>
                <w:rFonts w:ascii="Arial" w:cs="Arial" w:eastAsia="Arial" w:hAnsi="Arial"/>
                <w:sz w:val="18"/>
                <w:szCs w:val="18"/>
                <w:color w:val="auto"/>
              </w:rPr>
              <w:t>Total Immunology</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1,881.8</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1,372.3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1,479.0</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1,089.6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734.3</w:t>
            </w:r>
          </w:p>
        </w:tc>
      </w:tr>
      <w:tr>
        <w:trPr>
          <w:trHeight w:val="230"/>
        </w:trPr>
        <w:tc>
          <w:tcPr>
            <w:tcW w:w="34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Neuroscience:</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Cymbalta</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38.7</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542.8</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725.6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675.8</w:t>
            </w:r>
          </w:p>
        </w:tc>
      </w:tr>
      <w:tr>
        <w:trPr>
          <w:trHeight w:val="230"/>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Emgality</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434.5</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325.9</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142.7</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Zyprexa</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39.6</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390.7</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360.5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377.6</w:t>
            </w:r>
          </w:p>
        </w:tc>
      </w:tr>
      <w:tr>
        <w:trPr>
          <w:trHeight w:val="230"/>
        </w:trPr>
        <w:tc>
          <w:tcPr>
            <w:tcW w:w="344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102.0</w:t>
            </w:r>
          </w:p>
        </w:tc>
        <w:tc>
          <w:tcPr>
            <w:tcW w:w="3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73.2</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207.5</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220.9</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305.3</w:t>
            </w:r>
          </w:p>
        </w:tc>
      </w:tr>
      <w:tr>
        <w:trPr>
          <w:trHeight w:val="223"/>
        </w:trPr>
        <w:tc>
          <w:tcPr>
            <w:tcW w:w="3440" w:type="dxa"/>
            <w:vAlign w:val="bottom"/>
          </w:tcPr>
          <w:p>
            <w:pPr>
              <w:ind w:left="680"/>
              <w:spacing w:after="0"/>
              <w:rPr>
                <w:sz w:val="20"/>
                <w:szCs w:val="20"/>
                <w:color w:val="auto"/>
              </w:rPr>
            </w:pPr>
            <w:r>
              <w:rPr>
                <w:rFonts w:ascii="Arial" w:cs="Arial" w:eastAsia="Arial" w:hAnsi="Arial"/>
                <w:sz w:val="18"/>
                <w:szCs w:val="18"/>
                <w:color w:val="auto"/>
              </w:rPr>
              <w:t>Total Neuroscience</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614.8</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487.3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1,283.7</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1,344.0</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1,366.4</w:t>
            </w:r>
          </w:p>
        </w:tc>
      </w:tr>
      <w:tr>
        <w:trPr>
          <w:trHeight w:val="230"/>
        </w:trPr>
        <w:tc>
          <w:tcPr>
            <w:tcW w:w="3440" w:type="dxa"/>
            <w:vAlign w:val="bottom"/>
            <w:shd w:val="clear" w:color="auto" w:fill="DBDBDB"/>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243"/>
        </w:trPr>
        <w:tc>
          <w:tcPr>
            <w:tcW w:w="3440" w:type="dxa"/>
            <w:vAlign w:val="bottom"/>
          </w:tcPr>
          <w:p>
            <w:pPr>
              <w:ind w:left="800"/>
              <w:spacing w:after="0" w:line="243" w:lineRule="exact"/>
              <w:rPr>
                <w:sz w:val="20"/>
                <w:szCs w:val="20"/>
                <w:color w:val="auto"/>
              </w:rPr>
            </w:pPr>
            <w:r>
              <w:rPr>
                <w:rFonts w:ascii="Arial" w:cs="Arial" w:eastAsia="Arial" w:hAnsi="Arial"/>
                <w:sz w:val="18"/>
                <w:szCs w:val="18"/>
                <w:i w:val="1"/>
                <w:iCs w:val="1"/>
                <w:color w:val="auto"/>
              </w:rPr>
              <w:t xml:space="preserve">COVID-19 Antibodies </w:t>
            </w:r>
            <w:r>
              <w:rPr>
                <w:rFonts w:ascii="Arial" w:cs="Arial" w:eastAsia="Arial" w:hAnsi="Arial"/>
                <w:sz w:val="23"/>
                <w:szCs w:val="23"/>
                <w:i w:val="1"/>
                <w:iCs w:val="1"/>
                <w:color w:val="auto"/>
                <w:vertAlign w:val="superscript"/>
              </w:rPr>
              <w:t>(5)</w:t>
            </w: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1,978.0</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850.0</w:t>
            </w:r>
          </w:p>
        </w:tc>
        <w:tc>
          <w:tcPr>
            <w:tcW w:w="3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261.4</w:t>
            </w: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shd w:val="clear" w:color="auto" w:fill="DBDBDB"/>
          </w:tcPr>
          <w:p>
            <w:pPr>
              <w:ind w:left="800"/>
              <w:spacing w:after="0" w:line="230" w:lineRule="exact"/>
              <w:rPr>
                <w:sz w:val="20"/>
                <w:szCs w:val="20"/>
                <w:color w:val="auto"/>
              </w:rPr>
            </w:pPr>
            <w:r>
              <w:rPr>
                <w:rFonts w:ascii="Arial" w:cs="Arial" w:eastAsia="Arial" w:hAnsi="Arial"/>
                <w:sz w:val="18"/>
                <w:szCs w:val="18"/>
                <w:i w:val="1"/>
                <w:iCs w:val="1"/>
                <w:color w:val="auto"/>
              </w:rPr>
              <w:t>Forteo</w:t>
            </w:r>
            <w:r>
              <w:rPr>
                <w:rFonts w:ascii="Arial" w:cs="Arial" w:eastAsia="Arial" w:hAnsi="Arial"/>
                <w:sz w:val="23"/>
                <w:szCs w:val="23"/>
                <w:i w:val="1"/>
                <w:iCs w:val="1"/>
                <w:color w:val="auto"/>
                <w:vertAlign w:val="superscript"/>
              </w:rPr>
              <w:t>®</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441.6</w:t>
            </w:r>
          </w:p>
        </w:tc>
        <w:tc>
          <w:tcPr>
            <w:tcW w:w="36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510.3</w:t>
            </w: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645.5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360.3</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536.0</w:t>
            </w:r>
          </w:p>
        </w:tc>
        <w:tc>
          <w:tcPr>
            <w:tcW w:w="3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759.1</w:t>
            </w:r>
          </w:p>
        </w:tc>
      </w:tr>
      <w:tr>
        <w:trPr>
          <w:trHeight w:val="229"/>
        </w:trPr>
        <w:tc>
          <w:tcPr>
            <w:tcW w:w="3440" w:type="dxa"/>
            <w:vAlign w:val="bottom"/>
          </w:tcPr>
          <w:p>
            <w:pPr>
              <w:ind w:left="800"/>
              <w:spacing w:after="0" w:line="230" w:lineRule="exact"/>
              <w:rPr>
                <w:sz w:val="20"/>
                <w:szCs w:val="20"/>
                <w:color w:val="auto"/>
              </w:rPr>
            </w:pPr>
            <w:r>
              <w:rPr>
                <w:rFonts w:ascii="Arial" w:cs="Arial" w:eastAsia="Arial" w:hAnsi="Arial"/>
                <w:sz w:val="18"/>
                <w:szCs w:val="18"/>
                <w:i w:val="1"/>
                <w:iCs w:val="1"/>
                <w:color w:val="auto"/>
              </w:rPr>
              <w:t>Cialis</w:t>
            </w:r>
            <w:r>
              <w:rPr>
                <w:rFonts w:ascii="Arial" w:cs="Arial" w:eastAsia="Arial" w:hAnsi="Arial"/>
                <w:sz w:val="23"/>
                <w:szCs w:val="23"/>
                <w:i w:val="1"/>
                <w:iCs w:val="1"/>
                <w:color w:val="auto"/>
                <w:vertAlign w:val="superscript"/>
              </w:rPr>
              <w:t>®</w:t>
            </w:r>
          </w:p>
        </w:tc>
        <w:tc>
          <w:tcPr>
            <w:tcW w:w="2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10.6</w:t>
            </w:r>
          </w:p>
        </w:tc>
        <w:tc>
          <w:tcPr>
            <w:tcW w:w="3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707.9</w:t>
            </w:r>
          </w:p>
        </w:tc>
        <w:tc>
          <w:tcPr>
            <w:tcW w:w="2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545.4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658.8</w:t>
            </w:r>
          </w:p>
        </w:tc>
      </w:tr>
      <w:tr>
        <w:trPr>
          <w:trHeight w:val="230"/>
        </w:trPr>
        <w:tc>
          <w:tcPr>
            <w:tcW w:w="3440" w:type="dxa"/>
            <w:vAlign w:val="bottom"/>
            <w:shd w:val="clear" w:color="auto" w:fill="DBDBDB"/>
          </w:tcPr>
          <w:p>
            <w:pPr>
              <w:ind w:left="800"/>
              <w:spacing w:after="0"/>
              <w:rPr>
                <w:sz w:val="20"/>
                <w:szCs w:val="20"/>
                <w:color w:val="auto"/>
              </w:rPr>
            </w:pPr>
            <w:r>
              <w:rPr>
                <w:rFonts w:ascii="Arial" w:cs="Arial" w:eastAsia="Arial" w:hAnsi="Arial"/>
                <w:sz w:val="18"/>
                <w:szCs w:val="18"/>
                <w:i w:val="1"/>
                <w:iCs w:val="1"/>
                <w:color w:val="auto"/>
              </w:rPr>
              <w:t>Other</w:t>
            </w:r>
          </w:p>
        </w:tc>
        <w:tc>
          <w:tcPr>
            <w:tcW w:w="2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136.1</w:t>
            </w:r>
          </w:p>
        </w:tc>
        <w:tc>
          <w:tcPr>
            <w:tcW w:w="3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246.4</w:t>
            </w:r>
          </w:p>
        </w:tc>
        <w:tc>
          <w:tcPr>
            <w:tcW w:w="3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233.9</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321.8</w:t>
            </w:r>
          </w:p>
        </w:tc>
        <w:tc>
          <w:tcPr>
            <w:tcW w:w="3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469.7</w:t>
            </w:r>
          </w:p>
        </w:tc>
      </w:tr>
      <w:tr>
        <w:trPr>
          <w:trHeight w:val="223"/>
        </w:trPr>
        <w:tc>
          <w:tcPr>
            <w:tcW w:w="3440" w:type="dxa"/>
            <w:vAlign w:val="bottom"/>
            <w:tcBorders>
              <w:bottom w:val="single" w:sz="8" w:color="DBDBDB"/>
            </w:tcBorders>
          </w:tcPr>
          <w:p>
            <w:pPr>
              <w:ind w:left="680"/>
              <w:spacing w:after="0"/>
              <w:rPr>
                <w:sz w:val="20"/>
                <w:szCs w:val="20"/>
                <w:color w:val="auto"/>
              </w:rPr>
            </w:pPr>
            <w:r>
              <w:rPr>
                <w:rFonts w:ascii="Arial" w:cs="Arial" w:eastAsia="Arial" w:hAnsi="Arial"/>
                <w:sz w:val="18"/>
                <w:szCs w:val="18"/>
                <w:color w:val="auto"/>
              </w:rPr>
              <w:t>Total 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2,566.4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1,668.4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1,563.5</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1,424.4</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1,887.7</w:t>
            </w:r>
          </w:p>
        </w:tc>
      </w:tr>
      <w:tr>
        <w:trPr>
          <w:trHeight w:val="230"/>
        </w:trPr>
        <w:tc>
          <w:tcPr>
            <w:tcW w:w="3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16,811.0</w:t>
            </w:r>
          </w:p>
        </w:tc>
        <w:tc>
          <w:tcPr>
            <w:tcW w:w="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14,229.3</w:t>
            </w:r>
          </w:p>
        </w:tc>
        <w:tc>
          <w:tcPr>
            <w:tcW w:w="34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12,722.6</w:t>
            </w:r>
          </w:p>
        </w:tc>
        <w:tc>
          <w:tcPr>
            <w:tcW w:w="100" w:type="dxa"/>
            <w:vAlign w:val="bottom"/>
            <w:tcBorders>
              <w:bottom w:val="single" w:sz="8" w:color="auto"/>
            </w:tcBorders>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b w:val="1"/>
                <w:bCs w:val="1"/>
                <w:color w:val="auto"/>
              </w:rPr>
              <w:t>11,507.4</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10,310.5</w:t>
            </w:r>
          </w:p>
        </w:tc>
        <w:tc>
          <w:tcPr>
            <w:tcW w:w="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9,596.8</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9"/>
          <w:szCs w:val="9"/>
          <w:color w:val="auto"/>
        </w:rPr>
      </w:pPr>
      <w:r>
        <w:rPr>
          <w:rFonts w:ascii="Arial" w:cs="Arial" w:eastAsia="Arial" w:hAnsi="Arial"/>
          <w:sz w:val="14"/>
          <w:szCs w:val="14"/>
          <w:color w:val="auto"/>
        </w:rPr>
        <w:t>Humalog revenue includes insulin lispro.</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2"/>
        </w:numPr>
        <w:rPr>
          <w:rFonts w:ascii="Arial" w:cs="Arial" w:eastAsia="Arial" w:hAnsi="Arial"/>
          <w:sz w:val="9"/>
          <w:szCs w:val="9"/>
          <w:color w:val="auto"/>
        </w:rPr>
      </w:pPr>
      <w:r>
        <w:rPr>
          <w:rFonts w:ascii="Arial" w:cs="Arial" w:eastAsia="Arial" w:hAnsi="Arial"/>
          <w:sz w:val="14"/>
          <w:szCs w:val="14"/>
          <w:color w:val="auto"/>
        </w:rPr>
        <w:t>Jardiance revenue includes Glyxambi</w:t>
      </w:r>
      <w:r>
        <w:rPr>
          <w:rFonts w:ascii="Arial" w:cs="Arial" w:eastAsia="Arial" w:hAnsi="Arial"/>
          <w:sz w:val="9"/>
          <w:szCs w:val="9"/>
          <w:color w:val="auto"/>
        </w:rPr>
        <w:t>®</w:t>
      </w:r>
      <w:r>
        <w:rPr>
          <w:rFonts w:ascii="Arial" w:cs="Arial" w:eastAsia="Arial" w:hAnsi="Arial"/>
          <w:sz w:val="14"/>
          <w:szCs w:val="14"/>
          <w:color w:val="auto"/>
        </w:rPr>
        <w:t>, Synjardy</w:t>
      </w:r>
      <w:r>
        <w:rPr>
          <w:rFonts w:ascii="Arial" w:cs="Arial" w:eastAsia="Arial" w:hAnsi="Arial"/>
          <w:sz w:val="9"/>
          <w:szCs w:val="9"/>
          <w:color w:val="auto"/>
        </w:rPr>
        <w:t>®</w:t>
      </w:r>
      <w:r>
        <w:rPr>
          <w:rFonts w:ascii="Arial" w:cs="Arial" w:eastAsia="Arial" w:hAnsi="Arial"/>
          <w:sz w:val="14"/>
          <w:szCs w:val="14"/>
          <w:color w:val="auto"/>
        </w:rPr>
        <w:t>, and Trijardy</w:t>
      </w:r>
      <w:r>
        <w:rPr>
          <w:rFonts w:ascii="Arial" w:cs="Arial" w:eastAsia="Arial" w:hAnsi="Arial"/>
          <w:sz w:val="9"/>
          <w:szCs w:val="9"/>
          <w:color w:val="auto"/>
        </w:rPr>
        <w:t>®</w:t>
      </w:r>
      <w:r>
        <w:rPr>
          <w:rFonts w:ascii="Arial" w:cs="Arial" w:eastAsia="Arial" w:hAnsi="Arial"/>
          <w:sz w:val="14"/>
          <w:szCs w:val="14"/>
          <w:color w:val="auto"/>
        </w:rPr>
        <w:t xml:space="preserve"> XR.</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2"/>
        </w:numPr>
        <w:rPr>
          <w:rFonts w:ascii="Arial" w:cs="Arial" w:eastAsia="Arial" w:hAnsi="Arial"/>
          <w:sz w:val="9"/>
          <w:szCs w:val="9"/>
          <w:color w:val="auto"/>
        </w:rPr>
      </w:pPr>
      <w:r>
        <w:rPr>
          <w:rFonts w:ascii="Arial" w:cs="Arial" w:eastAsia="Arial" w:hAnsi="Arial"/>
          <w:sz w:val="14"/>
          <w:szCs w:val="14"/>
          <w:color w:val="auto"/>
        </w:rPr>
        <w:t>Trajenta revenue includes Jentadueto</w:t>
      </w:r>
      <w:r>
        <w:rPr>
          <w:rFonts w:ascii="Arial" w:cs="Arial" w:eastAsia="Arial" w:hAnsi="Arial"/>
          <w:sz w:val="9"/>
          <w:szCs w:val="9"/>
          <w:color w:val="auto"/>
        </w:rPr>
        <w:t>®</w:t>
      </w:r>
      <w:r>
        <w:rPr>
          <w:rFonts w:ascii="Arial" w:cs="Arial" w:eastAsia="Arial" w:hAnsi="Arial"/>
          <w:sz w:val="14"/>
          <w:szCs w:val="14"/>
          <w:color w:val="auto"/>
        </w:rPr>
        <w:t>.</w:t>
      </w:r>
    </w:p>
    <w:p>
      <w:pPr>
        <w:spacing w:after="0" w:line="1" w:lineRule="exact"/>
        <w:rPr>
          <w:rFonts w:ascii="Arial" w:cs="Arial" w:eastAsia="Arial" w:hAnsi="Arial"/>
          <w:sz w:val="9"/>
          <w:szCs w:val="9"/>
          <w:color w:val="auto"/>
        </w:rPr>
      </w:pPr>
    </w:p>
    <w:p>
      <w:pPr>
        <w:ind w:left="180" w:right="240" w:hanging="172"/>
        <w:spacing w:after="0" w:line="241" w:lineRule="auto"/>
        <w:tabs>
          <w:tab w:leader="none" w:pos="158" w:val="left"/>
        </w:tabs>
        <w:numPr>
          <w:ilvl w:val="0"/>
          <w:numId w:val="42"/>
        </w:numPr>
        <w:rPr>
          <w:rFonts w:ascii="Arial" w:cs="Arial" w:eastAsia="Arial" w:hAnsi="Arial"/>
          <w:sz w:val="9"/>
          <w:szCs w:val="9"/>
          <w:color w:val="auto"/>
        </w:rPr>
      </w:pPr>
      <w:r>
        <w:rPr>
          <w:rFonts w:ascii="Arial" w:cs="Arial" w:eastAsia="Arial" w:hAnsi="Arial"/>
          <w:sz w:val="14"/>
          <w:szCs w:val="14"/>
          <w:color w:val="auto"/>
        </w:rPr>
        <w:t>Olumiant revenue includes sales for baricitinib, for treatment in hospitalized COVID-19 patients, that were made pursuant to Emergency Use Authorization (EUA) or similar regulatory authorizations.</w:t>
      </w:r>
    </w:p>
    <w:p>
      <w:pPr>
        <w:ind w:left="180" w:hanging="172"/>
        <w:spacing w:after="0" w:line="258" w:lineRule="auto"/>
        <w:tabs>
          <w:tab w:leader="none" w:pos="158" w:val="left"/>
        </w:tabs>
        <w:numPr>
          <w:ilvl w:val="0"/>
          <w:numId w:val="42"/>
        </w:numPr>
        <w:rPr>
          <w:rFonts w:ascii="Arial" w:cs="Arial" w:eastAsia="Arial" w:hAnsi="Arial"/>
          <w:sz w:val="9"/>
          <w:szCs w:val="9"/>
          <w:color w:val="auto"/>
        </w:rPr>
      </w:pPr>
      <w:r>
        <w:rPr>
          <w:rFonts w:ascii="Arial" w:cs="Arial" w:eastAsia="Arial" w:hAnsi="Arial"/>
          <w:sz w:val="14"/>
          <w:szCs w:val="14"/>
          <w:color w:val="auto"/>
        </w:rPr>
        <w:t>COVID-19 antibodies include sales for bamlanivimab administered alone as well as sales for bamlanivimab and etesevimab administered together and were made pursuant to EUAs or similar regulatory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3"/>
        </w:trPr>
        <w:tc>
          <w:tcPr>
            <w:tcW w:w="6980" w:type="dxa"/>
            <w:vAlign w:val="bottom"/>
            <w:shd w:val="clear" w:color="auto" w:fill="D8D8D8"/>
          </w:tcPr>
          <w:p>
            <w:pPr>
              <w:ind w:left="20"/>
              <w:spacing w:after="0" w:line="223" w:lineRule="exact"/>
              <w:rPr>
                <w:sz w:val="20"/>
                <w:szCs w:val="20"/>
                <w:color w:val="auto"/>
              </w:rPr>
            </w:pPr>
            <w:r>
              <w:rPr>
                <w:rFonts w:ascii="Arial" w:cs="Arial" w:eastAsia="Arial" w:hAnsi="Arial"/>
                <w:sz w:val="18"/>
                <w:szCs w:val="18"/>
                <w:color w:val="auto"/>
              </w:rPr>
              <w:t>Revenue—to unaffiliated customers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16,811.0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14,229.3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12,722.6</w:t>
            </w:r>
          </w:p>
        </w:tc>
      </w:tr>
      <w:tr>
        <w:trPr>
          <w:trHeight w:val="230"/>
        </w:trPr>
        <w:tc>
          <w:tcPr>
            <w:tcW w:w="69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4,776.8</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4,187.7</w:t>
            </w: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3,765.0</w:t>
            </w: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2,367.0</w:t>
            </w:r>
          </w:p>
        </w:tc>
        <w:tc>
          <w:tcPr>
            <w:tcW w:w="4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2,583.1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2,547.6</w:t>
            </w:r>
          </w:p>
        </w:tc>
      </w:tr>
      <w:tr>
        <w:trPr>
          <w:trHeight w:val="229"/>
        </w:trPr>
        <w:tc>
          <w:tcPr>
            <w:tcW w:w="69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China</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1,661.4</w:t>
            </w: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1,116.9</w:t>
            </w:r>
          </w:p>
        </w:tc>
        <w:tc>
          <w:tcPr>
            <w:tcW w:w="400" w:type="dxa"/>
            <w:vAlign w:val="bottom"/>
            <w:shd w:val="clear" w:color="auto" w:fill="D8D8D8"/>
          </w:tcPr>
          <w:p>
            <w:pPr>
              <w:spacing w:after="0"/>
              <w:rPr>
                <w:sz w:val="19"/>
                <w:szCs w:val="19"/>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939.4</w:t>
            </w:r>
          </w:p>
        </w:tc>
      </w:tr>
      <w:tr>
        <w:trPr>
          <w:trHeight w:val="230"/>
        </w:trPr>
        <w:tc>
          <w:tcPr>
            <w:tcW w:w="69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2,702.2</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2,422.7</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2,344.9</w:t>
            </w:r>
          </w:p>
        </w:tc>
      </w:tr>
      <w:tr>
        <w:trPr>
          <w:trHeight w:val="230"/>
        </w:trPr>
        <w:tc>
          <w:tcPr>
            <w:tcW w:w="69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28,318.4</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24,539.8</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22,319.5</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9"/>
          <w:szCs w:val="9"/>
          <w:color w:val="auto"/>
        </w:rPr>
      </w:pPr>
      <w:r>
        <w:rPr>
          <w:rFonts w:ascii="Arial" w:cs="Arial" w:eastAsia="Arial" w:hAnsi="Arial"/>
          <w:sz w:val="14"/>
          <w:szCs w:val="14"/>
          <w:color w:val="auto"/>
        </w:rPr>
        <w:t>Revenue is attributed to the countries based on the location of the customer.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January 2021, February 2020 and 2019, we completed the acquisitions of Prevail Therapeutics Inc. (Prevail), Dermira, Inc. (Dermira) and Loxo Oncology, Inc. (Loxo), respectively.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have been included in our consolidated financial statements from the date of acquisition.</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acquired assets in development in 2021, 2020, and 2019, which are further discussed in this note below in Asset Acquisitions. Upon each acquisition, the cost allocated to acquired IPR&amp;D was immediately expensed because the compound acquired had no alternative future use. For the years ended December 31, 2021, 2020, and 2019, we recorded acquired IPR&amp;D charges of $874.9 million, $660.4 million, and $239.6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Prevail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2021, we acquired all shares of Prevail for a purchase price that included $22.50 per share in cash (or an aggregate of $747.4 million, net of cash acquired) plus one non-tradable contingent value right (CVR) per share. The CVR entitles Prevail stockholders up to an additional $4.00 per share in cash (or an aggregate of approximately $160 million) payable, subject to certain terms and conditions, upon the first regulatory approval of a Prevail product in one of the following countries: U.S., Japan, United Kingdom, Germany, France, Italy or Spain. To achieve the full value of the CVR, such regulatory approval must occur by December 31, 2024. If such regulatory approval occurs after December 31, 2024, the value of the CVR will be reduced by approximately 8.3 cents per month until December 1, 2028, at which point the CVR will expire without payment.</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terms of the agreement, we acquired potentially disease-modifying AAV9-based gene therapies for patients with neurodegenerative diseases. The acquisition establishes a new modality for drug discovery and development, extending our research efforts through the creation of a gene therapy program that is being anchored by Prevail's portfolio of assets. The lead gene therapies in clinical development that we acquired were PR001 for patients with Parkinson's disease with GBA1 mutations and neuronopathic Gaucher disease and PR006 for patients with frontotemporal dementia with GRN mutations. Both PR001 and PR006 were granted Fast Track designation from the U.S. Food and Drug Administration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summarizes the amounts recognized for assets acquired and liabilities assumed in the acquisition of Prevail as of the acquisition date: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January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ind w:left="20"/>
        <w:spacing w:after="0" w:line="219" w:lineRule="auto"/>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17" w:lineRule="auto"/>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 and liabilities, net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date 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net of cash acquired</w:t>
      </w:r>
    </w:p>
    <w:p>
      <w:pPr>
        <w:spacing w:after="0" w:line="114"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PR001.</w:t>
      </w:r>
    </w:p>
    <w:p>
      <w:pPr>
        <w:ind w:left="140" w:hanging="132"/>
        <w:spacing w:after="0" w:line="211" w:lineRule="auto"/>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The goodwill recognized from this acquisition is not deductible for tax purposes.</w:t>
      </w:r>
    </w:p>
    <w:p>
      <w:pPr>
        <w:ind w:left="140" w:hanging="132"/>
        <w:spacing w:after="0" w:line="224" w:lineRule="auto"/>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See Note 7 for a discussion on the estimation of the CVR liability.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824.0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126.8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(106.0)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903.8</w:t>
      </w: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(90.5)</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319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8280" w:space="720"/>
            <w:col w:w="2240"/>
          </w:cols>
          <w:pgMar w:left="320" w:top="1255" w:right="339" w:bottom="1440" w:gutter="0" w:footer="0" w:header="0"/>
          <w:type w:val="continuous"/>
        </w:sectPr>
      </w:pPr>
    </w:p>
    <w:p>
      <w:pPr>
        <w:ind w:right="320"/>
        <w:spacing w:after="0" w:line="261" w:lineRule="auto"/>
        <w:rPr>
          <w:sz w:val="20"/>
          <w:szCs w:val="20"/>
          <w:color w:val="auto"/>
        </w:rPr>
      </w:pPr>
      <w:r>
        <w:rPr>
          <w:rFonts w:ascii="Arial" w:cs="Arial" w:eastAsia="Arial" w:hAnsi="Arial"/>
          <w:sz w:val="18"/>
          <w:szCs w:val="18"/>
          <w:color w:val="auto"/>
        </w:rPr>
        <w:t>We are unable to provide the results of operations for the year ended December 31, 2021 attributable to Prevail as those operations were substantially integrated into our legacy business.</w:t>
      </w:r>
    </w:p>
    <w:p>
      <w:pPr>
        <w:spacing w:after="0" w:line="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statements of operations for the years ended December 31, 2021 and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Dermira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February 2020, we acquired all shares of Dermira for a purchase price of approximately $849.3 million, net of cash acquired. Under terms of the agreement, we acquired lebrikizumab, a novel, investigational, monoclonal antibody being evaluated for the treatment of moderate-to-severe atopic dermatitis. Lebrikizumab was granted Fast Track designation from the FDA. We also acquired 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a medicated cloth approved by the FDA for the topical treatment of primary axillary hyperhidrosis (uncontrolled excessive underarm sweating). During the year ended December 31, 2021, we sold the rights to Qbrexza. See Note 5 for 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fair values recognized related to the assets acquired and liabilities assumed in this acquisition included goodwill of $ 86.8 million, other intangibles of $1.20 billion primarily related to lebrikizumab, deferred income tax liabilities of $49.5 million, and long-term debt of $375.5 million. After the acquisition, we repaid $276.2 million of long-term debt assumed as part of our acquisition of Dermira.</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 attributable to assets acquired in the Dermira acquisition did not have a material impact on our consolidated statement of operations for the year ended December 31, 2020. We are unable to provide the results of operations for the year ended December 31, 2020 attributable to Dermira as those operations were substantially integrated into our legacy business.</w:t>
      </w:r>
    </w:p>
    <w:p>
      <w:pPr>
        <w:spacing w:after="0" w:line="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Pro forma information has not been included because this acquisition did not have a material impact on our consolidated statements of operations for the years ended December 31, 2020 and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February 2019, we acquired all shares of Loxo for a purchase price of $ 6.92 billion, net of cash acquired. The accelerated vesting of Loxo employee equity awards was recognized as transaction expense included in asset impairment, restructuring, and other special charges during the year ended December 31, 2019 (see Note 5).</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67" w:name="page68"/>
    <w:bookmarkEnd w:id="67"/>
    <w:p>
      <w:pPr>
        <w:ind w:right="200"/>
        <w:spacing w:after="0" w:line="237" w:lineRule="auto"/>
        <w:rPr>
          <w:sz w:val="20"/>
          <w:szCs w:val="20"/>
          <w:color w:val="auto"/>
        </w:rPr>
      </w:pPr>
      <w:r>
        <w:rPr>
          <w:rFonts w:ascii="Arial" w:cs="Arial" w:eastAsia="Arial" w:hAnsi="Arial"/>
          <w:sz w:val="18"/>
          <w:szCs w:val="18"/>
          <w:color w:val="auto"/>
        </w:rPr>
        <w:t>Under the terms of the agreement, we acquired a pipeline of investigational medicines, including selpercatinib (LOXO-292), an oral RET inhibitor, and LOXO-305, an oral BTK inhibitor. In the second quarter of 2020, the FDA approved selpercatinib (Retevmo</w:t>
      </w:r>
      <w:r>
        <w:rPr>
          <w:rFonts w:ascii="Arial" w:cs="Arial" w:eastAsia="Arial" w:hAnsi="Arial"/>
          <w:sz w:val="23"/>
          <w:szCs w:val="23"/>
          <w:color w:val="auto"/>
          <w:vertAlign w:val="superscript"/>
        </w:rPr>
        <w:t>®</w:t>
      </w:r>
      <w:r>
        <w:rPr>
          <w:rFonts w:ascii="Arial" w:cs="Arial" w:eastAsia="Arial" w:hAnsi="Arial"/>
          <w:sz w:val="18"/>
          <w:szCs w:val="18"/>
          <w:color w:val="auto"/>
        </w:rPr>
        <w:t>) under its Accelerated Approval regulations and continued approval may be contingent upon verification and description of clinical benefit in confirmatory trials. At the time of approval, we reclassified our $4.60 billion intangible asset for selpercatinib (Retevmo) from indefinite-lived intangible assets to finite-lived intangible assets and began amortizing straight line over its estimated useful life.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following table summarizes the amounts recognized for assets acquired and liabilities assumed in the acquisition of Loxo as of the acquisition date: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Borders>
              <w:top w:val="single" w:sz="8" w:color="auto"/>
            </w:tcBorders>
            <w:shd w:val="clear" w:color="auto" w:fill="DDDDDD"/>
          </w:tcPr>
          <w:p>
            <w:pPr>
              <w:ind w:left="20"/>
              <w:spacing w:after="0" w:line="223" w:lineRule="exact"/>
              <w:rPr>
                <w:sz w:val="20"/>
                <w:szCs w:val="20"/>
                <w:color w:val="auto"/>
              </w:rPr>
            </w:pPr>
            <w:r>
              <w:rPr>
                <w:rFonts w:ascii="Arial" w:cs="Arial" w:eastAsia="Arial" w:hAnsi="Arial"/>
                <w:sz w:val="18"/>
                <w:szCs w:val="18"/>
                <w:color w:val="auto"/>
              </w:rPr>
              <w:t>Acquired IPR&amp;D</w:t>
            </w:r>
            <w:r>
              <w:rPr>
                <w:rFonts w:ascii="Arial" w:cs="Arial" w:eastAsia="Arial" w:hAnsi="Arial"/>
                <w:sz w:val="23"/>
                <w:szCs w:val="23"/>
                <w:color w:val="auto"/>
                <w:vertAlign w:val="superscript"/>
              </w:rPr>
              <w:t>(1)</w:t>
            </w:r>
          </w:p>
        </w:tc>
        <w:tc>
          <w:tcPr>
            <w:tcW w:w="420" w:type="dxa"/>
            <w:vAlign w:val="bottom"/>
            <w:tcBorders>
              <w:top w:val="single" w:sz="8" w:color="auto"/>
            </w:tcBorders>
            <w:shd w:val="clear" w:color="auto" w:fill="DDDDDD"/>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4,670.0</w:t>
            </w:r>
          </w:p>
        </w:tc>
      </w:tr>
      <w:tr>
        <w:trPr>
          <w:trHeight w:val="230"/>
        </w:trPr>
        <w:tc>
          <w:tcPr>
            <w:tcW w:w="9760" w:type="dxa"/>
            <w:vAlign w:val="bottom"/>
          </w:tcPr>
          <w:p>
            <w:pPr>
              <w:ind w:left="20"/>
              <w:spacing w:after="0" w:line="230" w:lineRule="exact"/>
              <w:rPr>
                <w:sz w:val="20"/>
                <w:szCs w:val="20"/>
                <w:color w:val="auto"/>
              </w:rPr>
            </w:pPr>
            <w:r>
              <w:rPr>
                <w:rFonts w:ascii="Arial" w:cs="Arial" w:eastAsia="Arial" w:hAnsi="Arial"/>
                <w:sz w:val="18"/>
                <w:szCs w:val="18"/>
                <w:color w:val="auto"/>
              </w:rPr>
              <w:t>Finite-lived intangibles</w:t>
            </w:r>
            <w:r>
              <w:rPr>
                <w:rFonts w:ascii="Arial" w:cs="Arial" w:eastAsia="Arial" w:hAnsi="Arial"/>
                <w:sz w:val="23"/>
                <w:szCs w:val="23"/>
                <w:color w:val="auto"/>
                <w:vertAlign w:val="superscript"/>
              </w:rPr>
              <w:t>(2)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980.0</w:t>
            </w:r>
          </w:p>
        </w:tc>
      </w:tr>
      <w:tr>
        <w:trPr>
          <w:trHeight w:val="229"/>
        </w:trPr>
        <w:tc>
          <w:tcPr>
            <w:tcW w:w="9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(1,032.8)</w:t>
            </w:r>
          </w:p>
        </w:tc>
      </w:tr>
      <w:tr>
        <w:trPr>
          <w:trHeight w:val="229"/>
        </w:trPr>
        <w:tc>
          <w:tcPr>
            <w:tcW w:w="97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Other assets and liabilities - net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9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Total identifiable net assets</w:t>
            </w:r>
          </w:p>
        </w:tc>
        <w:tc>
          <w:tcPr>
            <w:tcW w:w="42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4,590.8</w:t>
            </w:r>
          </w:p>
        </w:tc>
      </w:tr>
      <w:tr>
        <w:trPr>
          <w:trHeight w:val="229"/>
        </w:trPr>
        <w:tc>
          <w:tcPr>
            <w:tcW w:w="9760" w:type="dxa"/>
            <w:vAlign w:val="bottom"/>
            <w:tcBorders>
              <w:bottom w:val="single" w:sz="8" w:color="DDDDDD"/>
            </w:tcBorders>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2,326.9</w:t>
            </w:r>
          </w:p>
        </w:tc>
      </w:tr>
      <w:tr>
        <w:trPr>
          <w:trHeight w:val="230"/>
        </w:trPr>
        <w:tc>
          <w:tcPr>
            <w:tcW w:w="97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Total consideration transferred - net of cash acquired</w:t>
            </w:r>
          </w:p>
        </w:tc>
        <w:tc>
          <w:tcPr>
            <w:tcW w:w="420" w:type="dxa"/>
            <w:vAlign w:val="bottom"/>
            <w:tcBorders>
              <w:bottom w:val="single" w:sz="8" w:color="auto"/>
            </w:tcBorders>
            <w:shd w:val="clear" w:color="auto" w:fill="DDDDDD"/>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6,917.7</w:t>
            </w:r>
          </w:p>
        </w:tc>
      </w:tr>
    </w:tbl>
    <w:p>
      <w:pPr>
        <w:spacing w:after="0" w:line="194"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9"/>
          <w:szCs w:val="9"/>
          <w:color w:val="auto"/>
        </w:rPr>
      </w:pPr>
      <w:r>
        <w:rPr>
          <w:rFonts w:ascii="Arial" w:cs="Arial" w:eastAsia="Arial" w:hAnsi="Arial"/>
          <w:sz w:val="14"/>
          <w:szCs w:val="14"/>
          <w:color w:val="auto"/>
        </w:rPr>
        <w:t>$4.60 billion of the acquired IPR&amp;D relates to selpercatinib (LOXO-292).</w:t>
      </w:r>
    </w:p>
    <w:p>
      <w:pPr>
        <w:spacing w:after="0" w:line="1" w:lineRule="exact"/>
        <w:rPr>
          <w:rFonts w:ascii="Arial" w:cs="Arial" w:eastAsia="Arial" w:hAnsi="Arial"/>
          <w:sz w:val="9"/>
          <w:szCs w:val="9"/>
          <w:color w:val="auto"/>
        </w:rPr>
      </w:pPr>
    </w:p>
    <w:p>
      <w:pPr>
        <w:ind w:left="180" w:right="180" w:hanging="172"/>
        <w:spacing w:after="0" w:line="241" w:lineRule="auto"/>
        <w:tabs>
          <w:tab w:leader="none" w:pos="158" w:val="left"/>
        </w:tabs>
        <w:numPr>
          <w:ilvl w:val="0"/>
          <w:numId w:val="45"/>
        </w:numPr>
        <w:rPr>
          <w:rFonts w:ascii="Arial" w:cs="Arial" w:eastAsia="Arial" w:hAnsi="Arial"/>
          <w:sz w:val="9"/>
          <w:szCs w:val="9"/>
          <w:color w:val="auto"/>
        </w:rPr>
      </w:pPr>
      <w:r>
        <w:rPr>
          <w:rFonts w:ascii="Arial" w:cs="Arial" w:eastAsia="Arial" w:hAnsi="Arial"/>
          <w:sz w:val="14"/>
          <w:szCs w:val="14"/>
          <w:color w:val="auto"/>
        </w:rPr>
        <w:t>Contract-based intangibles for Vitrakvi and a Phase I molecule which were amortized to cost of sales on a straight-line basis over their estimated useful lives and were expected to have a weighted average useful life of approximately 12 years from the acquisition date. In the fourth quarter of 2021 we impaired the intangible for the Phase I molecule. See Note 5 for additional information.</w:t>
      </w:r>
    </w:p>
    <w:p>
      <w:pPr>
        <w:spacing w:after="0" w:line="1" w:lineRule="exact"/>
        <w:rPr>
          <w:rFonts w:ascii="Arial" w:cs="Arial" w:eastAsia="Arial" w:hAnsi="Arial"/>
          <w:sz w:val="9"/>
          <w:szCs w:val="9"/>
          <w:color w:val="auto"/>
        </w:rPr>
      </w:pPr>
    </w:p>
    <w:p>
      <w:pPr>
        <w:ind w:left="180" w:right="140" w:hanging="172"/>
        <w:spacing w:after="0" w:line="258" w:lineRule="auto"/>
        <w:tabs>
          <w:tab w:leader="none" w:pos="164" w:val="left"/>
        </w:tabs>
        <w:numPr>
          <w:ilvl w:val="0"/>
          <w:numId w:val="45"/>
        </w:numPr>
        <w:rPr>
          <w:rFonts w:ascii="Arial" w:cs="Arial" w:eastAsia="Arial" w:hAnsi="Arial"/>
          <w:sz w:val="9"/>
          <w:szCs w:val="9"/>
          <w:color w:val="auto"/>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 our asset acquisitions during 2021,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Counterparty</w:t>
            </w:r>
          </w:p>
        </w:tc>
        <w:tc>
          <w:tcPr>
            <w:tcW w:w="35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Compound(s),Therapy, or Asset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Acquisition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40" w:type="dxa"/>
            <w:vAlign w:val="bottom"/>
          </w:tcPr>
          <w:p>
            <w:pPr>
              <w:spacing w:after="0"/>
              <w:rPr>
                <w:sz w:val="14"/>
                <w:szCs w:val="14"/>
                <w:color w:val="auto"/>
              </w:rPr>
            </w:pPr>
          </w:p>
        </w:tc>
        <w:tc>
          <w:tcPr>
            <w:tcW w:w="1480" w:type="dxa"/>
            <w:vAlign w:val="bottom"/>
          </w:tcPr>
          <w:p>
            <w:pPr>
              <w:jc w:val="right"/>
              <w:ind w:right="195"/>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76"/>
        </w:trPr>
        <w:tc>
          <w:tcPr>
            <w:tcW w:w="3020" w:type="dxa"/>
            <w:vAlign w:val="bottom"/>
            <w:tcBorders>
              <w:bottom w:val="single" w:sz="8" w:color="auto"/>
            </w:tcBorders>
            <w:vMerge w:val="continue"/>
          </w:tcPr>
          <w:p>
            <w:pPr>
              <w:spacing w:after="0"/>
              <w:rPr>
                <w:sz w:val="15"/>
                <w:szCs w:val="15"/>
                <w:color w:val="auto"/>
              </w:rPr>
            </w:pPr>
          </w:p>
        </w:tc>
        <w:tc>
          <w:tcPr>
            <w:tcW w:w="352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Month</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Development</w:t>
            </w:r>
            <w:r>
              <w:rPr>
                <w:rFonts w:ascii="Arial" w:cs="Arial" w:eastAsia="Arial" w:hAnsi="Arial"/>
                <w:sz w:val="9"/>
                <w:szCs w:val="9"/>
                <w:b w:val="1"/>
                <w:bCs w:val="1"/>
                <w:color w:val="auto"/>
              </w:rPr>
              <w:t>(1)</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82"/>
        </w:trPr>
        <w:tc>
          <w:tcPr>
            <w:tcW w:w="302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Precision Biosciences, Inc.</w:t>
            </w:r>
          </w:p>
        </w:tc>
        <w:tc>
          <w:tcPr>
            <w:tcW w:w="3520" w:type="dxa"/>
            <w:vAlign w:val="bottom"/>
            <w:shd w:val="clear" w:color="auto" w:fill="D8D8D8"/>
          </w:tcPr>
          <w:p>
            <w:pPr>
              <w:ind w:left="380"/>
              <w:spacing w:after="0" w:line="182" w:lineRule="exact"/>
              <w:rPr>
                <w:sz w:val="20"/>
                <w:szCs w:val="20"/>
                <w:color w:val="auto"/>
              </w:rPr>
            </w:pPr>
            <w:r>
              <w:rPr>
                <w:rFonts w:ascii="Arial" w:cs="Arial" w:eastAsia="Arial" w:hAnsi="Arial"/>
                <w:sz w:val="18"/>
                <w:szCs w:val="18"/>
                <w:color w:val="auto"/>
              </w:rPr>
              <w:t>Potential in vivo therapies for genetic</w:t>
            </w:r>
          </w:p>
        </w:tc>
        <w:tc>
          <w:tcPr>
            <w:tcW w:w="148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January 2021</w:t>
            </w: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107.8</w:t>
            </w:r>
          </w:p>
        </w:tc>
        <w:tc>
          <w:tcPr>
            <w:tcW w:w="0" w:type="dxa"/>
            <w:vAlign w:val="bottom"/>
          </w:tcPr>
          <w:p>
            <w:pPr>
              <w:spacing w:after="0"/>
              <w:rPr>
                <w:sz w:val="1"/>
                <w:szCs w:val="1"/>
                <w:color w:val="auto"/>
              </w:rPr>
            </w:pPr>
          </w:p>
        </w:tc>
      </w:tr>
      <w:tr>
        <w:trPr>
          <w:trHeight w:val="122"/>
        </w:trPr>
        <w:tc>
          <w:tcPr>
            <w:tcW w:w="3020" w:type="dxa"/>
            <w:vAlign w:val="bottom"/>
            <w:vMerge w:val="continue"/>
            <w:shd w:val="clear" w:color="auto" w:fill="D8D8D8"/>
          </w:tcPr>
          <w:p>
            <w:pPr>
              <w:spacing w:after="0"/>
              <w:rPr>
                <w:sz w:val="10"/>
                <w:szCs w:val="10"/>
                <w:color w:val="auto"/>
              </w:rPr>
            </w:pPr>
          </w:p>
        </w:tc>
        <w:tc>
          <w:tcPr>
            <w:tcW w:w="3520" w:type="dxa"/>
            <w:vAlign w:val="bottom"/>
            <w:vMerge w:val="restart"/>
            <w:shd w:val="clear" w:color="auto" w:fill="D8D8D8"/>
          </w:tcPr>
          <w:p>
            <w:pPr>
              <w:ind w:left="380"/>
              <w:spacing w:after="0"/>
              <w:rPr>
                <w:sz w:val="20"/>
                <w:szCs w:val="20"/>
                <w:color w:val="auto"/>
              </w:rPr>
            </w:pPr>
            <w:r>
              <w:rPr>
                <w:rFonts w:ascii="Arial" w:cs="Arial" w:eastAsia="Arial" w:hAnsi="Arial"/>
                <w:sz w:val="18"/>
                <w:szCs w:val="18"/>
                <w:color w:val="auto"/>
              </w:rPr>
              <w:t>disorders</w:t>
            </w:r>
          </w:p>
        </w:tc>
        <w:tc>
          <w:tcPr>
            <w:tcW w:w="1480" w:type="dxa"/>
            <w:vAlign w:val="bottom"/>
            <w:vMerge w:val="continue"/>
            <w:shd w:val="clear" w:color="auto" w:fill="D8D8D8"/>
          </w:tcPr>
          <w:p>
            <w:pPr>
              <w:spacing w:after="0"/>
              <w:rPr>
                <w:sz w:val="10"/>
                <w:szCs w:val="10"/>
                <w:color w:val="auto"/>
              </w:rPr>
            </w:pPr>
          </w:p>
        </w:tc>
        <w:tc>
          <w:tcPr>
            <w:tcW w:w="1400" w:type="dxa"/>
            <w:vAlign w:val="bottom"/>
            <w:vMerge w:val="continue"/>
            <w:shd w:val="clear" w:color="auto" w:fill="D8D8D8"/>
          </w:tcPr>
          <w:p>
            <w:pPr>
              <w:spacing w:after="0"/>
              <w:rPr>
                <w:sz w:val="10"/>
                <w:szCs w:val="10"/>
                <w:color w:val="auto"/>
              </w:rPr>
            </w:pPr>
          </w:p>
        </w:tc>
        <w:tc>
          <w:tcPr>
            <w:tcW w:w="340" w:type="dxa"/>
            <w:vAlign w:val="bottom"/>
            <w:vMerge w:val="continue"/>
            <w:shd w:val="clear" w:color="auto" w:fill="D8D8D8"/>
          </w:tcPr>
          <w:p>
            <w:pPr>
              <w:spacing w:after="0"/>
              <w:rPr>
                <w:sz w:val="10"/>
                <w:szCs w:val="10"/>
                <w:color w:val="auto"/>
              </w:rPr>
            </w:pPr>
          </w:p>
        </w:tc>
        <w:tc>
          <w:tcPr>
            <w:tcW w:w="148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20" w:type="dxa"/>
            <w:vAlign w:val="bottom"/>
            <w:tcBorders>
              <w:bottom w:val="single" w:sz="8" w:color="auto"/>
            </w:tcBorders>
            <w:shd w:val="clear" w:color="auto" w:fill="D8D8D8"/>
          </w:tcPr>
          <w:p>
            <w:pPr>
              <w:spacing w:after="0"/>
              <w:rPr>
                <w:sz w:val="8"/>
                <w:szCs w:val="8"/>
                <w:color w:val="auto"/>
              </w:rPr>
            </w:pPr>
          </w:p>
        </w:tc>
        <w:tc>
          <w:tcPr>
            <w:tcW w:w="3520" w:type="dxa"/>
            <w:vAlign w:val="bottom"/>
            <w:tcBorders>
              <w:bottom w:val="single" w:sz="8" w:color="auto"/>
            </w:tcBorders>
            <w:vMerge w:val="continue"/>
            <w:shd w:val="clear" w:color="auto" w:fill="D8D8D8"/>
          </w:tcPr>
          <w:p>
            <w:pPr>
              <w:spacing w:after="0"/>
              <w:rPr>
                <w:sz w:val="8"/>
                <w:szCs w:val="8"/>
                <w:color w:val="auto"/>
              </w:rPr>
            </w:pPr>
          </w:p>
        </w:tc>
        <w:tc>
          <w:tcPr>
            <w:tcW w:w="1480" w:type="dxa"/>
            <w:vAlign w:val="bottom"/>
            <w:tcBorders>
              <w:bottom w:val="single" w:sz="8" w:color="auto"/>
            </w:tcBorders>
            <w:shd w:val="clear" w:color="auto" w:fill="D8D8D8"/>
          </w:tcPr>
          <w:p>
            <w:pPr>
              <w:spacing w:after="0"/>
              <w:rPr>
                <w:sz w:val="8"/>
                <w:szCs w:val="8"/>
                <w:color w:val="auto"/>
              </w:rPr>
            </w:pPr>
          </w:p>
        </w:tc>
        <w:tc>
          <w:tcPr>
            <w:tcW w:w="1400" w:type="dxa"/>
            <w:vAlign w:val="bottom"/>
            <w:tcBorders>
              <w:bottom w:val="single" w:sz="8" w:color="auto"/>
            </w:tcBorders>
            <w:shd w:val="clear" w:color="auto" w:fill="D8D8D8"/>
          </w:tcPr>
          <w:p>
            <w:pPr>
              <w:spacing w:after="0"/>
              <w:rPr>
                <w:sz w:val="8"/>
                <w:szCs w:val="8"/>
                <w:color w:val="auto"/>
              </w:rPr>
            </w:pPr>
          </w:p>
        </w:tc>
        <w:tc>
          <w:tcPr>
            <w:tcW w:w="340" w:type="dxa"/>
            <w:vAlign w:val="bottom"/>
            <w:tcBorders>
              <w:bottom w:val="single" w:sz="8" w:color="auto"/>
            </w:tcBorders>
            <w:shd w:val="clear" w:color="auto" w:fill="D8D8D8"/>
          </w:tcPr>
          <w:p>
            <w:pPr>
              <w:spacing w:after="0"/>
              <w:rPr>
                <w:sz w:val="8"/>
                <w:szCs w:val="8"/>
                <w:color w:val="auto"/>
              </w:rPr>
            </w:pPr>
          </w:p>
        </w:tc>
        <w:tc>
          <w:tcPr>
            <w:tcW w:w="1480" w:type="dxa"/>
            <w:vAlign w:val="bottom"/>
            <w:tcBorders>
              <w:bottom w:val="single" w:sz="8" w:color="auto"/>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3520" w:type="dxa"/>
            <w:vAlign w:val="bottom"/>
          </w:tcPr>
          <w:p>
            <w:pPr>
              <w:ind w:left="380"/>
              <w:spacing w:after="0" w:line="182" w:lineRule="exact"/>
              <w:rPr>
                <w:sz w:val="20"/>
                <w:szCs w:val="20"/>
                <w:color w:val="auto"/>
              </w:rPr>
            </w:pPr>
            <w:r>
              <w:rPr>
                <w:rFonts w:ascii="Arial" w:cs="Arial" w:eastAsia="Arial" w:hAnsi="Arial"/>
                <w:sz w:val="18"/>
                <w:szCs w:val="18"/>
                <w:color w:val="auto"/>
              </w:rPr>
              <w:t>CD3-engaging T-cell re-directing</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46.5</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Merus N.V.</w:t>
            </w:r>
          </w:p>
        </w:tc>
        <w:tc>
          <w:tcPr>
            <w:tcW w:w="3520" w:type="dxa"/>
            <w:vAlign w:val="bottom"/>
          </w:tcPr>
          <w:p>
            <w:pPr>
              <w:ind w:left="380"/>
              <w:spacing w:after="0" w:line="176" w:lineRule="exact"/>
              <w:rPr>
                <w:sz w:val="20"/>
                <w:szCs w:val="20"/>
                <w:color w:val="auto"/>
              </w:rPr>
            </w:pPr>
            <w:r>
              <w:rPr>
                <w:rFonts w:ascii="Arial" w:cs="Arial" w:eastAsia="Arial" w:hAnsi="Arial"/>
                <w:sz w:val="18"/>
                <w:szCs w:val="18"/>
                <w:color w:val="auto"/>
              </w:rPr>
              <w:t>bispecific antibodies for the potential</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rPr>
              <w:t>January 2021</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9"/>
              </w:rPr>
              <w:t>Pre-clinical</w:t>
            </w:r>
          </w:p>
        </w:tc>
        <w:tc>
          <w:tcPr>
            <w:tcW w:w="3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treatment of cancer</w:t>
            </w:r>
          </w:p>
        </w:tc>
        <w:tc>
          <w:tcPr>
            <w:tcW w:w="1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20" w:type="dxa"/>
            <w:vAlign w:val="bottom"/>
            <w:shd w:val="clear" w:color="auto" w:fill="D8D8D8"/>
          </w:tcPr>
          <w:p>
            <w:pPr>
              <w:spacing w:after="0"/>
              <w:rPr>
                <w:sz w:val="15"/>
                <w:szCs w:val="15"/>
                <w:color w:val="auto"/>
              </w:rPr>
            </w:pPr>
          </w:p>
        </w:tc>
        <w:tc>
          <w:tcPr>
            <w:tcW w:w="3520" w:type="dxa"/>
            <w:vAlign w:val="bottom"/>
            <w:shd w:val="clear" w:color="auto" w:fill="D8D8D8"/>
          </w:tcPr>
          <w:p>
            <w:pPr>
              <w:ind w:left="380"/>
              <w:spacing w:after="0" w:line="182" w:lineRule="exact"/>
              <w:rPr>
                <w:sz w:val="20"/>
                <w:szCs w:val="20"/>
                <w:color w:val="auto"/>
              </w:rPr>
            </w:pPr>
            <w:r>
              <w:rPr>
                <w:rFonts w:ascii="Arial" w:cs="Arial" w:eastAsia="Arial" w:hAnsi="Arial"/>
                <w:sz w:val="18"/>
                <w:szCs w:val="18"/>
                <w:color w:val="auto"/>
              </w:rPr>
              <w:t>AK1780, an orally bioavailable P2X7</w:t>
            </w:r>
          </w:p>
        </w:tc>
        <w:tc>
          <w:tcPr>
            <w:tcW w:w="1480" w:type="dxa"/>
            <w:vAlign w:val="bottom"/>
            <w:shd w:val="clear" w:color="auto" w:fill="D8D8D8"/>
          </w:tcPr>
          <w:p>
            <w:pPr>
              <w:spacing w:after="0"/>
              <w:rPr>
                <w:sz w:val="15"/>
                <w:szCs w:val="15"/>
                <w:color w:val="auto"/>
              </w:rPr>
            </w:pPr>
          </w:p>
        </w:tc>
        <w:tc>
          <w:tcPr>
            <w:tcW w:w="1400" w:type="dxa"/>
            <w:vAlign w:val="bottom"/>
            <w:shd w:val="clear" w:color="auto" w:fill="D8D8D8"/>
          </w:tcPr>
          <w:p>
            <w:pPr>
              <w:spacing w:after="0"/>
              <w:rPr>
                <w:sz w:val="15"/>
                <w:szCs w:val="15"/>
                <w:color w:val="auto"/>
              </w:rPr>
            </w:pPr>
          </w:p>
        </w:tc>
        <w:tc>
          <w:tcPr>
            <w:tcW w:w="340" w:type="dxa"/>
            <w:vAlign w:val="bottom"/>
            <w:shd w:val="clear" w:color="auto" w:fill="D8D8D8"/>
          </w:tcPr>
          <w:p>
            <w:pPr>
              <w:spacing w:after="0"/>
              <w:rPr>
                <w:sz w:val="15"/>
                <w:szCs w:val="15"/>
                <w:color w:val="auto"/>
              </w:rPr>
            </w:pP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75"/>
        </w:trPr>
        <w:tc>
          <w:tcPr>
            <w:tcW w:w="302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Asahi Kasei Pharma Corporation</w:t>
            </w:r>
          </w:p>
        </w:tc>
        <w:tc>
          <w:tcPr>
            <w:tcW w:w="3520" w:type="dxa"/>
            <w:vAlign w:val="bottom"/>
            <w:shd w:val="clear" w:color="auto" w:fill="D8D8D8"/>
          </w:tcPr>
          <w:p>
            <w:pPr>
              <w:ind w:left="380"/>
              <w:spacing w:after="0" w:line="176" w:lineRule="exact"/>
              <w:rPr>
                <w:sz w:val="20"/>
                <w:szCs w:val="20"/>
                <w:color w:val="auto"/>
              </w:rPr>
            </w:pPr>
            <w:r>
              <w:rPr>
                <w:rFonts w:ascii="Arial" w:cs="Arial" w:eastAsia="Arial" w:hAnsi="Arial"/>
                <w:sz w:val="18"/>
                <w:szCs w:val="18"/>
                <w:color w:val="auto"/>
              </w:rPr>
              <w:t>receptor antagonist for the potential</w:t>
            </w:r>
          </w:p>
        </w:tc>
        <w:tc>
          <w:tcPr>
            <w:tcW w:w="1480" w:type="dxa"/>
            <w:vAlign w:val="bottom"/>
            <w:shd w:val="clear" w:color="auto" w:fill="D8D8D8"/>
          </w:tcPr>
          <w:p>
            <w:pPr>
              <w:jc w:val="center"/>
              <w:spacing w:after="0" w:line="176" w:lineRule="exact"/>
              <w:rPr>
                <w:sz w:val="20"/>
                <w:szCs w:val="20"/>
                <w:color w:val="auto"/>
              </w:rPr>
            </w:pPr>
            <w:r>
              <w:rPr>
                <w:rFonts w:ascii="Arial" w:cs="Arial" w:eastAsia="Arial" w:hAnsi="Arial"/>
                <w:sz w:val="18"/>
                <w:szCs w:val="18"/>
                <w:color w:val="auto"/>
              </w:rPr>
              <w:t>January 2021</w:t>
            </w:r>
          </w:p>
        </w:tc>
        <w:tc>
          <w:tcPr>
            <w:tcW w:w="1400" w:type="dxa"/>
            <w:vAlign w:val="bottom"/>
            <w:shd w:val="clear" w:color="auto" w:fill="D8D8D8"/>
          </w:tcPr>
          <w:p>
            <w:pPr>
              <w:jc w:val="center"/>
              <w:spacing w:after="0" w:line="176" w:lineRule="exact"/>
              <w:rPr>
                <w:sz w:val="20"/>
                <w:szCs w:val="20"/>
                <w:color w:val="auto"/>
              </w:rPr>
            </w:pPr>
            <w:r>
              <w:rPr>
                <w:rFonts w:ascii="Arial" w:cs="Arial" w:eastAsia="Arial" w:hAnsi="Arial"/>
                <w:sz w:val="18"/>
                <w:szCs w:val="18"/>
                <w:color w:val="auto"/>
                <w:w w:val="98"/>
              </w:rPr>
              <w:t>Phase I</w:t>
            </w:r>
          </w:p>
        </w:tc>
        <w:tc>
          <w:tcPr>
            <w:tcW w:w="340" w:type="dxa"/>
            <w:vAlign w:val="bottom"/>
            <w:shd w:val="clear" w:color="auto" w:fill="D8D8D8"/>
          </w:tcPr>
          <w:p>
            <w:pPr>
              <w:spacing w:after="0"/>
              <w:rPr>
                <w:sz w:val="15"/>
                <w:szCs w:val="15"/>
                <w:color w:val="auto"/>
              </w:rPr>
            </w:pPr>
          </w:p>
        </w:tc>
        <w:tc>
          <w:tcPr>
            <w:tcW w:w="148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20" w:type="dxa"/>
            <w:vAlign w:val="bottom"/>
            <w:tcBorders>
              <w:bottom w:val="single" w:sz="8" w:color="auto"/>
            </w:tcBorders>
            <w:shd w:val="clear" w:color="auto" w:fill="D8D8D8"/>
          </w:tcPr>
          <w:p>
            <w:pPr>
              <w:spacing w:after="0"/>
              <w:rPr>
                <w:sz w:val="18"/>
                <w:szCs w:val="18"/>
                <w:color w:val="auto"/>
              </w:rPr>
            </w:pPr>
          </w:p>
        </w:tc>
        <w:tc>
          <w:tcPr>
            <w:tcW w:w="3520" w:type="dxa"/>
            <w:vAlign w:val="bottom"/>
            <w:tcBorders>
              <w:bottom w:val="single" w:sz="8" w:color="auto"/>
            </w:tcBorders>
            <w:shd w:val="clear" w:color="auto" w:fill="D8D8D8"/>
          </w:tcPr>
          <w:p>
            <w:pPr>
              <w:ind w:left="380"/>
              <w:spacing w:after="0"/>
              <w:rPr>
                <w:sz w:val="20"/>
                <w:szCs w:val="20"/>
                <w:color w:val="auto"/>
              </w:rPr>
            </w:pPr>
            <w:r>
              <w:rPr>
                <w:rFonts w:ascii="Arial" w:cs="Arial" w:eastAsia="Arial" w:hAnsi="Arial"/>
                <w:sz w:val="18"/>
                <w:szCs w:val="18"/>
                <w:color w:val="auto"/>
              </w:rPr>
              <w:t>treatment of chronic pain conditions</w:t>
            </w:r>
          </w:p>
        </w:tc>
        <w:tc>
          <w:tcPr>
            <w:tcW w:w="1480" w:type="dxa"/>
            <w:vAlign w:val="bottom"/>
            <w:tcBorders>
              <w:bottom w:val="single" w:sz="8" w:color="auto"/>
            </w:tcBorders>
            <w:shd w:val="clear" w:color="auto" w:fill="D8D8D8"/>
          </w:tcPr>
          <w:p>
            <w:pPr>
              <w:spacing w:after="0"/>
              <w:rPr>
                <w:sz w:val="18"/>
                <w:szCs w:val="18"/>
                <w:color w:val="auto"/>
              </w:rPr>
            </w:pPr>
          </w:p>
        </w:tc>
        <w:tc>
          <w:tcPr>
            <w:tcW w:w="1400" w:type="dxa"/>
            <w:vAlign w:val="bottom"/>
            <w:tcBorders>
              <w:bottom w:val="single" w:sz="8" w:color="auto"/>
            </w:tcBorders>
            <w:shd w:val="clear" w:color="auto" w:fill="D8D8D8"/>
          </w:tcPr>
          <w:p>
            <w:pPr>
              <w:spacing w:after="0"/>
              <w:rPr>
                <w:sz w:val="18"/>
                <w:szCs w:val="18"/>
                <w:color w:val="auto"/>
              </w:rPr>
            </w:pPr>
          </w:p>
        </w:tc>
        <w:tc>
          <w:tcPr>
            <w:tcW w:w="340" w:type="dxa"/>
            <w:vAlign w:val="bottom"/>
            <w:tcBorders>
              <w:bottom w:val="single" w:sz="8" w:color="auto"/>
            </w:tcBorders>
            <w:shd w:val="clear" w:color="auto" w:fill="D8D8D8"/>
          </w:tcPr>
          <w:p>
            <w:pPr>
              <w:spacing w:after="0"/>
              <w:rPr>
                <w:sz w:val="18"/>
                <w:szCs w:val="18"/>
                <w:color w:val="auto"/>
              </w:rPr>
            </w:pPr>
          </w:p>
        </w:tc>
        <w:tc>
          <w:tcPr>
            <w:tcW w:w="1480" w:type="dxa"/>
            <w:vAlign w:val="bottom"/>
            <w:tcBorders>
              <w:bottom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20" w:type="dxa"/>
            <w:vAlign w:val="bottom"/>
          </w:tcPr>
          <w:p>
            <w:pPr>
              <w:spacing w:after="0"/>
              <w:rPr>
                <w:sz w:val="15"/>
                <w:szCs w:val="15"/>
                <w:color w:val="auto"/>
              </w:rPr>
            </w:pPr>
          </w:p>
        </w:tc>
        <w:tc>
          <w:tcPr>
            <w:tcW w:w="3520" w:type="dxa"/>
            <w:vAlign w:val="bottom"/>
          </w:tcPr>
          <w:p>
            <w:pPr>
              <w:ind w:left="380"/>
              <w:spacing w:after="0" w:line="182" w:lineRule="exact"/>
              <w:rPr>
                <w:sz w:val="20"/>
                <w:szCs w:val="20"/>
                <w:color w:val="auto"/>
              </w:rPr>
            </w:pPr>
            <w:r>
              <w:rPr>
                <w:rFonts w:ascii="Arial" w:cs="Arial" w:eastAsia="Arial" w:hAnsi="Arial"/>
                <w:sz w:val="18"/>
                <w:szCs w:val="18"/>
                <w:color w:val="auto"/>
              </w:rPr>
              <w:t>R552, a receptor-interacting</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3520" w:type="dxa"/>
            <w:vAlign w:val="bottom"/>
          </w:tcPr>
          <w:p>
            <w:pPr>
              <w:ind w:left="380"/>
              <w:spacing w:after="0" w:line="176" w:lineRule="exact"/>
              <w:rPr>
                <w:sz w:val="20"/>
                <w:szCs w:val="20"/>
                <w:color w:val="auto"/>
              </w:rPr>
            </w:pPr>
            <w:r>
              <w:rPr>
                <w:rFonts w:ascii="Arial" w:cs="Arial" w:eastAsia="Arial" w:hAnsi="Arial"/>
                <w:sz w:val="18"/>
                <w:szCs w:val="18"/>
                <w:color w:val="auto"/>
              </w:rPr>
              <w:t>serine/threonine-protein kinase 1</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125.0</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Rigel Pharmaceuticals, Inc.</w:t>
            </w:r>
          </w:p>
        </w:tc>
        <w:tc>
          <w:tcPr>
            <w:tcW w:w="3520" w:type="dxa"/>
            <w:vAlign w:val="bottom"/>
          </w:tcPr>
          <w:p>
            <w:pPr>
              <w:ind w:left="380"/>
              <w:spacing w:after="0" w:line="176" w:lineRule="exact"/>
              <w:rPr>
                <w:sz w:val="20"/>
                <w:szCs w:val="20"/>
                <w:color w:val="auto"/>
              </w:rPr>
            </w:pPr>
            <w:r>
              <w:rPr>
                <w:rFonts w:ascii="Arial" w:cs="Arial" w:eastAsia="Arial" w:hAnsi="Arial"/>
                <w:sz w:val="18"/>
                <w:szCs w:val="18"/>
                <w:color w:val="auto"/>
              </w:rPr>
              <w:t>(RIPK1) inhibitor, for the potential</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8"/>
              </w:rPr>
              <w:t>March 2021</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8"/>
              </w:rPr>
              <w:t>Phase I</w:t>
            </w:r>
          </w:p>
        </w:tc>
        <w:tc>
          <w:tcPr>
            <w:tcW w:w="3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3520" w:type="dxa"/>
            <w:vAlign w:val="bottom"/>
          </w:tcPr>
          <w:p>
            <w:pPr>
              <w:ind w:left="380"/>
              <w:spacing w:after="0" w:line="176" w:lineRule="exact"/>
              <w:rPr>
                <w:sz w:val="20"/>
                <w:szCs w:val="20"/>
                <w:color w:val="auto"/>
              </w:rPr>
            </w:pPr>
            <w:r>
              <w:rPr>
                <w:rFonts w:ascii="Arial" w:cs="Arial" w:eastAsia="Arial" w:hAnsi="Arial"/>
                <w:sz w:val="18"/>
                <w:szCs w:val="18"/>
                <w:color w:val="auto"/>
              </w:rPr>
              <w:t>treatment of autoimmune and</w:t>
            </w: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inflammatory diseases</w:t>
            </w:r>
          </w:p>
        </w:tc>
        <w:tc>
          <w:tcPr>
            <w:tcW w:w="1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2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MiNA Therapeutics Limited</w:t>
            </w:r>
          </w:p>
        </w:tc>
        <w:tc>
          <w:tcPr>
            <w:tcW w:w="3520" w:type="dxa"/>
            <w:vAlign w:val="bottom"/>
            <w:shd w:val="clear" w:color="auto" w:fill="D8D8D8"/>
          </w:tcPr>
          <w:p>
            <w:pPr>
              <w:ind w:left="380"/>
              <w:spacing w:after="0" w:line="182" w:lineRule="exact"/>
              <w:rPr>
                <w:sz w:val="20"/>
                <w:szCs w:val="20"/>
                <w:color w:val="auto"/>
              </w:rPr>
            </w:pPr>
            <w:r>
              <w:rPr>
                <w:rFonts w:ascii="Arial" w:cs="Arial" w:eastAsia="Arial" w:hAnsi="Arial"/>
                <w:sz w:val="18"/>
                <w:szCs w:val="18"/>
                <w:color w:val="auto"/>
              </w:rPr>
              <w:t>Pre-clinical targets that could lead to</w:t>
            </w:r>
          </w:p>
        </w:tc>
        <w:tc>
          <w:tcPr>
            <w:tcW w:w="148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8"/>
              </w:rPr>
              <w:t>May 2021</w:t>
            </w:r>
          </w:p>
        </w:tc>
        <w:tc>
          <w:tcPr>
            <w:tcW w:w="14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shd w:val="clear" w:color="auto" w:fill="D8D8D8"/>
          </w:tcPr>
          <w:p>
            <w:pPr>
              <w:spacing w:after="0"/>
              <w:rPr>
                <w:sz w:val="15"/>
                <w:szCs w:val="15"/>
                <w:color w:val="auto"/>
              </w:rPr>
            </w:pPr>
          </w:p>
        </w:tc>
        <w:tc>
          <w:tcPr>
            <w:tcW w:w="14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122"/>
        </w:trPr>
        <w:tc>
          <w:tcPr>
            <w:tcW w:w="3020" w:type="dxa"/>
            <w:vAlign w:val="bottom"/>
            <w:vMerge w:val="continue"/>
            <w:shd w:val="clear" w:color="auto" w:fill="D8D8D8"/>
          </w:tcPr>
          <w:p>
            <w:pPr>
              <w:spacing w:after="0"/>
              <w:rPr>
                <w:sz w:val="10"/>
                <w:szCs w:val="10"/>
                <w:color w:val="auto"/>
              </w:rPr>
            </w:pPr>
          </w:p>
        </w:tc>
        <w:tc>
          <w:tcPr>
            <w:tcW w:w="3520" w:type="dxa"/>
            <w:vAlign w:val="bottom"/>
            <w:vMerge w:val="restart"/>
            <w:shd w:val="clear" w:color="auto" w:fill="D8D8D8"/>
          </w:tcPr>
          <w:p>
            <w:pPr>
              <w:ind w:left="380"/>
              <w:spacing w:after="0"/>
              <w:rPr>
                <w:sz w:val="20"/>
                <w:szCs w:val="20"/>
                <w:color w:val="auto"/>
              </w:rPr>
            </w:pPr>
            <w:r>
              <w:rPr>
                <w:rFonts w:ascii="Arial" w:cs="Arial" w:eastAsia="Arial" w:hAnsi="Arial"/>
                <w:sz w:val="18"/>
                <w:szCs w:val="18"/>
                <w:color w:val="auto"/>
              </w:rPr>
              <w:t>potential new medicines</w:t>
            </w:r>
          </w:p>
        </w:tc>
        <w:tc>
          <w:tcPr>
            <w:tcW w:w="1480" w:type="dxa"/>
            <w:vAlign w:val="bottom"/>
            <w:vMerge w:val="continue"/>
            <w:shd w:val="clear" w:color="auto" w:fill="D8D8D8"/>
          </w:tcPr>
          <w:p>
            <w:pPr>
              <w:spacing w:after="0"/>
              <w:rPr>
                <w:sz w:val="10"/>
                <w:szCs w:val="10"/>
                <w:color w:val="auto"/>
              </w:rPr>
            </w:pPr>
          </w:p>
        </w:tc>
        <w:tc>
          <w:tcPr>
            <w:tcW w:w="1400" w:type="dxa"/>
            <w:vAlign w:val="bottom"/>
            <w:vMerge w:val="continue"/>
            <w:shd w:val="clear" w:color="auto" w:fill="D8D8D8"/>
          </w:tcPr>
          <w:p>
            <w:pPr>
              <w:spacing w:after="0"/>
              <w:rPr>
                <w:sz w:val="10"/>
                <w:szCs w:val="10"/>
                <w:color w:val="auto"/>
              </w:rPr>
            </w:pPr>
          </w:p>
        </w:tc>
        <w:tc>
          <w:tcPr>
            <w:tcW w:w="340" w:type="dxa"/>
            <w:vAlign w:val="bottom"/>
            <w:shd w:val="clear" w:color="auto" w:fill="D8D8D8"/>
          </w:tcPr>
          <w:p>
            <w:pPr>
              <w:spacing w:after="0"/>
              <w:rPr>
                <w:sz w:val="10"/>
                <w:szCs w:val="10"/>
                <w:color w:val="auto"/>
              </w:rPr>
            </w:pPr>
          </w:p>
        </w:tc>
        <w:tc>
          <w:tcPr>
            <w:tcW w:w="148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020" w:type="dxa"/>
            <w:vAlign w:val="bottom"/>
            <w:tcBorders>
              <w:bottom w:val="single" w:sz="8" w:color="auto"/>
            </w:tcBorders>
            <w:shd w:val="clear" w:color="auto" w:fill="D8D8D8"/>
          </w:tcPr>
          <w:p>
            <w:pPr>
              <w:spacing w:after="0"/>
              <w:rPr>
                <w:sz w:val="8"/>
                <w:szCs w:val="8"/>
                <w:color w:val="auto"/>
              </w:rPr>
            </w:pPr>
          </w:p>
        </w:tc>
        <w:tc>
          <w:tcPr>
            <w:tcW w:w="3520" w:type="dxa"/>
            <w:vAlign w:val="bottom"/>
            <w:tcBorders>
              <w:bottom w:val="single" w:sz="8" w:color="auto"/>
            </w:tcBorders>
            <w:vMerge w:val="continue"/>
            <w:shd w:val="clear" w:color="auto" w:fill="D8D8D8"/>
          </w:tcPr>
          <w:p>
            <w:pPr>
              <w:spacing w:after="0"/>
              <w:rPr>
                <w:sz w:val="8"/>
                <w:szCs w:val="8"/>
                <w:color w:val="auto"/>
              </w:rPr>
            </w:pPr>
          </w:p>
        </w:tc>
        <w:tc>
          <w:tcPr>
            <w:tcW w:w="1480" w:type="dxa"/>
            <w:vAlign w:val="bottom"/>
            <w:tcBorders>
              <w:bottom w:val="single" w:sz="8" w:color="auto"/>
            </w:tcBorders>
            <w:shd w:val="clear" w:color="auto" w:fill="D8D8D8"/>
          </w:tcPr>
          <w:p>
            <w:pPr>
              <w:spacing w:after="0"/>
              <w:rPr>
                <w:sz w:val="8"/>
                <w:szCs w:val="8"/>
                <w:color w:val="auto"/>
              </w:rPr>
            </w:pPr>
          </w:p>
        </w:tc>
        <w:tc>
          <w:tcPr>
            <w:tcW w:w="1400" w:type="dxa"/>
            <w:vAlign w:val="bottom"/>
            <w:tcBorders>
              <w:bottom w:val="single" w:sz="8" w:color="auto"/>
            </w:tcBorders>
            <w:shd w:val="clear" w:color="auto" w:fill="D8D8D8"/>
          </w:tcPr>
          <w:p>
            <w:pPr>
              <w:spacing w:after="0"/>
              <w:rPr>
                <w:sz w:val="8"/>
                <w:szCs w:val="8"/>
                <w:color w:val="auto"/>
              </w:rPr>
            </w:pPr>
          </w:p>
        </w:tc>
        <w:tc>
          <w:tcPr>
            <w:tcW w:w="340" w:type="dxa"/>
            <w:vAlign w:val="bottom"/>
            <w:tcBorders>
              <w:bottom w:val="single" w:sz="8" w:color="auto"/>
            </w:tcBorders>
            <w:shd w:val="clear" w:color="auto" w:fill="D8D8D8"/>
          </w:tcPr>
          <w:p>
            <w:pPr>
              <w:spacing w:after="0"/>
              <w:rPr>
                <w:sz w:val="8"/>
                <w:szCs w:val="8"/>
                <w:color w:val="auto"/>
              </w:rPr>
            </w:pPr>
          </w:p>
        </w:tc>
        <w:tc>
          <w:tcPr>
            <w:tcW w:w="1480" w:type="dxa"/>
            <w:vAlign w:val="bottom"/>
            <w:tcBorders>
              <w:bottom w:val="single" w:sz="8" w:color="auto"/>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Protomer Technologies Inc.</w:t>
            </w:r>
          </w:p>
        </w:tc>
        <w:tc>
          <w:tcPr>
            <w:tcW w:w="35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Glucose-sensing insulin program</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July 2021</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0" w:type="dxa"/>
            <w:vAlign w:val="bottom"/>
          </w:tcPr>
          <w:p>
            <w:pPr>
              <w:spacing w:after="0"/>
              <w:rPr>
                <w:sz w:val="1"/>
                <w:szCs w:val="1"/>
                <w:color w:val="auto"/>
              </w:rPr>
            </w:pPr>
          </w:p>
        </w:tc>
      </w:tr>
      <w:tr>
        <w:trPr>
          <w:trHeight w:val="898"/>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68</w:t>
            </w: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Counterparty</w:t>
            </w:r>
          </w:p>
        </w:tc>
        <w:tc>
          <w:tcPr>
            <w:tcW w:w="34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Compound(s),Therapy, or Asset</w:t>
            </w:r>
          </w:p>
        </w:tc>
        <w:tc>
          <w:tcPr>
            <w:tcW w:w="1360" w:type="dxa"/>
            <w:vAlign w:val="bottom"/>
          </w:tcPr>
          <w:p>
            <w:pPr>
              <w:jc w:val="center"/>
              <w:ind w:right="52"/>
              <w:spacing w:after="0"/>
              <w:rPr>
                <w:sz w:val="20"/>
                <w:szCs w:val="20"/>
                <w:color w:val="auto"/>
              </w:rPr>
            </w:pPr>
            <w:r>
              <w:rPr>
                <w:rFonts w:ascii="Arial" w:cs="Arial" w:eastAsia="Arial" w:hAnsi="Arial"/>
                <w:sz w:val="14"/>
                <w:szCs w:val="14"/>
                <w:b w:val="1"/>
                <w:bCs w:val="1"/>
                <w:color w:val="auto"/>
              </w:rPr>
              <w:t>Acquisition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1700" w:type="dxa"/>
            <w:vAlign w:val="bottom"/>
          </w:tcPr>
          <w:p>
            <w:pPr>
              <w:jc w:val="right"/>
              <w:ind w:right="192"/>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75"/>
        </w:trPr>
        <w:tc>
          <w:tcPr>
            <w:tcW w:w="3240" w:type="dxa"/>
            <w:vAlign w:val="bottom"/>
            <w:tcBorders>
              <w:bottom w:val="single" w:sz="8" w:color="auto"/>
            </w:tcBorders>
            <w:vMerge w:val="continue"/>
          </w:tcPr>
          <w:p>
            <w:pPr>
              <w:spacing w:after="0"/>
              <w:rPr>
                <w:sz w:val="15"/>
                <w:szCs w:val="15"/>
                <w:color w:val="auto"/>
              </w:rPr>
            </w:pPr>
          </w:p>
        </w:tc>
        <w:tc>
          <w:tcPr>
            <w:tcW w:w="34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9"/>
              </w:rPr>
              <w:t>Month</w:t>
            </w:r>
          </w:p>
        </w:tc>
        <w:tc>
          <w:tcPr>
            <w:tcW w:w="1520" w:type="dxa"/>
            <w:vAlign w:val="bottom"/>
            <w:tcBorders>
              <w:bottom w:val="single" w:sz="8" w:color="auto"/>
            </w:tcBorders>
          </w:tcPr>
          <w:p>
            <w:pPr>
              <w:jc w:val="center"/>
              <w:ind w:right="12"/>
              <w:spacing w:after="0" w:line="176" w:lineRule="exact"/>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17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82"/>
        </w:trPr>
        <w:tc>
          <w:tcPr>
            <w:tcW w:w="3240" w:type="dxa"/>
            <w:vAlign w:val="bottom"/>
            <w:shd w:val="clear" w:color="auto" w:fill="D8D8D8"/>
          </w:tcPr>
          <w:p>
            <w:pPr>
              <w:spacing w:after="0"/>
              <w:rPr>
                <w:sz w:val="15"/>
                <w:szCs w:val="15"/>
                <w:color w:val="auto"/>
              </w:rPr>
            </w:pPr>
          </w:p>
        </w:tc>
        <w:tc>
          <w:tcPr>
            <w:tcW w:w="3420" w:type="dxa"/>
            <w:vAlign w:val="bottom"/>
            <w:shd w:val="clear" w:color="auto" w:fill="D8D8D8"/>
          </w:tcPr>
          <w:p>
            <w:pPr>
              <w:ind w:left="160"/>
              <w:spacing w:after="0" w:line="182" w:lineRule="exact"/>
              <w:rPr>
                <w:sz w:val="20"/>
                <w:szCs w:val="20"/>
                <w:color w:val="auto"/>
              </w:rPr>
            </w:pPr>
            <w:r>
              <w:rPr>
                <w:rFonts w:ascii="Arial" w:cs="Arial" w:eastAsia="Arial" w:hAnsi="Arial"/>
                <w:sz w:val="18"/>
                <w:szCs w:val="18"/>
                <w:color w:val="auto"/>
              </w:rPr>
              <w:t>Pre-clinical small molecules that</w:t>
            </w:r>
          </w:p>
        </w:tc>
        <w:tc>
          <w:tcPr>
            <w:tcW w:w="1360" w:type="dxa"/>
            <w:vAlign w:val="bottom"/>
            <w:shd w:val="clear" w:color="auto" w:fill="D8D8D8"/>
          </w:tcPr>
          <w:p>
            <w:pPr>
              <w:spacing w:after="0"/>
              <w:rPr>
                <w:sz w:val="15"/>
                <w:szCs w:val="15"/>
                <w:color w:val="auto"/>
              </w:rPr>
            </w:pPr>
          </w:p>
        </w:tc>
        <w:tc>
          <w:tcPr>
            <w:tcW w:w="1520" w:type="dxa"/>
            <w:vAlign w:val="bottom"/>
            <w:shd w:val="clear" w:color="auto" w:fill="D8D8D8"/>
          </w:tcPr>
          <w:p>
            <w:pPr>
              <w:spacing w:after="0"/>
              <w:rPr>
                <w:sz w:val="15"/>
                <w:szCs w:val="15"/>
                <w:color w:val="auto"/>
              </w:rPr>
            </w:pPr>
          </w:p>
        </w:tc>
        <w:tc>
          <w:tcPr>
            <w:tcW w:w="17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55.0</w:t>
            </w:r>
          </w:p>
        </w:tc>
        <w:tc>
          <w:tcPr>
            <w:tcW w:w="0" w:type="dxa"/>
            <w:vAlign w:val="bottom"/>
          </w:tcPr>
          <w:p>
            <w:pPr>
              <w:spacing w:after="0"/>
              <w:rPr>
                <w:sz w:val="1"/>
                <w:szCs w:val="1"/>
                <w:color w:val="auto"/>
              </w:rPr>
            </w:pPr>
          </w:p>
        </w:tc>
      </w:tr>
      <w:tr>
        <w:trPr>
          <w:trHeight w:val="176"/>
        </w:trPr>
        <w:tc>
          <w:tcPr>
            <w:tcW w:w="3240" w:type="dxa"/>
            <w:vAlign w:val="bottom"/>
            <w:shd w:val="clear" w:color="auto" w:fill="D8D8D8"/>
          </w:tcPr>
          <w:p>
            <w:pPr>
              <w:ind w:left="20"/>
              <w:spacing w:after="0" w:line="176" w:lineRule="exact"/>
              <w:rPr>
                <w:sz w:val="20"/>
                <w:szCs w:val="20"/>
                <w:color w:val="auto"/>
              </w:rPr>
            </w:pPr>
            <w:r>
              <w:rPr>
                <w:rFonts w:ascii="Arial" w:cs="Arial" w:eastAsia="Arial" w:hAnsi="Arial"/>
                <w:sz w:val="18"/>
                <w:szCs w:val="18"/>
                <w:color w:val="auto"/>
              </w:rPr>
              <w:t>Kumquat Biosciences Inc.</w:t>
            </w:r>
          </w:p>
        </w:tc>
        <w:tc>
          <w:tcPr>
            <w:tcW w:w="3420" w:type="dxa"/>
            <w:vAlign w:val="bottom"/>
            <w:shd w:val="clear" w:color="auto" w:fill="D8D8D8"/>
          </w:tcPr>
          <w:p>
            <w:pPr>
              <w:ind w:left="160"/>
              <w:spacing w:after="0" w:line="176" w:lineRule="exact"/>
              <w:rPr>
                <w:sz w:val="20"/>
                <w:szCs w:val="20"/>
                <w:color w:val="auto"/>
              </w:rPr>
            </w:pPr>
            <w:r>
              <w:rPr>
                <w:rFonts w:ascii="Arial" w:cs="Arial" w:eastAsia="Arial" w:hAnsi="Arial"/>
                <w:sz w:val="18"/>
                <w:szCs w:val="18"/>
                <w:color w:val="auto"/>
              </w:rPr>
              <w:t>stimulate tumor-specific immune</w:t>
            </w:r>
          </w:p>
        </w:tc>
        <w:tc>
          <w:tcPr>
            <w:tcW w:w="1360" w:type="dxa"/>
            <w:vAlign w:val="bottom"/>
            <w:shd w:val="clear" w:color="auto" w:fill="D8D8D8"/>
          </w:tcPr>
          <w:p>
            <w:pPr>
              <w:jc w:val="center"/>
              <w:ind w:right="52"/>
              <w:spacing w:after="0" w:line="176" w:lineRule="exact"/>
              <w:rPr>
                <w:sz w:val="20"/>
                <w:szCs w:val="20"/>
                <w:color w:val="auto"/>
              </w:rPr>
            </w:pPr>
            <w:r>
              <w:rPr>
                <w:rFonts w:ascii="Arial" w:cs="Arial" w:eastAsia="Arial" w:hAnsi="Arial"/>
                <w:sz w:val="18"/>
                <w:szCs w:val="18"/>
                <w:color w:val="auto"/>
              </w:rPr>
              <w:t>July 2021</w:t>
            </w:r>
          </w:p>
        </w:tc>
        <w:tc>
          <w:tcPr>
            <w:tcW w:w="1520" w:type="dxa"/>
            <w:vAlign w:val="bottom"/>
            <w:shd w:val="clear" w:color="auto" w:fill="D8D8D8"/>
          </w:tcPr>
          <w:p>
            <w:pPr>
              <w:jc w:val="center"/>
              <w:spacing w:after="0" w:line="176" w:lineRule="exact"/>
              <w:rPr>
                <w:sz w:val="20"/>
                <w:szCs w:val="20"/>
                <w:color w:val="auto"/>
              </w:rPr>
            </w:pPr>
            <w:r>
              <w:rPr>
                <w:rFonts w:ascii="Arial" w:cs="Arial" w:eastAsia="Arial" w:hAnsi="Arial"/>
                <w:sz w:val="18"/>
                <w:szCs w:val="18"/>
                <w:color w:val="auto"/>
                <w:w w:val="99"/>
              </w:rPr>
              <w:t>Pre-clinical</w:t>
            </w:r>
          </w:p>
        </w:tc>
        <w:tc>
          <w:tcPr>
            <w:tcW w:w="1700" w:type="dxa"/>
            <w:vAlign w:val="bottom"/>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shd w:val="clear" w:color="auto" w:fill="D8D8D8"/>
          </w:tcPr>
          <w:p>
            <w:pPr>
              <w:spacing w:after="0"/>
              <w:rPr>
                <w:sz w:val="18"/>
                <w:szCs w:val="18"/>
                <w:color w:val="auto"/>
              </w:rPr>
            </w:pPr>
          </w:p>
        </w:tc>
        <w:tc>
          <w:tcPr>
            <w:tcW w:w="3420" w:type="dxa"/>
            <w:vAlign w:val="bottom"/>
            <w:tcBorders>
              <w:bottom w:val="single" w:sz="8" w:color="auto"/>
            </w:tcBorders>
            <w:shd w:val="clear" w:color="auto" w:fill="D8D8D8"/>
          </w:tcPr>
          <w:p>
            <w:pPr>
              <w:ind w:left="160"/>
              <w:spacing w:after="0"/>
              <w:rPr>
                <w:sz w:val="20"/>
                <w:szCs w:val="20"/>
                <w:color w:val="auto"/>
              </w:rPr>
            </w:pPr>
            <w:r>
              <w:rPr>
                <w:rFonts w:ascii="Arial" w:cs="Arial" w:eastAsia="Arial" w:hAnsi="Arial"/>
                <w:sz w:val="18"/>
                <w:szCs w:val="18"/>
                <w:color w:val="auto"/>
              </w:rPr>
              <w:t>responses</w:t>
            </w:r>
          </w:p>
        </w:tc>
        <w:tc>
          <w:tcPr>
            <w:tcW w:w="1360" w:type="dxa"/>
            <w:vAlign w:val="bottom"/>
            <w:tcBorders>
              <w:bottom w:val="single" w:sz="8" w:color="auto"/>
            </w:tcBorders>
            <w:shd w:val="clear" w:color="auto" w:fill="D8D8D8"/>
          </w:tcPr>
          <w:p>
            <w:pPr>
              <w:spacing w:after="0"/>
              <w:rPr>
                <w:sz w:val="18"/>
                <w:szCs w:val="18"/>
                <w:color w:val="auto"/>
              </w:rPr>
            </w:pPr>
          </w:p>
        </w:tc>
        <w:tc>
          <w:tcPr>
            <w:tcW w:w="1520" w:type="dxa"/>
            <w:vAlign w:val="bottom"/>
            <w:tcBorders>
              <w:bottom w:val="single" w:sz="8" w:color="auto"/>
            </w:tcBorders>
            <w:shd w:val="clear" w:color="auto" w:fill="D8D8D8"/>
          </w:tcPr>
          <w:p>
            <w:pPr>
              <w:spacing w:after="0"/>
              <w:rPr>
                <w:sz w:val="18"/>
                <w:szCs w:val="18"/>
                <w:color w:val="auto"/>
              </w:rPr>
            </w:pPr>
          </w:p>
        </w:tc>
        <w:tc>
          <w:tcPr>
            <w:tcW w:w="1700" w:type="dxa"/>
            <w:vAlign w:val="bottom"/>
            <w:tcBorders>
              <w:bottom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3420" w:type="dxa"/>
            <w:vAlign w:val="bottom"/>
          </w:tcPr>
          <w:p>
            <w:pPr>
              <w:ind w:left="160"/>
              <w:spacing w:after="0" w:line="182" w:lineRule="exact"/>
              <w:rPr>
                <w:sz w:val="20"/>
                <w:szCs w:val="20"/>
                <w:color w:val="auto"/>
              </w:rPr>
            </w:pPr>
            <w:r>
              <w:rPr>
                <w:rFonts w:ascii="Arial" w:cs="Arial" w:eastAsia="Arial" w:hAnsi="Arial"/>
                <w:sz w:val="18"/>
                <w:szCs w:val="18"/>
                <w:color w:val="auto"/>
              </w:rPr>
              <w:t>Several potential modalities across a</w:t>
            </w: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35.0</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Lycia Therapeutics, Inc.</w:t>
            </w:r>
          </w:p>
        </w:tc>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rPr>
              <w:t>spectrum of therapeutic areas and</w:t>
            </w:r>
          </w:p>
        </w:tc>
        <w:tc>
          <w:tcPr>
            <w:tcW w:w="1360" w:type="dxa"/>
            <w:vAlign w:val="bottom"/>
          </w:tcPr>
          <w:p>
            <w:pPr>
              <w:jc w:val="center"/>
              <w:ind w:right="52"/>
              <w:spacing w:after="0" w:line="176" w:lineRule="exact"/>
              <w:rPr>
                <w:sz w:val="20"/>
                <w:szCs w:val="20"/>
                <w:color w:val="auto"/>
              </w:rPr>
            </w:pPr>
            <w:r>
              <w:rPr>
                <w:rFonts w:ascii="Arial" w:cs="Arial" w:eastAsia="Arial" w:hAnsi="Arial"/>
                <w:sz w:val="18"/>
                <w:szCs w:val="18"/>
                <w:color w:val="auto"/>
              </w:rPr>
              <w:t>August 2021</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99"/>
              </w:rPr>
              <w:t>Pre-clinical</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diseases</w:t>
            </w:r>
          </w:p>
        </w:tc>
        <w:tc>
          <w:tcPr>
            <w:tcW w:w="1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shd w:val="clear" w:color="auto" w:fill="D8D8D8"/>
          </w:tcPr>
          <w:p>
            <w:pPr>
              <w:spacing w:after="0"/>
              <w:rPr>
                <w:sz w:val="15"/>
                <w:szCs w:val="15"/>
                <w:color w:val="auto"/>
              </w:rPr>
            </w:pPr>
          </w:p>
        </w:tc>
        <w:tc>
          <w:tcPr>
            <w:tcW w:w="3420" w:type="dxa"/>
            <w:vAlign w:val="bottom"/>
            <w:shd w:val="clear" w:color="auto" w:fill="D8D8D8"/>
          </w:tcPr>
          <w:p>
            <w:pPr>
              <w:ind w:left="160"/>
              <w:spacing w:after="0" w:line="182" w:lineRule="exact"/>
              <w:rPr>
                <w:sz w:val="20"/>
                <w:szCs w:val="20"/>
                <w:color w:val="auto"/>
              </w:rPr>
            </w:pPr>
            <w:r>
              <w:rPr>
                <w:rFonts w:ascii="Arial" w:cs="Arial" w:eastAsia="Arial" w:hAnsi="Arial"/>
                <w:sz w:val="18"/>
                <w:szCs w:val="18"/>
                <w:color w:val="auto"/>
              </w:rPr>
              <w:t>Pre-clinical targets that could lead to</w:t>
            </w:r>
          </w:p>
        </w:tc>
        <w:tc>
          <w:tcPr>
            <w:tcW w:w="1360" w:type="dxa"/>
            <w:vAlign w:val="bottom"/>
            <w:shd w:val="clear" w:color="auto" w:fill="D8D8D8"/>
          </w:tcPr>
          <w:p>
            <w:pPr>
              <w:spacing w:after="0"/>
              <w:rPr>
                <w:sz w:val="15"/>
                <w:szCs w:val="15"/>
                <w:color w:val="auto"/>
              </w:rPr>
            </w:pPr>
          </w:p>
        </w:tc>
        <w:tc>
          <w:tcPr>
            <w:tcW w:w="1520" w:type="dxa"/>
            <w:vAlign w:val="bottom"/>
            <w:shd w:val="clear" w:color="auto" w:fill="D8D8D8"/>
          </w:tcPr>
          <w:p>
            <w:pPr>
              <w:spacing w:after="0"/>
              <w:rPr>
                <w:sz w:val="15"/>
                <w:szCs w:val="15"/>
                <w:color w:val="auto"/>
              </w:rPr>
            </w:pPr>
          </w:p>
        </w:tc>
        <w:tc>
          <w:tcPr>
            <w:tcW w:w="1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ProQR Therapeutics N.V.</w:t>
            </w:r>
          </w:p>
        </w:tc>
        <w:tc>
          <w:tcPr>
            <w:tcW w:w="3420" w:type="dxa"/>
            <w:vAlign w:val="bottom"/>
            <w:shd w:val="clear" w:color="auto" w:fill="D8D8D8"/>
          </w:tcPr>
          <w:p>
            <w:pPr>
              <w:ind w:left="160"/>
              <w:spacing w:after="0" w:line="176" w:lineRule="exact"/>
              <w:rPr>
                <w:sz w:val="20"/>
                <w:szCs w:val="20"/>
                <w:color w:val="auto"/>
              </w:rPr>
            </w:pPr>
            <w:r>
              <w:rPr>
                <w:rFonts w:ascii="Arial" w:cs="Arial" w:eastAsia="Arial" w:hAnsi="Arial"/>
                <w:sz w:val="18"/>
                <w:szCs w:val="18"/>
                <w:color w:val="auto"/>
              </w:rPr>
              <w:t>potential new medicines for genetic</w:t>
            </w:r>
          </w:p>
        </w:tc>
        <w:tc>
          <w:tcPr>
            <w:tcW w:w="1360" w:type="dxa"/>
            <w:vAlign w:val="bottom"/>
            <w:shd w:val="clear" w:color="auto" w:fill="D8D8D8"/>
          </w:tcPr>
          <w:p>
            <w:pPr>
              <w:jc w:val="center"/>
              <w:ind w:right="32"/>
              <w:spacing w:after="0" w:line="176" w:lineRule="exact"/>
              <w:rPr>
                <w:sz w:val="20"/>
                <w:szCs w:val="20"/>
                <w:color w:val="auto"/>
              </w:rPr>
            </w:pPr>
            <w:r>
              <w:rPr>
                <w:rFonts w:ascii="Arial" w:cs="Arial" w:eastAsia="Arial" w:hAnsi="Arial"/>
                <w:sz w:val="18"/>
                <w:szCs w:val="18"/>
                <w:color w:val="auto"/>
                <w:w w:val="99"/>
              </w:rPr>
              <w:t>September</w:t>
            </w:r>
          </w:p>
        </w:tc>
        <w:tc>
          <w:tcPr>
            <w:tcW w:w="15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17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122"/>
        </w:trPr>
        <w:tc>
          <w:tcPr>
            <w:tcW w:w="3240" w:type="dxa"/>
            <w:vAlign w:val="bottom"/>
            <w:vMerge w:val="continue"/>
            <w:shd w:val="clear" w:color="auto" w:fill="D8D8D8"/>
          </w:tcPr>
          <w:p>
            <w:pPr>
              <w:spacing w:after="0"/>
              <w:rPr>
                <w:sz w:val="10"/>
                <w:szCs w:val="10"/>
                <w:color w:val="auto"/>
              </w:rPr>
            </w:pPr>
          </w:p>
        </w:tc>
        <w:tc>
          <w:tcPr>
            <w:tcW w:w="3420" w:type="dxa"/>
            <w:vAlign w:val="bottom"/>
            <w:vMerge w:val="restart"/>
            <w:shd w:val="clear" w:color="auto" w:fill="D8D8D8"/>
          </w:tcPr>
          <w:p>
            <w:pPr>
              <w:ind w:left="160"/>
              <w:spacing w:after="0" w:line="176" w:lineRule="exact"/>
              <w:rPr>
                <w:sz w:val="20"/>
                <w:szCs w:val="20"/>
                <w:color w:val="auto"/>
              </w:rPr>
            </w:pPr>
            <w:r>
              <w:rPr>
                <w:rFonts w:ascii="Arial" w:cs="Arial" w:eastAsia="Arial" w:hAnsi="Arial"/>
                <w:sz w:val="18"/>
                <w:szCs w:val="18"/>
                <w:color w:val="auto"/>
              </w:rPr>
              <w:t>disorders in the liver and nervous</w:t>
            </w:r>
          </w:p>
        </w:tc>
        <w:tc>
          <w:tcPr>
            <w:tcW w:w="1360" w:type="dxa"/>
            <w:vAlign w:val="bottom"/>
            <w:vMerge w:val="restart"/>
            <w:shd w:val="clear" w:color="auto" w:fill="D8D8D8"/>
          </w:tcPr>
          <w:p>
            <w:pPr>
              <w:jc w:val="center"/>
              <w:ind w:right="32"/>
              <w:spacing w:after="0" w:line="176" w:lineRule="exact"/>
              <w:rPr>
                <w:sz w:val="20"/>
                <w:szCs w:val="20"/>
                <w:color w:val="auto"/>
              </w:rPr>
            </w:pPr>
            <w:r>
              <w:rPr>
                <w:rFonts w:ascii="Arial" w:cs="Arial" w:eastAsia="Arial" w:hAnsi="Arial"/>
                <w:sz w:val="18"/>
                <w:szCs w:val="18"/>
                <w:color w:val="auto"/>
                <w:w w:val="99"/>
              </w:rPr>
              <w:t>2021</w:t>
            </w:r>
          </w:p>
        </w:tc>
        <w:tc>
          <w:tcPr>
            <w:tcW w:w="1520" w:type="dxa"/>
            <w:vAlign w:val="bottom"/>
            <w:vMerge w:val="continue"/>
            <w:shd w:val="clear" w:color="auto" w:fill="D8D8D8"/>
          </w:tcPr>
          <w:p>
            <w:pPr>
              <w:spacing w:after="0"/>
              <w:rPr>
                <w:sz w:val="10"/>
                <w:szCs w:val="10"/>
                <w:color w:val="auto"/>
              </w:rPr>
            </w:pPr>
          </w:p>
        </w:tc>
        <w:tc>
          <w:tcPr>
            <w:tcW w:w="17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240" w:type="dxa"/>
            <w:vAlign w:val="bottom"/>
            <w:shd w:val="clear" w:color="auto" w:fill="D8D8D8"/>
          </w:tcPr>
          <w:p>
            <w:pPr>
              <w:spacing w:after="0"/>
              <w:rPr>
                <w:sz w:val="4"/>
                <w:szCs w:val="4"/>
                <w:color w:val="auto"/>
              </w:rPr>
            </w:pPr>
          </w:p>
        </w:tc>
        <w:tc>
          <w:tcPr>
            <w:tcW w:w="3420" w:type="dxa"/>
            <w:vAlign w:val="bottom"/>
            <w:vMerge w:val="continue"/>
            <w:shd w:val="clear" w:color="auto" w:fill="D8D8D8"/>
          </w:tcPr>
          <w:p>
            <w:pPr>
              <w:spacing w:after="0"/>
              <w:rPr>
                <w:sz w:val="4"/>
                <w:szCs w:val="4"/>
                <w:color w:val="auto"/>
              </w:rPr>
            </w:pPr>
          </w:p>
        </w:tc>
        <w:tc>
          <w:tcPr>
            <w:tcW w:w="1360" w:type="dxa"/>
            <w:vAlign w:val="bottom"/>
            <w:vMerge w:val="continue"/>
            <w:shd w:val="clear" w:color="auto" w:fill="D8D8D8"/>
          </w:tcPr>
          <w:p>
            <w:pPr>
              <w:spacing w:after="0"/>
              <w:rPr>
                <w:sz w:val="4"/>
                <w:szCs w:val="4"/>
                <w:color w:val="auto"/>
              </w:rPr>
            </w:pPr>
          </w:p>
        </w:tc>
        <w:tc>
          <w:tcPr>
            <w:tcW w:w="1520" w:type="dxa"/>
            <w:vAlign w:val="bottom"/>
            <w:shd w:val="clear" w:color="auto" w:fill="D8D8D8"/>
          </w:tcPr>
          <w:p>
            <w:pPr>
              <w:spacing w:after="0"/>
              <w:rPr>
                <w:sz w:val="4"/>
                <w:szCs w:val="4"/>
                <w:color w:val="auto"/>
              </w:rPr>
            </w:pPr>
          </w:p>
        </w:tc>
        <w:tc>
          <w:tcPr>
            <w:tcW w:w="170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shd w:val="clear" w:color="auto" w:fill="D8D8D8"/>
          </w:tcPr>
          <w:p>
            <w:pPr>
              <w:spacing w:after="0"/>
              <w:rPr>
                <w:sz w:val="18"/>
                <w:szCs w:val="18"/>
                <w:color w:val="auto"/>
              </w:rPr>
            </w:pPr>
          </w:p>
        </w:tc>
        <w:tc>
          <w:tcPr>
            <w:tcW w:w="3420" w:type="dxa"/>
            <w:vAlign w:val="bottom"/>
            <w:tcBorders>
              <w:bottom w:val="single" w:sz="8" w:color="auto"/>
            </w:tcBorders>
            <w:shd w:val="clear" w:color="auto" w:fill="D8D8D8"/>
          </w:tcPr>
          <w:p>
            <w:pPr>
              <w:ind w:left="160"/>
              <w:spacing w:after="0"/>
              <w:rPr>
                <w:sz w:val="20"/>
                <w:szCs w:val="20"/>
                <w:color w:val="auto"/>
              </w:rPr>
            </w:pPr>
            <w:r>
              <w:rPr>
                <w:rFonts w:ascii="Arial" w:cs="Arial" w:eastAsia="Arial" w:hAnsi="Arial"/>
                <w:sz w:val="18"/>
                <w:szCs w:val="18"/>
                <w:color w:val="auto"/>
              </w:rPr>
              <w:t>system</w:t>
            </w:r>
          </w:p>
        </w:tc>
        <w:tc>
          <w:tcPr>
            <w:tcW w:w="1360" w:type="dxa"/>
            <w:vAlign w:val="bottom"/>
            <w:tcBorders>
              <w:bottom w:val="single" w:sz="8" w:color="auto"/>
            </w:tcBorders>
            <w:shd w:val="clear" w:color="auto" w:fill="D8D8D8"/>
          </w:tcPr>
          <w:p>
            <w:pPr>
              <w:spacing w:after="0"/>
              <w:rPr>
                <w:sz w:val="18"/>
                <w:szCs w:val="18"/>
                <w:color w:val="auto"/>
              </w:rPr>
            </w:pPr>
          </w:p>
        </w:tc>
        <w:tc>
          <w:tcPr>
            <w:tcW w:w="1520" w:type="dxa"/>
            <w:vAlign w:val="bottom"/>
            <w:tcBorders>
              <w:bottom w:val="single" w:sz="8" w:color="auto"/>
            </w:tcBorders>
            <w:shd w:val="clear" w:color="auto" w:fill="D8D8D8"/>
          </w:tcPr>
          <w:p>
            <w:pPr>
              <w:spacing w:after="0"/>
              <w:rPr>
                <w:sz w:val="18"/>
                <w:szCs w:val="18"/>
                <w:color w:val="auto"/>
              </w:rPr>
            </w:pPr>
          </w:p>
        </w:tc>
        <w:tc>
          <w:tcPr>
            <w:tcW w:w="1700" w:type="dxa"/>
            <w:vAlign w:val="bottom"/>
            <w:tcBorders>
              <w:bottom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3420" w:type="dxa"/>
            <w:vAlign w:val="bottom"/>
          </w:tcPr>
          <w:p>
            <w:pPr>
              <w:ind w:left="160"/>
              <w:spacing w:after="0" w:line="182" w:lineRule="exact"/>
              <w:rPr>
                <w:sz w:val="20"/>
                <w:szCs w:val="20"/>
                <w:color w:val="auto"/>
              </w:rPr>
            </w:pPr>
            <w:r>
              <w:rPr>
                <w:rFonts w:ascii="Arial" w:cs="Arial" w:eastAsia="Arial" w:hAnsi="Arial"/>
                <w:sz w:val="18"/>
                <w:szCs w:val="18"/>
                <w:color w:val="auto"/>
              </w:rPr>
              <w:t>Pre-clinical targets that could lead to</w:t>
            </w:r>
          </w:p>
        </w:tc>
        <w:tc>
          <w:tcPr>
            <w:tcW w:w="1360" w:type="dxa"/>
            <w:vAlign w:val="bottom"/>
            <w:vMerge w:val="restart"/>
          </w:tcPr>
          <w:p>
            <w:pPr>
              <w:jc w:val="center"/>
              <w:ind w:right="52"/>
              <w:spacing w:after="0"/>
              <w:rPr>
                <w:sz w:val="20"/>
                <w:szCs w:val="20"/>
                <w:color w:val="auto"/>
              </w:rPr>
            </w:pPr>
            <w:r>
              <w:rPr>
                <w:rFonts w:ascii="Arial" w:cs="Arial" w:eastAsia="Arial" w:hAnsi="Arial"/>
                <w:sz w:val="18"/>
                <w:szCs w:val="18"/>
                <w:color w:val="auto"/>
                <w:w w:val="98"/>
              </w:rPr>
              <w:t>December</w:t>
            </w:r>
          </w:p>
        </w:tc>
        <w:tc>
          <w:tcPr>
            <w:tcW w:w="15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81"/>
        </w:trPr>
        <w:tc>
          <w:tcPr>
            <w:tcW w:w="32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QILU Regor Therapeutics Inc.</w:t>
            </w:r>
          </w:p>
        </w:tc>
        <w:tc>
          <w:tcPr>
            <w:tcW w:w="3420" w:type="dxa"/>
            <w:vAlign w:val="bottom"/>
            <w:vMerge w:val="restart"/>
          </w:tcPr>
          <w:p>
            <w:pPr>
              <w:ind w:left="160"/>
              <w:spacing w:after="0" w:line="176" w:lineRule="exact"/>
              <w:rPr>
                <w:sz w:val="20"/>
                <w:szCs w:val="20"/>
                <w:color w:val="auto"/>
              </w:rPr>
            </w:pPr>
            <w:r>
              <w:rPr>
                <w:rFonts w:ascii="Arial" w:cs="Arial" w:eastAsia="Arial" w:hAnsi="Arial"/>
                <w:sz w:val="18"/>
                <w:szCs w:val="18"/>
                <w:color w:val="auto"/>
              </w:rPr>
              <w:t>potential new medicines for metabolic</w:t>
            </w:r>
          </w:p>
        </w:tc>
        <w:tc>
          <w:tcPr>
            <w:tcW w:w="1360" w:type="dxa"/>
            <w:vAlign w:val="bottom"/>
            <w:vMerge w:val="continue"/>
          </w:tcPr>
          <w:p>
            <w:pPr>
              <w:spacing w:after="0"/>
              <w:rPr>
                <w:sz w:val="7"/>
                <w:szCs w:val="7"/>
                <w:color w:val="auto"/>
              </w:rPr>
            </w:pPr>
          </w:p>
        </w:tc>
        <w:tc>
          <w:tcPr>
            <w:tcW w:w="15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9"/>
              </w:rPr>
              <w:t>Pre-clinical</w:t>
            </w: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240" w:type="dxa"/>
            <w:vAlign w:val="bottom"/>
            <w:vMerge w:val="continue"/>
          </w:tcPr>
          <w:p>
            <w:pPr>
              <w:spacing w:after="0"/>
              <w:rPr>
                <w:sz w:val="8"/>
                <w:szCs w:val="8"/>
                <w:color w:val="auto"/>
              </w:rPr>
            </w:pPr>
          </w:p>
        </w:tc>
        <w:tc>
          <w:tcPr>
            <w:tcW w:w="3420" w:type="dxa"/>
            <w:vAlign w:val="bottom"/>
            <w:vMerge w:val="continue"/>
          </w:tcPr>
          <w:p>
            <w:pPr>
              <w:spacing w:after="0"/>
              <w:rPr>
                <w:sz w:val="8"/>
                <w:szCs w:val="8"/>
                <w:color w:val="auto"/>
              </w:rPr>
            </w:pPr>
          </w:p>
        </w:tc>
        <w:tc>
          <w:tcPr>
            <w:tcW w:w="1360" w:type="dxa"/>
            <w:vAlign w:val="bottom"/>
            <w:vMerge w:val="restart"/>
          </w:tcPr>
          <w:p>
            <w:pPr>
              <w:jc w:val="center"/>
              <w:ind w:right="32"/>
              <w:spacing w:after="0"/>
              <w:rPr>
                <w:sz w:val="20"/>
                <w:szCs w:val="20"/>
                <w:color w:val="auto"/>
              </w:rPr>
            </w:pPr>
            <w:r>
              <w:rPr>
                <w:rFonts w:ascii="Arial" w:cs="Arial" w:eastAsia="Arial" w:hAnsi="Arial"/>
                <w:sz w:val="18"/>
                <w:szCs w:val="18"/>
                <w:color w:val="auto"/>
                <w:w w:val="99"/>
              </w:rPr>
              <w:t>2021</w:t>
            </w:r>
          </w:p>
        </w:tc>
        <w:tc>
          <w:tcPr>
            <w:tcW w:w="152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3420" w:type="dxa"/>
            <w:vAlign w:val="bottom"/>
            <w:vMerge w:val="restart"/>
          </w:tcPr>
          <w:p>
            <w:pPr>
              <w:ind w:left="160"/>
              <w:spacing w:after="0"/>
              <w:rPr>
                <w:sz w:val="20"/>
                <w:szCs w:val="20"/>
                <w:color w:val="auto"/>
              </w:rPr>
            </w:pPr>
            <w:r>
              <w:rPr>
                <w:rFonts w:ascii="Arial" w:cs="Arial" w:eastAsia="Arial" w:hAnsi="Arial"/>
                <w:sz w:val="18"/>
                <w:szCs w:val="18"/>
                <w:color w:val="auto"/>
              </w:rPr>
              <w:t>disorders</w:t>
            </w:r>
          </w:p>
        </w:tc>
        <w:tc>
          <w:tcPr>
            <w:tcW w:w="136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240" w:type="dxa"/>
            <w:vAlign w:val="bottom"/>
            <w:tcBorders>
              <w:bottom w:val="single" w:sz="8" w:color="auto"/>
            </w:tcBorders>
          </w:tcPr>
          <w:p>
            <w:pPr>
              <w:spacing w:after="0"/>
              <w:rPr>
                <w:sz w:val="8"/>
                <w:szCs w:val="8"/>
                <w:color w:val="auto"/>
              </w:rPr>
            </w:pPr>
          </w:p>
        </w:tc>
        <w:tc>
          <w:tcPr>
            <w:tcW w:w="342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4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Foghorn Therapeutics Inc.</w:t>
            </w:r>
          </w:p>
        </w:tc>
        <w:tc>
          <w:tcPr>
            <w:tcW w:w="3420" w:type="dxa"/>
            <w:vAlign w:val="bottom"/>
            <w:shd w:val="clear" w:color="auto" w:fill="D8D8D8"/>
          </w:tcPr>
          <w:p>
            <w:pPr>
              <w:ind w:left="160"/>
              <w:spacing w:after="0" w:line="182" w:lineRule="exact"/>
              <w:rPr>
                <w:sz w:val="20"/>
                <w:szCs w:val="20"/>
                <w:color w:val="auto"/>
              </w:rPr>
            </w:pPr>
            <w:r>
              <w:rPr>
                <w:rFonts w:ascii="Arial" w:cs="Arial" w:eastAsia="Arial" w:hAnsi="Arial"/>
                <w:sz w:val="18"/>
                <w:szCs w:val="18"/>
                <w:color w:val="auto"/>
              </w:rPr>
              <w:t>Pre-clinical targets that could lead to</w:t>
            </w:r>
          </w:p>
        </w:tc>
        <w:tc>
          <w:tcPr>
            <w:tcW w:w="1360" w:type="dxa"/>
            <w:vAlign w:val="bottom"/>
            <w:shd w:val="clear" w:color="auto" w:fill="D8D8D8"/>
          </w:tcPr>
          <w:p>
            <w:pPr>
              <w:jc w:val="center"/>
              <w:ind w:right="52"/>
              <w:spacing w:after="0" w:line="182" w:lineRule="exact"/>
              <w:rPr>
                <w:sz w:val="20"/>
                <w:szCs w:val="20"/>
                <w:color w:val="auto"/>
              </w:rPr>
            </w:pPr>
            <w:r>
              <w:rPr>
                <w:rFonts w:ascii="Arial" w:cs="Arial" w:eastAsia="Arial" w:hAnsi="Arial"/>
                <w:sz w:val="18"/>
                <w:szCs w:val="18"/>
                <w:color w:val="auto"/>
                <w:w w:val="98"/>
              </w:rPr>
              <w:t>December</w:t>
            </w:r>
          </w:p>
        </w:tc>
        <w:tc>
          <w:tcPr>
            <w:tcW w:w="15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17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316.6</w:t>
            </w:r>
          </w:p>
        </w:tc>
        <w:tc>
          <w:tcPr>
            <w:tcW w:w="0" w:type="dxa"/>
            <w:vAlign w:val="bottom"/>
          </w:tcPr>
          <w:p>
            <w:pPr>
              <w:spacing w:after="0"/>
              <w:rPr>
                <w:sz w:val="1"/>
                <w:szCs w:val="1"/>
                <w:color w:val="auto"/>
              </w:rPr>
            </w:pPr>
          </w:p>
        </w:tc>
      </w:tr>
      <w:tr>
        <w:trPr>
          <w:trHeight w:val="122"/>
        </w:trPr>
        <w:tc>
          <w:tcPr>
            <w:tcW w:w="3240" w:type="dxa"/>
            <w:vAlign w:val="bottom"/>
            <w:vMerge w:val="continue"/>
            <w:shd w:val="clear" w:color="auto" w:fill="D8D8D8"/>
          </w:tcPr>
          <w:p>
            <w:pPr>
              <w:spacing w:after="0"/>
              <w:rPr>
                <w:sz w:val="10"/>
                <w:szCs w:val="10"/>
                <w:color w:val="auto"/>
              </w:rPr>
            </w:pPr>
          </w:p>
        </w:tc>
        <w:tc>
          <w:tcPr>
            <w:tcW w:w="3420" w:type="dxa"/>
            <w:vAlign w:val="bottom"/>
            <w:vMerge w:val="restart"/>
            <w:shd w:val="clear" w:color="auto" w:fill="D8D8D8"/>
          </w:tcPr>
          <w:p>
            <w:pPr>
              <w:ind w:left="160"/>
              <w:spacing w:after="0"/>
              <w:rPr>
                <w:sz w:val="20"/>
                <w:szCs w:val="20"/>
                <w:color w:val="auto"/>
              </w:rPr>
            </w:pPr>
            <w:r>
              <w:rPr>
                <w:rFonts w:ascii="Arial" w:cs="Arial" w:eastAsia="Arial" w:hAnsi="Arial"/>
                <w:sz w:val="18"/>
                <w:szCs w:val="18"/>
                <w:color w:val="auto"/>
              </w:rPr>
              <w:t>potential new oncology medicines</w:t>
            </w:r>
          </w:p>
        </w:tc>
        <w:tc>
          <w:tcPr>
            <w:tcW w:w="1360" w:type="dxa"/>
            <w:vAlign w:val="bottom"/>
            <w:vMerge w:val="restart"/>
            <w:shd w:val="clear" w:color="auto" w:fill="D8D8D8"/>
          </w:tcPr>
          <w:p>
            <w:pPr>
              <w:jc w:val="center"/>
              <w:ind w:right="32"/>
              <w:spacing w:after="0"/>
              <w:rPr>
                <w:sz w:val="20"/>
                <w:szCs w:val="20"/>
                <w:color w:val="auto"/>
              </w:rPr>
            </w:pPr>
            <w:r>
              <w:rPr>
                <w:rFonts w:ascii="Arial" w:cs="Arial" w:eastAsia="Arial" w:hAnsi="Arial"/>
                <w:sz w:val="18"/>
                <w:szCs w:val="18"/>
                <w:color w:val="auto"/>
                <w:w w:val="99"/>
              </w:rPr>
              <w:t>2021</w:t>
            </w:r>
          </w:p>
        </w:tc>
        <w:tc>
          <w:tcPr>
            <w:tcW w:w="1520" w:type="dxa"/>
            <w:vAlign w:val="bottom"/>
            <w:vMerge w:val="continue"/>
            <w:shd w:val="clear" w:color="auto" w:fill="D8D8D8"/>
          </w:tcPr>
          <w:p>
            <w:pPr>
              <w:spacing w:after="0"/>
              <w:rPr>
                <w:sz w:val="10"/>
                <w:szCs w:val="10"/>
                <w:color w:val="auto"/>
              </w:rPr>
            </w:pPr>
          </w:p>
        </w:tc>
        <w:tc>
          <w:tcPr>
            <w:tcW w:w="17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240" w:type="dxa"/>
            <w:vAlign w:val="bottom"/>
            <w:tcBorders>
              <w:bottom w:val="single" w:sz="8" w:color="auto"/>
            </w:tcBorders>
            <w:shd w:val="clear" w:color="auto" w:fill="D8D8D8"/>
          </w:tcPr>
          <w:p>
            <w:pPr>
              <w:spacing w:after="0"/>
              <w:rPr>
                <w:sz w:val="8"/>
                <w:szCs w:val="8"/>
                <w:color w:val="auto"/>
              </w:rPr>
            </w:pPr>
          </w:p>
        </w:tc>
        <w:tc>
          <w:tcPr>
            <w:tcW w:w="3420" w:type="dxa"/>
            <w:vAlign w:val="bottom"/>
            <w:tcBorders>
              <w:bottom w:val="single" w:sz="8" w:color="auto"/>
            </w:tcBorders>
            <w:vMerge w:val="continue"/>
            <w:shd w:val="clear" w:color="auto" w:fill="D8D8D8"/>
          </w:tcPr>
          <w:p>
            <w:pPr>
              <w:spacing w:after="0"/>
              <w:rPr>
                <w:sz w:val="8"/>
                <w:szCs w:val="8"/>
                <w:color w:val="auto"/>
              </w:rPr>
            </w:pPr>
          </w:p>
        </w:tc>
        <w:tc>
          <w:tcPr>
            <w:tcW w:w="1360" w:type="dxa"/>
            <w:vAlign w:val="bottom"/>
            <w:tcBorders>
              <w:bottom w:val="single" w:sz="8" w:color="auto"/>
            </w:tcBorders>
            <w:vMerge w:val="continue"/>
            <w:shd w:val="clear" w:color="auto" w:fill="D8D8D8"/>
          </w:tcPr>
          <w:p>
            <w:pPr>
              <w:spacing w:after="0"/>
              <w:rPr>
                <w:sz w:val="8"/>
                <w:szCs w:val="8"/>
                <w:color w:val="auto"/>
              </w:rPr>
            </w:pPr>
          </w:p>
        </w:tc>
        <w:tc>
          <w:tcPr>
            <w:tcW w:w="1520" w:type="dxa"/>
            <w:vAlign w:val="bottom"/>
            <w:tcBorders>
              <w:bottom w:val="single" w:sz="8" w:color="auto"/>
            </w:tcBorders>
            <w:shd w:val="clear" w:color="auto" w:fill="D8D8D8"/>
          </w:tcPr>
          <w:p>
            <w:pPr>
              <w:spacing w:after="0"/>
              <w:rPr>
                <w:sz w:val="8"/>
                <w:szCs w:val="8"/>
                <w:color w:val="auto"/>
              </w:rPr>
            </w:pPr>
          </w:p>
        </w:tc>
        <w:tc>
          <w:tcPr>
            <w:tcW w:w="1700" w:type="dxa"/>
            <w:vAlign w:val="bottom"/>
            <w:tcBorders>
              <w:bottom w:val="single" w:sz="8" w:color="auto"/>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3420" w:type="dxa"/>
            <w:vAlign w:val="bottom"/>
          </w:tcPr>
          <w:p>
            <w:pPr>
              <w:ind w:left="160"/>
              <w:spacing w:after="0" w:line="182" w:lineRule="exact"/>
              <w:rPr>
                <w:sz w:val="20"/>
                <w:szCs w:val="20"/>
                <w:color w:val="auto"/>
              </w:rPr>
            </w:pPr>
            <w:r>
              <w:rPr>
                <w:rFonts w:ascii="Arial" w:cs="Arial" w:eastAsia="Arial" w:hAnsi="Arial"/>
                <w:sz w:val="18"/>
                <w:szCs w:val="18"/>
                <w:color w:val="auto"/>
              </w:rPr>
              <w:t>Pre-clinical targets that could lead to</w:t>
            </w: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Entos Pharmaceuticals Inc.</w:t>
            </w:r>
          </w:p>
        </w:tc>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rPr>
              <w:t>potential new nucleic acid-based</w:t>
            </w:r>
          </w:p>
        </w:tc>
        <w:tc>
          <w:tcPr>
            <w:tcW w:w="136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98"/>
              </w:rPr>
              <w:t>December</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3420" w:type="dxa"/>
            <w:vAlign w:val="bottom"/>
            <w:vMerge w:val="restart"/>
          </w:tcPr>
          <w:p>
            <w:pPr>
              <w:ind w:left="160"/>
              <w:spacing w:after="0" w:line="176" w:lineRule="exact"/>
              <w:rPr>
                <w:sz w:val="20"/>
                <w:szCs w:val="20"/>
                <w:color w:val="auto"/>
              </w:rPr>
            </w:pPr>
            <w:r>
              <w:rPr>
                <w:rFonts w:ascii="Arial" w:cs="Arial" w:eastAsia="Arial" w:hAnsi="Arial"/>
                <w:sz w:val="18"/>
                <w:szCs w:val="18"/>
                <w:color w:val="auto"/>
              </w:rPr>
              <w:t>therapies targeting the central and</w:t>
            </w:r>
          </w:p>
        </w:tc>
        <w:tc>
          <w:tcPr>
            <w:tcW w:w="1360" w:type="dxa"/>
            <w:vAlign w:val="bottom"/>
            <w:vMerge w:val="restart"/>
          </w:tcPr>
          <w:p>
            <w:pPr>
              <w:jc w:val="center"/>
              <w:ind w:right="32"/>
              <w:spacing w:after="0" w:line="176" w:lineRule="exact"/>
              <w:rPr>
                <w:sz w:val="20"/>
                <w:szCs w:val="20"/>
                <w:color w:val="auto"/>
              </w:rPr>
            </w:pPr>
            <w:r>
              <w:rPr>
                <w:rFonts w:ascii="Arial" w:cs="Arial" w:eastAsia="Arial" w:hAnsi="Arial"/>
                <w:sz w:val="18"/>
                <w:szCs w:val="18"/>
                <w:color w:val="auto"/>
                <w:w w:val="99"/>
              </w:rPr>
              <w:t>2021</w:t>
            </w:r>
          </w:p>
        </w:tc>
        <w:tc>
          <w:tcPr>
            <w:tcW w:w="152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342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peripheral nervous system</w:t>
            </w:r>
          </w:p>
        </w:tc>
        <w:tc>
          <w:tcPr>
            <w:tcW w:w="1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shd w:val="clear" w:color="auto" w:fill="D8D8D8"/>
          </w:tcPr>
          <w:p>
            <w:pPr>
              <w:spacing w:after="0"/>
              <w:rPr>
                <w:sz w:val="12"/>
                <w:szCs w:val="12"/>
                <w:color w:val="auto"/>
              </w:rPr>
            </w:pPr>
          </w:p>
        </w:tc>
        <w:tc>
          <w:tcPr>
            <w:tcW w:w="3420" w:type="dxa"/>
            <w:vAlign w:val="bottom"/>
            <w:tcBorders>
              <w:bottom w:val="single" w:sz="8" w:color="auto"/>
            </w:tcBorders>
            <w:shd w:val="clear" w:color="auto" w:fill="D8D8D8"/>
          </w:tcPr>
          <w:p>
            <w:pPr>
              <w:spacing w:after="0"/>
              <w:rPr>
                <w:sz w:val="12"/>
                <w:szCs w:val="12"/>
                <w:color w:val="auto"/>
              </w:rPr>
            </w:pPr>
          </w:p>
        </w:tc>
        <w:tc>
          <w:tcPr>
            <w:tcW w:w="1360" w:type="dxa"/>
            <w:vAlign w:val="bottom"/>
            <w:tcBorders>
              <w:bottom w:val="single" w:sz="8" w:color="auto"/>
            </w:tcBorders>
            <w:shd w:val="clear" w:color="auto" w:fill="D8D8D8"/>
          </w:tcPr>
          <w:p>
            <w:pPr>
              <w:spacing w:after="0"/>
              <w:rPr>
                <w:sz w:val="12"/>
                <w:szCs w:val="12"/>
                <w:color w:val="auto"/>
              </w:rPr>
            </w:pPr>
          </w:p>
        </w:tc>
        <w:tc>
          <w:tcPr>
            <w:tcW w:w="1520" w:type="dxa"/>
            <w:vAlign w:val="bottom"/>
            <w:tcBorders>
              <w:bottom w:val="single" w:sz="8" w:color="auto"/>
            </w:tcBorders>
            <w:shd w:val="clear" w:color="auto" w:fill="D8D8D8"/>
          </w:tcPr>
          <w:p>
            <w:pPr>
              <w:spacing w:after="0"/>
              <w:rPr>
                <w:sz w:val="12"/>
                <w:szCs w:val="12"/>
                <w:color w:val="auto"/>
              </w:rPr>
            </w:pPr>
          </w:p>
        </w:tc>
        <w:tc>
          <w:tcPr>
            <w:tcW w:w="1700" w:type="dxa"/>
            <w:vAlign w:val="bottom"/>
            <w:tcBorders>
              <w:bottom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3420" w:type="dxa"/>
            <w:vAlign w:val="bottom"/>
          </w:tcPr>
          <w:p>
            <w:pPr>
              <w:ind w:left="160"/>
              <w:spacing w:after="0" w:line="189" w:lineRule="exact"/>
              <w:rPr>
                <w:sz w:val="20"/>
                <w:szCs w:val="20"/>
                <w:color w:val="auto"/>
              </w:rPr>
            </w:pPr>
            <w:r>
              <w:rPr>
                <w:rFonts w:ascii="Arial" w:cs="Arial" w:eastAsia="Arial" w:hAnsi="Arial"/>
                <w:sz w:val="18"/>
                <w:szCs w:val="18"/>
                <w:color w:val="auto"/>
              </w:rPr>
              <w:t>Pre-clinical targets that could lead to</w:t>
            </w: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Sitryx Therapeutics Limited</w:t>
            </w:r>
          </w:p>
        </w:tc>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rPr>
              <w:t>potential new medicines for</w:t>
            </w:r>
          </w:p>
        </w:tc>
        <w:tc>
          <w:tcPr>
            <w:tcW w:w="136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98"/>
              </w:rPr>
              <w:t>March 2020</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99"/>
              </w:rPr>
              <w:t>Pre-clinical</w:t>
            </w:r>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autoimmune diseases</w:t>
            </w:r>
          </w:p>
        </w:tc>
        <w:tc>
          <w:tcPr>
            <w:tcW w:w="1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D8D8D8"/>
          </w:tcPr>
          <w:p>
            <w:pPr>
              <w:ind w:left="20"/>
              <w:spacing w:after="0"/>
              <w:rPr>
                <w:sz w:val="20"/>
                <w:szCs w:val="20"/>
                <w:color w:val="auto"/>
              </w:rPr>
            </w:pPr>
            <w:r>
              <w:rPr>
                <w:rFonts w:ascii="Arial" w:cs="Arial" w:eastAsia="Arial" w:hAnsi="Arial"/>
                <w:sz w:val="18"/>
                <w:szCs w:val="18"/>
                <w:color w:val="auto"/>
              </w:rPr>
              <w:t>AbCellera Biologics Inc. (AbCellera)</w:t>
            </w:r>
          </w:p>
        </w:tc>
        <w:tc>
          <w:tcPr>
            <w:tcW w:w="3420" w:type="dxa"/>
            <w:vAlign w:val="bottom"/>
            <w:shd w:val="clear" w:color="auto" w:fill="D8D8D8"/>
          </w:tcPr>
          <w:p>
            <w:pPr>
              <w:ind w:left="160"/>
              <w:spacing w:after="0"/>
              <w:rPr>
                <w:sz w:val="20"/>
                <w:szCs w:val="20"/>
                <w:color w:val="auto"/>
              </w:rPr>
            </w:pPr>
            <w:r>
              <w:rPr>
                <w:rFonts w:ascii="Arial" w:cs="Arial" w:eastAsia="Arial" w:hAnsi="Arial"/>
                <w:sz w:val="18"/>
                <w:szCs w:val="18"/>
                <w:color w:val="auto"/>
              </w:rPr>
              <w:t>Neutralizing antibodies for the treatment</w:t>
            </w:r>
          </w:p>
        </w:tc>
        <w:tc>
          <w:tcPr>
            <w:tcW w:w="1360" w:type="dxa"/>
            <w:vAlign w:val="bottom"/>
            <w:shd w:val="clear" w:color="auto" w:fill="D8D8D8"/>
          </w:tcPr>
          <w:p>
            <w:pPr>
              <w:jc w:val="center"/>
              <w:ind w:right="52"/>
              <w:spacing w:after="0" w:line="250" w:lineRule="exact"/>
              <w:rPr>
                <w:sz w:val="20"/>
                <w:szCs w:val="20"/>
                <w:color w:val="auto"/>
              </w:rPr>
            </w:pPr>
            <w:r>
              <w:rPr>
                <w:rFonts w:ascii="Arial" w:cs="Arial" w:eastAsia="Arial" w:hAnsi="Arial"/>
                <w:sz w:val="18"/>
                <w:szCs w:val="18"/>
                <w:color w:val="auto"/>
                <w:w w:val="96"/>
              </w:rPr>
              <w:t>March 2020</w:t>
            </w:r>
            <w:r>
              <w:rPr>
                <w:rFonts w:ascii="Arial" w:cs="Arial" w:eastAsia="Arial" w:hAnsi="Arial"/>
                <w:sz w:val="23"/>
                <w:szCs w:val="23"/>
                <w:color w:val="auto"/>
                <w:w w:val="96"/>
                <w:vertAlign w:val="superscript"/>
              </w:rPr>
              <w:t>(2)</w:t>
            </w:r>
          </w:p>
        </w:tc>
        <w:tc>
          <w:tcPr>
            <w:tcW w:w="15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1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48"/>
        </w:trPr>
        <w:tc>
          <w:tcPr>
            <w:tcW w:w="3240" w:type="dxa"/>
            <w:vAlign w:val="bottom"/>
            <w:tcBorders>
              <w:bottom w:val="single" w:sz="8" w:color="auto"/>
            </w:tcBorders>
            <w:shd w:val="clear" w:color="auto" w:fill="D8D8D8"/>
          </w:tcPr>
          <w:p>
            <w:pPr>
              <w:spacing w:after="0"/>
              <w:rPr>
                <w:sz w:val="12"/>
                <w:szCs w:val="12"/>
                <w:color w:val="auto"/>
              </w:rPr>
            </w:pPr>
          </w:p>
        </w:tc>
        <w:tc>
          <w:tcPr>
            <w:tcW w:w="3420" w:type="dxa"/>
            <w:vAlign w:val="bottom"/>
            <w:tcBorders>
              <w:bottom w:val="single" w:sz="8" w:color="auto"/>
            </w:tcBorders>
            <w:shd w:val="clear" w:color="auto" w:fill="D8D8D8"/>
          </w:tcPr>
          <w:p>
            <w:pPr>
              <w:ind w:left="160"/>
              <w:spacing w:after="0" w:line="149" w:lineRule="exact"/>
              <w:rPr>
                <w:sz w:val="20"/>
                <w:szCs w:val="20"/>
                <w:color w:val="auto"/>
              </w:rPr>
            </w:pPr>
            <w:r>
              <w:rPr>
                <w:rFonts w:ascii="Arial" w:cs="Arial" w:eastAsia="Arial" w:hAnsi="Arial"/>
                <w:sz w:val="17"/>
                <w:szCs w:val="17"/>
                <w:color w:val="auto"/>
              </w:rPr>
              <w:t>and prevention of COVID-19</w:t>
            </w:r>
          </w:p>
        </w:tc>
        <w:tc>
          <w:tcPr>
            <w:tcW w:w="1360" w:type="dxa"/>
            <w:vAlign w:val="bottom"/>
            <w:tcBorders>
              <w:bottom w:val="single" w:sz="8" w:color="auto"/>
            </w:tcBorders>
            <w:shd w:val="clear" w:color="auto" w:fill="D8D8D8"/>
          </w:tcPr>
          <w:p>
            <w:pPr>
              <w:spacing w:after="0"/>
              <w:rPr>
                <w:sz w:val="12"/>
                <w:szCs w:val="12"/>
                <w:color w:val="auto"/>
              </w:rPr>
            </w:pPr>
          </w:p>
        </w:tc>
        <w:tc>
          <w:tcPr>
            <w:tcW w:w="1520" w:type="dxa"/>
            <w:vAlign w:val="bottom"/>
            <w:tcBorders>
              <w:bottom w:val="single" w:sz="8" w:color="auto"/>
            </w:tcBorders>
            <w:shd w:val="clear" w:color="auto" w:fill="D8D8D8"/>
          </w:tcPr>
          <w:p>
            <w:pPr>
              <w:spacing w:after="0"/>
              <w:rPr>
                <w:sz w:val="12"/>
                <w:szCs w:val="12"/>
                <w:color w:val="auto"/>
              </w:rPr>
            </w:pPr>
          </w:p>
        </w:tc>
        <w:tc>
          <w:tcPr>
            <w:tcW w:w="1700" w:type="dxa"/>
            <w:vAlign w:val="bottom"/>
            <w:tcBorders>
              <w:bottom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line="182" w:lineRule="exact"/>
              <w:rPr>
                <w:sz w:val="20"/>
                <w:szCs w:val="20"/>
                <w:color w:val="auto"/>
              </w:rPr>
            </w:pPr>
            <w:r>
              <w:rPr>
                <w:rFonts w:ascii="Arial" w:cs="Arial" w:eastAsia="Arial" w:hAnsi="Arial"/>
                <w:sz w:val="18"/>
                <w:szCs w:val="18"/>
                <w:color w:val="auto"/>
              </w:rPr>
              <w:t>Shanghai Junshi Biosciences Co., Ltd.</w:t>
            </w:r>
          </w:p>
        </w:tc>
        <w:tc>
          <w:tcPr>
            <w:tcW w:w="3420" w:type="dxa"/>
            <w:vAlign w:val="bottom"/>
          </w:tcPr>
          <w:p>
            <w:pPr>
              <w:ind w:left="160"/>
              <w:spacing w:after="0" w:line="182" w:lineRule="exact"/>
              <w:rPr>
                <w:sz w:val="20"/>
                <w:szCs w:val="20"/>
                <w:color w:val="auto"/>
              </w:rPr>
            </w:pPr>
            <w:r>
              <w:rPr>
                <w:rFonts w:ascii="Arial" w:cs="Arial" w:eastAsia="Arial" w:hAnsi="Arial"/>
                <w:sz w:val="18"/>
                <w:szCs w:val="18"/>
                <w:color w:val="auto"/>
              </w:rPr>
              <w:t>Neutralizing antibodies for the treatment</w:t>
            </w:r>
          </w:p>
        </w:tc>
        <w:tc>
          <w:tcPr>
            <w:tcW w:w="1360" w:type="dxa"/>
            <w:vAlign w:val="bottom"/>
            <w:vMerge w:val="restart"/>
          </w:tcPr>
          <w:p>
            <w:pPr>
              <w:jc w:val="center"/>
              <w:ind w:right="52"/>
              <w:spacing w:after="0"/>
              <w:rPr>
                <w:sz w:val="20"/>
                <w:szCs w:val="20"/>
                <w:color w:val="auto"/>
              </w:rPr>
            </w:pPr>
            <w:r>
              <w:rPr>
                <w:rFonts w:ascii="Arial" w:cs="Arial" w:eastAsia="Arial" w:hAnsi="Arial"/>
                <w:sz w:val="18"/>
                <w:szCs w:val="18"/>
                <w:color w:val="auto"/>
                <w:w w:val="98"/>
              </w:rPr>
              <w:t>May 2020</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22"/>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(Junshi Biosciences)</w:t>
            </w:r>
          </w:p>
        </w:tc>
        <w:tc>
          <w:tcPr>
            <w:tcW w:w="3420" w:type="dxa"/>
            <w:vAlign w:val="bottom"/>
            <w:vMerge w:val="restart"/>
          </w:tcPr>
          <w:p>
            <w:pPr>
              <w:ind w:left="160"/>
              <w:spacing w:after="0"/>
              <w:rPr>
                <w:sz w:val="20"/>
                <w:szCs w:val="20"/>
                <w:color w:val="auto"/>
              </w:rPr>
            </w:pPr>
            <w:r>
              <w:rPr>
                <w:rFonts w:ascii="Arial" w:cs="Arial" w:eastAsia="Arial" w:hAnsi="Arial"/>
                <w:sz w:val="18"/>
                <w:szCs w:val="18"/>
                <w:color w:val="auto"/>
              </w:rPr>
              <w:t>and prevention of COVID-19</w:t>
            </w:r>
          </w:p>
        </w:tc>
        <w:tc>
          <w:tcPr>
            <w:tcW w:w="136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240" w:type="dxa"/>
            <w:vAlign w:val="bottom"/>
            <w:tcBorders>
              <w:bottom w:val="single" w:sz="8" w:color="auto"/>
            </w:tcBorders>
            <w:vMerge w:val="continue"/>
          </w:tcPr>
          <w:p>
            <w:pPr>
              <w:spacing w:after="0"/>
              <w:rPr>
                <w:sz w:val="8"/>
                <w:szCs w:val="8"/>
                <w:color w:val="auto"/>
              </w:rPr>
            </w:pPr>
          </w:p>
        </w:tc>
        <w:tc>
          <w:tcPr>
            <w:tcW w:w="342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24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Petra Pharma Corporation (Petra)</w:t>
            </w:r>
          </w:p>
        </w:tc>
        <w:tc>
          <w:tcPr>
            <w:tcW w:w="3420" w:type="dxa"/>
            <w:vAlign w:val="bottom"/>
            <w:shd w:val="clear" w:color="auto" w:fill="D8D8D8"/>
          </w:tcPr>
          <w:p>
            <w:pPr>
              <w:ind w:left="160"/>
              <w:spacing w:after="0" w:line="195" w:lineRule="exact"/>
              <w:rPr>
                <w:sz w:val="20"/>
                <w:szCs w:val="20"/>
                <w:color w:val="auto"/>
              </w:rPr>
            </w:pPr>
            <w:r>
              <w:rPr>
                <w:rFonts w:ascii="Arial" w:cs="Arial" w:eastAsia="Arial" w:hAnsi="Arial"/>
                <w:sz w:val="18"/>
                <w:szCs w:val="18"/>
                <w:color w:val="auto"/>
              </w:rPr>
              <w:t>Mutant-selective PI3K</w:t>
            </w:r>
            <w:r>
              <w:rPr>
                <w:rFonts w:ascii="Arial" w:cs="Arial" w:eastAsia="Arial" w:hAnsi="Arial"/>
                <w:sz w:val="19"/>
                <w:szCs w:val="19"/>
                <w:color w:val="auto"/>
              </w:rPr>
              <w:t>α</w:t>
            </w:r>
            <w:r>
              <w:rPr>
                <w:rFonts w:ascii="Arial" w:cs="Arial" w:eastAsia="Arial" w:hAnsi="Arial"/>
                <w:sz w:val="18"/>
                <w:szCs w:val="18"/>
                <w:color w:val="auto"/>
              </w:rPr>
              <w:t xml:space="preserve"> inhibitor that</w:t>
            </w:r>
          </w:p>
        </w:tc>
        <w:tc>
          <w:tcPr>
            <w:tcW w:w="1360" w:type="dxa"/>
            <w:vAlign w:val="bottom"/>
            <w:vMerge w:val="restart"/>
            <w:shd w:val="clear" w:color="auto" w:fill="D8D8D8"/>
          </w:tcPr>
          <w:p>
            <w:pPr>
              <w:jc w:val="center"/>
              <w:ind w:right="52"/>
              <w:spacing w:after="0"/>
              <w:rPr>
                <w:sz w:val="20"/>
                <w:szCs w:val="20"/>
                <w:color w:val="auto"/>
              </w:rPr>
            </w:pPr>
            <w:r>
              <w:rPr>
                <w:rFonts w:ascii="Arial" w:cs="Arial" w:eastAsia="Arial" w:hAnsi="Arial"/>
                <w:sz w:val="18"/>
                <w:szCs w:val="18"/>
                <w:color w:val="auto"/>
                <w:w w:val="98"/>
              </w:rPr>
              <w:t>May 2020</w:t>
            </w:r>
          </w:p>
        </w:tc>
        <w:tc>
          <w:tcPr>
            <w:tcW w:w="15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17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122"/>
        </w:trPr>
        <w:tc>
          <w:tcPr>
            <w:tcW w:w="3240" w:type="dxa"/>
            <w:vAlign w:val="bottom"/>
            <w:vMerge w:val="continue"/>
            <w:shd w:val="clear" w:color="auto" w:fill="D8D8D8"/>
          </w:tcPr>
          <w:p>
            <w:pPr>
              <w:spacing w:after="0"/>
              <w:rPr>
                <w:sz w:val="10"/>
                <w:szCs w:val="10"/>
                <w:color w:val="auto"/>
              </w:rPr>
            </w:pPr>
          </w:p>
        </w:tc>
        <w:tc>
          <w:tcPr>
            <w:tcW w:w="3420" w:type="dxa"/>
            <w:vAlign w:val="bottom"/>
            <w:vMerge w:val="restart"/>
            <w:shd w:val="clear" w:color="auto" w:fill="D8D8D8"/>
          </w:tcPr>
          <w:p>
            <w:pPr>
              <w:ind w:left="160"/>
              <w:spacing w:after="0"/>
              <w:rPr>
                <w:sz w:val="20"/>
                <w:szCs w:val="20"/>
                <w:color w:val="auto"/>
              </w:rPr>
            </w:pPr>
            <w:r>
              <w:rPr>
                <w:rFonts w:ascii="Arial" w:cs="Arial" w:eastAsia="Arial" w:hAnsi="Arial"/>
                <w:sz w:val="18"/>
                <w:szCs w:val="18"/>
                <w:color w:val="auto"/>
              </w:rPr>
              <w:t>could lead to potential new medicine</w:t>
            </w:r>
          </w:p>
        </w:tc>
        <w:tc>
          <w:tcPr>
            <w:tcW w:w="1360" w:type="dxa"/>
            <w:vAlign w:val="bottom"/>
            <w:vMerge w:val="continue"/>
            <w:shd w:val="clear" w:color="auto" w:fill="D8D8D8"/>
          </w:tcPr>
          <w:p>
            <w:pPr>
              <w:spacing w:after="0"/>
              <w:rPr>
                <w:sz w:val="10"/>
                <w:szCs w:val="10"/>
                <w:color w:val="auto"/>
              </w:rPr>
            </w:pPr>
          </w:p>
        </w:tc>
        <w:tc>
          <w:tcPr>
            <w:tcW w:w="1520" w:type="dxa"/>
            <w:vAlign w:val="bottom"/>
            <w:vMerge w:val="continue"/>
            <w:shd w:val="clear" w:color="auto" w:fill="D8D8D8"/>
          </w:tcPr>
          <w:p>
            <w:pPr>
              <w:spacing w:after="0"/>
              <w:rPr>
                <w:sz w:val="10"/>
                <w:szCs w:val="10"/>
                <w:color w:val="auto"/>
              </w:rPr>
            </w:pPr>
          </w:p>
        </w:tc>
        <w:tc>
          <w:tcPr>
            <w:tcW w:w="17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240" w:type="dxa"/>
            <w:vAlign w:val="bottom"/>
            <w:tcBorders>
              <w:bottom w:val="single" w:sz="8" w:color="auto"/>
            </w:tcBorders>
            <w:shd w:val="clear" w:color="auto" w:fill="D8D8D8"/>
          </w:tcPr>
          <w:p>
            <w:pPr>
              <w:spacing w:after="0"/>
              <w:rPr>
                <w:sz w:val="8"/>
                <w:szCs w:val="8"/>
                <w:color w:val="auto"/>
              </w:rPr>
            </w:pPr>
          </w:p>
        </w:tc>
        <w:tc>
          <w:tcPr>
            <w:tcW w:w="3420" w:type="dxa"/>
            <w:vAlign w:val="bottom"/>
            <w:tcBorders>
              <w:bottom w:val="single" w:sz="8" w:color="auto"/>
            </w:tcBorders>
            <w:vMerge w:val="continue"/>
            <w:shd w:val="clear" w:color="auto" w:fill="D8D8D8"/>
          </w:tcPr>
          <w:p>
            <w:pPr>
              <w:spacing w:after="0"/>
              <w:rPr>
                <w:sz w:val="8"/>
                <w:szCs w:val="8"/>
                <w:color w:val="auto"/>
              </w:rPr>
            </w:pPr>
          </w:p>
        </w:tc>
        <w:tc>
          <w:tcPr>
            <w:tcW w:w="1360" w:type="dxa"/>
            <w:vAlign w:val="bottom"/>
            <w:tcBorders>
              <w:bottom w:val="single" w:sz="8" w:color="auto"/>
            </w:tcBorders>
            <w:shd w:val="clear" w:color="auto" w:fill="D8D8D8"/>
          </w:tcPr>
          <w:p>
            <w:pPr>
              <w:spacing w:after="0"/>
              <w:rPr>
                <w:sz w:val="8"/>
                <w:szCs w:val="8"/>
                <w:color w:val="auto"/>
              </w:rPr>
            </w:pPr>
          </w:p>
        </w:tc>
        <w:tc>
          <w:tcPr>
            <w:tcW w:w="1520" w:type="dxa"/>
            <w:vAlign w:val="bottom"/>
            <w:tcBorders>
              <w:bottom w:val="single" w:sz="8" w:color="auto"/>
            </w:tcBorders>
            <w:shd w:val="clear" w:color="auto" w:fill="D8D8D8"/>
          </w:tcPr>
          <w:p>
            <w:pPr>
              <w:spacing w:after="0"/>
              <w:rPr>
                <w:sz w:val="8"/>
                <w:szCs w:val="8"/>
                <w:color w:val="auto"/>
              </w:rPr>
            </w:pPr>
          </w:p>
        </w:tc>
        <w:tc>
          <w:tcPr>
            <w:tcW w:w="1700" w:type="dxa"/>
            <w:vAlign w:val="bottom"/>
            <w:tcBorders>
              <w:bottom w:val="single" w:sz="8" w:color="auto"/>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Evox Therapeutics Limited</w:t>
            </w:r>
          </w:p>
        </w:tc>
        <w:tc>
          <w:tcPr>
            <w:tcW w:w="3420" w:type="dxa"/>
            <w:vAlign w:val="bottom"/>
          </w:tcPr>
          <w:p>
            <w:pPr>
              <w:ind w:left="160"/>
              <w:spacing w:after="0" w:line="182" w:lineRule="exact"/>
              <w:rPr>
                <w:sz w:val="20"/>
                <w:szCs w:val="20"/>
                <w:color w:val="auto"/>
              </w:rPr>
            </w:pPr>
            <w:r>
              <w:rPr>
                <w:rFonts w:ascii="Arial" w:cs="Arial" w:eastAsia="Arial" w:hAnsi="Arial"/>
                <w:sz w:val="18"/>
                <w:szCs w:val="18"/>
                <w:color w:val="auto"/>
              </w:rPr>
              <w:t>Pre-clinical targets for the potential</w:t>
            </w:r>
          </w:p>
        </w:tc>
        <w:tc>
          <w:tcPr>
            <w:tcW w:w="1360" w:type="dxa"/>
            <w:vAlign w:val="bottom"/>
            <w:vMerge w:val="restart"/>
          </w:tcPr>
          <w:p>
            <w:pPr>
              <w:jc w:val="center"/>
              <w:ind w:right="32"/>
              <w:spacing w:after="0"/>
              <w:rPr>
                <w:sz w:val="20"/>
                <w:szCs w:val="20"/>
                <w:color w:val="auto"/>
              </w:rPr>
            </w:pPr>
            <w:r>
              <w:rPr>
                <w:rFonts w:ascii="Arial" w:cs="Arial" w:eastAsia="Arial" w:hAnsi="Arial"/>
                <w:sz w:val="18"/>
                <w:szCs w:val="18"/>
                <w:color w:val="auto"/>
                <w:w w:val="99"/>
              </w:rPr>
              <w:t>June 2020</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3420" w:type="dxa"/>
            <w:vAlign w:val="bottom"/>
            <w:vMerge w:val="restart"/>
          </w:tcPr>
          <w:p>
            <w:pPr>
              <w:ind w:left="160"/>
              <w:spacing w:after="0"/>
              <w:rPr>
                <w:sz w:val="20"/>
                <w:szCs w:val="20"/>
                <w:color w:val="auto"/>
              </w:rPr>
            </w:pPr>
            <w:r>
              <w:rPr>
                <w:rFonts w:ascii="Arial" w:cs="Arial" w:eastAsia="Arial" w:hAnsi="Arial"/>
                <w:sz w:val="18"/>
                <w:szCs w:val="18"/>
                <w:color w:val="auto"/>
              </w:rPr>
              <w:t>treatment of neurological disorders</w:t>
            </w:r>
          </w:p>
        </w:tc>
        <w:tc>
          <w:tcPr>
            <w:tcW w:w="136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240" w:type="dxa"/>
            <w:vAlign w:val="bottom"/>
            <w:tcBorders>
              <w:bottom w:val="single" w:sz="8" w:color="auto"/>
            </w:tcBorders>
          </w:tcPr>
          <w:p>
            <w:pPr>
              <w:spacing w:after="0"/>
              <w:rPr>
                <w:sz w:val="8"/>
                <w:szCs w:val="8"/>
                <w:color w:val="auto"/>
              </w:rPr>
            </w:pPr>
          </w:p>
        </w:tc>
        <w:tc>
          <w:tcPr>
            <w:tcW w:w="342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40" w:type="dxa"/>
            <w:vAlign w:val="bottom"/>
            <w:shd w:val="clear" w:color="auto" w:fill="D8D8D8"/>
          </w:tcPr>
          <w:p>
            <w:pPr>
              <w:spacing w:after="0"/>
              <w:rPr>
                <w:sz w:val="15"/>
                <w:szCs w:val="15"/>
                <w:color w:val="auto"/>
              </w:rPr>
            </w:pPr>
          </w:p>
        </w:tc>
        <w:tc>
          <w:tcPr>
            <w:tcW w:w="3420" w:type="dxa"/>
            <w:vAlign w:val="bottom"/>
            <w:shd w:val="clear" w:color="auto" w:fill="D8D8D8"/>
          </w:tcPr>
          <w:p>
            <w:pPr>
              <w:ind w:left="160"/>
              <w:spacing w:after="0" w:line="182" w:lineRule="exact"/>
              <w:rPr>
                <w:sz w:val="20"/>
                <w:szCs w:val="20"/>
                <w:color w:val="auto"/>
              </w:rPr>
            </w:pPr>
            <w:r>
              <w:rPr>
                <w:rFonts w:ascii="Arial" w:cs="Arial" w:eastAsia="Arial" w:hAnsi="Arial"/>
                <w:sz w:val="18"/>
                <w:szCs w:val="18"/>
                <w:color w:val="auto"/>
              </w:rPr>
              <w:t>Sintilimab injection, an anti-PD-1</w:t>
            </w:r>
          </w:p>
        </w:tc>
        <w:tc>
          <w:tcPr>
            <w:tcW w:w="1360" w:type="dxa"/>
            <w:vAlign w:val="bottom"/>
            <w:shd w:val="clear" w:color="auto" w:fill="D8D8D8"/>
          </w:tcPr>
          <w:p>
            <w:pPr>
              <w:spacing w:after="0"/>
              <w:rPr>
                <w:sz w:val="15"/>
                <w:szCs w:val="15"/>
                <w:color w:val="auto"/>
              </w:rPr>
            </w:pPr>
          </w:p>
        </w:tc>
        <w:tc>
          <w:tcPr>
            <w:tcW w:w="1520" w:type="dxa"/>
            <w:vAlign w:val="bottom"/>
            <w:shd w:val="clear" w:color="auto" w:fill="D8D8D8"/>
          </w:tcPr>
          <w:p>
            <w:pPr>
              <w:spacing w:after="0"/>
              <w:rPr>
                <w:sz w:val="15"/>
                <w:szCs w:val="15"/>
                <w:color w:val="auto"/>
              </w:rPr>
            </w:pPr>
          </w:p>
        </w:tc>
        <w:tc>
          <w:tcPr>
            <w:tcW w:w="17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Innovent Biologics, Inc. (Innovent)</w:t>
            </w:r>
          </w:p>
        </w:tc>
        <w:tc>
          <w:tcPr>
            <w:tcW w:w="3420" w:type="dxa"/>
            <w:vAlign w:val="bottom"/>
            <w:shd w:val="clear" w:color="auto" w:fill="D8D8D8"/>
          </w:tcPr>
          <w:p>
            <w:pPr>
              <w:ind w:left="160"/>
              <w:spacing w:after="0" w:line="176" w:lineRule="exact"/>
              <w:rPr>
                <w:sz w:val="20"/>
                <w:szCs w:val="20"/>
                <w:color w:val="auto"/>
              </w:rPr>
            </w:pPr>
            <w:r>
              <w:rPr>
                <w:rFonts w:ascii="Arial" w:cs="Arial" w:eastAsia="Arial" w:hAnsi="Arial"/>
                <w:sz w:val="18"/>
                <w:szCs w:val="18"/>
                <w:color w:val="auto"/>
              </w:rPr>
              <w:t>monoclonal antibody immuno-oncology</w:t>
            </w:r>
          </w:p>
        </w:tc>
        <w:tc>
          <w:tcPr>
            <w:tcW w:w="1360" w:type="dxa"/>
            <w:vAlign w:val="bottom"/>
            <w:vMerge w:val="restart"/>
            <w:shd w:val="clear" w:color="auto" w:fill="D8D8D8"/>
          </w:tcPr>
          <w:p>
            <w:pPr>
              <w:jc w:val="center"/>
              <w:ind w:right="52"/>
              <w:spacing w:after="0"/>
              <w:rPr>
                <w:sz w:val="20"/>
                <w:szCs w:val="20"/>
                <w:color w:val="auto"/>
              </w:rPr>
            </w:pPr>
            <w:r>
              <w:rPr>
                <w:rFonts w:ascii="Arial" w:cs="Arial" w:eastAsia="Arial" w:hAnsi="Arial"/>
                <w:sz w:val="18"/>
                <w:szCs w:val="18"/>
                <w:color w:val="auto"/>
              </w:rPr>
              <w:t>October 2020</w:t>
            </w:r>
          </w:p>
        </w:tc>
        <w:tc>
          <w:tcPr>
            <w:tcW w:w="15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Phase III</w:t>
            </w:r>
          </w:p>
        </w:tc>
        <w:tc>
          <w:tcPr>
            <w:tcW w:w="17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22"/>
        </w:trPr>
        <w:tc>
          <w:tcPr>
            <w:tcW w:w="3240" w:type="dxa"/>
            <w:vAlign w:val="bottom"/>
            <w:vMerge w:val="continue"/>
            <w:shd w:val="clear" w:color="auto" w:fill="D8D8D8"/>
          </w:tcPr>
          <w:p>
            <w:pPr>
              <w:spacing w:after="0"/>
              <w:rPr>
                <w:sz w:val="10"/>
                <w:szCs w:val="10"/>
                <w:color w:val="auto"/>
              </w:rPr>
            </w:pPr>
          </w:p>
        </w:tc>
        <w:tc>
          <w:tcPr>
            <w:tcW w:w="3420" w:type="dxa"/>
            <w:vAlign w:val="bottom"/>
            <w:vMerge w:val="restart"/>
            <w:shd w:val="clear" w:color="auto" w:fill="D8D8D8"/>
          </w:tcPr>
          <w:p>
            <w:pPr>
              <w:ind w:left="160"/>
              <w:spacing w:after="0" w:line="176" w:lineRule="exact"/>
              <w:rPr>
                <w:sz w:val="20"/>
                <w:szCs w:val="20"/>
                <w:color w:val="auto"/>
              </w:rPr>
            </w:pPr>
            <w:r>
              <w:rPr>
                <w:rFonts w:ascii="Arial" w:cs="Arial" w:eastAsia="Arial" w:hAnsi="Arial"/>
                <w:sz w:val="18"/>
                <w:szCs w:val="18"/>
                <w:color w:val="auto"/>
              </w:rPr>
              <w:t>medicine, for geographies outside of</w:t>
            </w:r>
          </w:p>
        </w:tc>
        <w:tc>
          <w:tcPr>
            <w:tcW w:w="1360" w:type="dxa"/>
            <w:vAlign w:val="bottom"/>
            <w:vMerge w:val="continue"/>
            <w:shd w:val="clear" w:color="auto" w:fill="D8D8D8"/>
          </w:tcPr>
          <w:p>
            <w:pPr>
              <w:spacing w:after="0"/>
              <w:rPr>
                <w:sz w:val="10"/>
                <w:szCs w:val="10"/>
                <w:color w:val="auto"/>
              </w:rPr>
            </w:pPr>
          </w:p>
        </w:tc>
        <w:tc>
          <w:tcPr>
            <w:tcW w:w="1520" w:type="dxa"/>
            <w:vAlign w:val="bottom"/>
            <w:vMerge w:val="continue"/>
            <w:shd w:val="clear" w:color="auto" w:fill="D8D8D8"/>
          </w:tcPr>
          <w:p>
            <w:pPr>
              <w:spacing w:after="0"/>
              <w:rPr>
                <w:sz w:val="10"/>
                <w:szCs w:val="10"/>
                <w:color w:val="auto"/>
              </w:rPr>
            </w:pPr>
          </w:p>
        </w:tc>
        <w:tc>
          <w:tcPr>
            <w:tcW w:w="17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240" w:type="dxa"/>
            <w:vAlign w:val="bottom"/>
            <w:shd w:val="clear" w:color="auto" w:fill="D8D8D8"/>
          </w:tcPr>
          <w:p>
            <w:pPr>
              <w:spacing w:after="0"/>
              <w:rPr>
                <w:sz w:val="4"/>
                <w:szCs w:val="4"/>
                <w:color w:val="auto"/>
              </w:rPr>
            </w:pPr>
          </w:p>
        </w:tc>
        <w:tc>
          <w:tcPr>
            <w:tcW w:w="3420" w:type="dxa"/>
            <w:vAlign w:val="bottom"/>
            <w:vMerge w:val="continue"/>
            <w:shd w:val="clear" w:color="auto" w:fill="D8D8D8"/>
          </w:tcPr>
          <w:p>
            <w:pPr>
              <w:spacing w:after="0"/>
              <w:rPr>
                <w:sz w:val="4"/>
                <w:szCs w:val="4"/>
                <w:color w:val="auto"/>
              </w:rPr>
            </w:pPr>
          </w:p>
        </w:tc>
        <w:tc>
          <w:tcPr>
            <w:tcW w:w="1360" w:type="dxa"/>
            <w:vAlign w:val="bottom"/>
            <w:shd w:val="clear" w:color="auto" w:fill="D8D8D8"/>
          </w:tcPr>
          <w:p>
            <w:pPr>
              <w:spacing w:after="0"/>
              <w:rPr>
                <w:sz w:val="4"/>
                <w:szCs w:val="4"/>
                <w:color w:val="auto"/>
              </w:rPr>
            </w:pPr>
          </w:p>
        </w:tc>
        <w:tc>
          <w:tcPr>
            <w:tcW w:w="1520" w:type="dxa"/>
            <w:vAlign w:val="bottom"/>
            <w:shd w:val="clear" w:color="auto" w:fill="D8D8D8"/>
          </w:tcPr>
          <w:p>
            <w:pPr>
              <w:spacing w:after="0"/>
              <w:rPr>
                <w:sz w:val="4"/>
                <w:szCs w:val="4"/>
                <w:color w:val="auto"/>
              </w:rPr>
            </w:pPr>
          </w:p>
        </w:tc>
        <w:tc>
          <w:tcPr>
            <w:tcW w:w="170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shd w:val="clear" w:color="auto" w:fill="D8D8D8"/>
          </w:tcPr>
          <w:p>
            <w:pPr>
              <w:spacing w:after="0"/>
              <w:rPr>
                <w:sz w:val="18"/>
                <w:szCs w:val="18"/>
                <w:color w:val="auto"/>
              </w:rPr>
            </w:pPr>
          </w:p>
        </w:tc>
        <w:tc>
          <w:tcPr>
            <w:tcW w:w="3420" w:type="dxa"/>
            <w:vAlign w:val="bottom"/>
            <w:tcBorders>
              <w:bottom w:val="single" w:sz="8" w:color="auto"/>
            </w:tcBorders>
            <w:shd w:val="clear" w:color="auto" w:fill="D8D8D8"/>
          </w:tcPr>
          <w:p>
            <w:pPr>
              <w:ind w:left="160"/>
              <w:spacing w:after="0"/>
              <w:rPr>
                <w:sz w:val="20"/>
                <w:szCs w:val="20"/>
                <w:color w:val="auto"/>
              </w:rPr>
            </w:pPr>
            <w:r>
              <w:rPr>
                <w:rFonts w:ascii="Arial" w:cs="Arial" w:eastAsia="Arial" w:hAnsi="Arial"/>
                <w:sz w:val="18"/>
                <w:szCs w:val="18"/>
                <w:color w:val="auto"/>
              </w:rPr>
              <w:t>China</w:t>
            </w:r>
          </w:p>
        </w:tc>
        <w:tc>
          <w:tcPr>
            <w:tcW w:w="1360" w:type="dxa"/>
            <w:vAlign w:val="bottom"/>
            <w:tcBorders>
              <w:bottom w:val="single" w:sz="8" w:color="auto"/>
            </w:tcBorders>
            <w:shd w:val="clear" w:color="auto" w:fill="D8D8D8"/>
          </w:tcPr>
          <w:p>
            <w:pPr>
              <w:spacing w:after="0"/>
              <w:rPr>
                <w:sz w:val="18"/>
                <w:szCs w:val="18"/>
                <w:color w:val="auto"/>
              </w:rPr>
            </w:pPr>
          </w:p>
        </w:tc>
        <w:tc>
          <w:tcPr>
            <w:tcW w:w="1520" w:type="dxa"/>
            <w:vAlign w:val="bottom"/>
            <w:tcBorders>
              <w:bottom w:val="single" w:sz="8" w:color="auto"/>
            </w:tcBorders>
            <w:shd w:val="clear" w:color="auto" w:fill="D8D8D8"/>
          </w:tcPr>
          <w:p>
            <w:pPr>
              <w:spacing w:after="0"/>
              <w:rPr>
                <w:sz w:val="18"/>
                <w:szCs w:val="18"/>
                <w:color w:val="auto"/>
              </w:rPr>
            </w:pPr>
          </w:p>
        </w:tc>
        <w:tc>
          <w:tcPr>
            <w:tcW w:w="1700" w:type="dxa"/>
            <w:vAlign w:val="bottom"/>
            <w:tcBorders>
              <w:bottom w:val="single" w:sz="8" w:color="auto"/>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3420" w:type="dxa"/>
            <w:vAlign w:val="bottom"/>
          </w:tcPr>
          <w:p>
            <w:pPr>
              <w:ind w:left="160"/>
              <w:spacing w:after="0" w:line="182" w:lineRule="exact"/>
              <w:rPr>
                <w:sz w:val="20"/>
                <w:szCs w:val="20"/>
                <w:color w:val="auto"/>
              </w:rPr>
            </w:pPr>
            <w:r>
              <w:rPr>
                <w:rFonts w:ascii="Arial" w:cs="Arial" w:eastAsia="Arial" w:hAnsi="Arial"/>
                <w:sz w:val="18"/>
                <w:szCs w:val="18"/>
                <w:color w:val="auto"/>
              </w:rPr>
              <w:t>Disease-modifying therapeutics</w:t>
            </w: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Disarm Therapeutics, Inc.</w:t>
            </w:r>
          </w:p>
        </w:tc>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rPr>
              <w:t>program for patients with axonal</w:t>
            </w:r>
          </w:p>
        </w:tc>
        <w:tc>
          <w:tcPr>
            <w:tcW w:w="1360" w:type="dxa"/>
            <w:vAlign w:val="bottom"/>
          </w:tcPr>
          <w:p>
            <w:pPr>
              <w:jc w:val="center"/>
              <w:ind w:right="52"/>
              <w:spacing w:after="0" w:line="176" w:lineRule="exact"/>
              <w:rPr>
                <w:sz w:val="20"/>
                <w:szCs w:val="20"/>
                <w:color w:val="auto"/>
              </w:rPr>
            </w:pPr>
            <w:r>
              <w:rPr>
                <w:rFonts w:ascii="Arial" w:cs="Arial" w:eastAsia="Arial" w:hAnsi="Arial"/>
                <w:sz w:val="18"/>
                <w:szCs w:val="18"/>
                <w:color w:val="auto"/>
              </w:rPr>
              <w:t>October 2020</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99"/>
              </w:rPr>
              <w:t>Pre-clinical</w:t>
            </w:r>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degeneration</w:t>
            </w:r>
          </w:p>
        </w:tc>
        <w:tc>
          <w:tcPr>
            <w:tcW w:w="1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Fochon Pharmaceuticals, Ltd.</w:t>
            </w:r>
          </w:p>
        </w:tc>
        <w:tc>
          <w:tcPr>
            <w:tcW w:w="3420" w:type="dxa"/>
            <w:vAlign w:val="bottom"/>
            <w:shd w:val="clear" w:color="auto" w:fill="D8D8D8"/>
          </w:tcPr>
          <w:p>
            <w:pPr>
              <w:ind w:left="160"/>
              <w:spacing w:after="0" w:line="182" w:lineRule="exact"/>
              <w:rPr>
                <w:sz w:val="20"/>
                <w:szCs w:val="20"/>
                <w:color w:val="auto"/>
              </w:rPr>
            </w:pPr>
            <w:r>
              <w:rPr>
                <w:rFonts w:ascii="Arial" w:cs="Arial" w:eastAsia="Arial" w:hAnsi="Arial"/>
                <w:sz w:val="18"/>
                <w:szCs w:val="18"/>
                <w:color w:val="auto"/>
              </w:rPr>
              <w:t>Pre-clinical molecule targeting</w:t>
            </w:r>
          </w:p>
        </w:tc>
        <w:tc>
          <w:tcPr>
            <w:tcW w:w="1360" w:type="dxa"/>
            <w:vAlign w:val="bottom"/>
            <w:shd w:val="clear" w:color="auto" w:fill="D8D8D8"/>
          </w:tcPr>
          <w:p>
            <w:pPr>
              <w:jc w:val="center"/>
              <w:ind w:right="52"/>
              <w:spacing w:after="0" w:line="182" w:lineRule="exact"/>
              <w:rPr>
                <w:sz w:val="20"/>
                <w:szCs w:val="20"/>
                <w:color w:val="auto"/>
              </w:rPr>
            </w:pPr>
            <w:r>
              <w:rPr>
                <w:rFonts w:ascii="Arial" w:cs="Arial" w:eastAsia="Arial" w:hAnsi="Arial"/>
                <w:sz w:val="18"/>
                <w:szCs w:val="18"/>
                <w:color w:val="auto"/>
                <w:w w:val="98"/>
              </w:rPr>
              <w:t>November</w:t>
            </w:r>
          </w:p>
        </w:tc>
        <w:tc>
          <w:tcPr>
            <w:tcW w:w="152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170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22"/>
        </w:trPr>
        <w:tc>
          <w:tcPr>
            <w:tcW w:w="3240" w:type="dxa"/>
            <w:vAlign w:val="bottom"/>
            <w:vMerge w:val="continue"/>
            <w:shd w:val="clear" w:color="auto" w:fill="D8D8D8"/>
          </w:tcPr>
          <w:p>
            <w:pPr>
              <w:spacing w:after="0"/>
              <w:rPr>
                <w:sz w:val="10"/>
                <w:szCs w:val="10"/>
                <w:color w:val="auto"/>
              </w:rPr>
            </w:pPr>
          </w:p>
        </w:tc>
        <w:tc>
          <w:tcPr>
            <w:tcW w:w="3420" w:type="dxa"/>
            <w:vAlign w:val="bottom"/>
            <w:vMerge w:val="restart"/>
            <w:shd w:val="clear" w:color="auto" w:fill="D8D8D8"/>
          </w:tcPr>
          <w:p>
            <w:pPr>
              <w:ind w:left="160"/>
              <w:spacing w:after="0"/>
              <w:rPr>
                <w:sz w:val="20"/>
                <w:szCs w:val="20"/>
                <w:color w:val="auto"/>
              </w:rPr>
            </w:pPr>
            <w:r>
              <w:rPr>
                <w:rFonts w:ascii="Arial" w:cs="Arial" w:eastAsia="Arial" w:hAnsi="Arial"/>
                <w:sz w:val="18"/>
                <w:szCs w:val="18"/>
                <w:color w:val="auto"/>
              </w:rPr>
              <w:t>hematological malignancies</w:t>
            </w:r>
          </w:p>
        </w:tc>
        <w:tc>
          <w:tcPr>
            <w:tcW w:w="1360" w:type="dxa"/>
            <w:vAlign w:val="bottom"/>
            <w:vMerge w:val="restart"/>
            <w:shd w:val="clear" w:color="auto" w:fill="D8D8D8"/>
          </w:tcPr>
          <w:p>
            <w:pPr>
              <w:jc w:val="center"/>
              <w:ind w:right="32"/>
              <w:spacing w:after="0"/>
              <w:rPr>
                <w:sz w:val="20"/>
                <w:szCs w:val="20"/>
                <w:color w:val="auto"/>
              </w:rPr>
            </w:pPr>
            <w:r>
              <w:rPr>
                <w:rFonts w:ascii="Arial" w:cs="Arial" w:eastAsia="Arial" w:hAnsi="Arial"/>
                <w:sz w:val="18"/>
                <w:szCs w:val="18"/>
                <w:color w:val="auto"/>
                <w:w w:val="99"/>
              </w:rPr>
              <w:t>2020</w:t>
            </w:r>
          </w:p>
        </w:tc>
        <w:tc>
          <w:tcPr>
            <w:tcW w:w="1520" w:type="dxa"/>
            <w:vAlign w:val="bottom"/>
            <w:vMerge w:val="continue"/>
            <w:shd w:val="clear" w:color="auto" w:fill="D8D8D8"/>
          </w:tcPr>
          <w:p>
            <w:pPr>
              <w:spacing w:after="0"/>
              <w:rPr>
                <w:sz w:val="10"/>
                <w:szCs w:val="10"/>
                <w:color w:val="auto"/>
              </w:rPr>
            </w:pPr>
          </w:p>
        </w:tc>
        <w:tc>
          <w:tcPr>
            <w:tcW w:w="170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240" w:type="dxa"/>
            <w:vAlign w:val="bottom"/>
            <w:tcBorders>
              <w:bottom w:val="single" w:sz="8" w:color="auto"/>
            </w:tcBorders>
            <w:shd w:val="clear" w:color="auto" w:fill="D8D8D8"/>
          </w:tcPr>
          <w:p>
            <w:pPr>
              <w:spacing w:after="0"/>
              <w:rPr>
                <w:sz w:val="8"/>
                <w:szCs w:val="8"/>
                <w:color w:val="auto"/>
              </w:rPr>
            </w:pPr>
          </w:p>
        </w:tc>
        <w:tc>
          <w:tcPr>
            <w:tcW w:w="3420" w:type="dxa"/>
            <w:vAlign w:val="bottom"/>
            <w:tcBorders>
              <w:bottom w:val="single" w:sz="8" w:color="auto"/>
            </w:tcBorders>
            <w:vMerge w:val="continue"/>
            <w:shd w:val="clear" w:color="auto" w:fill="D8D8D8"/>
          </w:tcPr>
          <w:p>
            <w:pPr>
              <w:spacing w:after="0"/>
              <w:rPr>
                <w:sz w:val="8"/>
                <w:szCs w:val="8"/>
                <w:color w:val="auto"/>
              </w:rPr>
            </w:pPr>
          </w:p>
        </w:tc>
        <w:tc>
          <w:tcPr>
            <w:tcW w:w="1360" w:type="dxa"/>
            <w:vAlign w:val="bottom"/>
            <w:tcBorders>
              <w:bottom w:val="single" w:sz="8" w:color="auto"/>
            </w:tcBorders>
            <w:vMerge w:val="continue"/>
            <w:shd w:val="clear" w:color="auto" w:fill="D8D8D8"/>
          </w:tcPr>
          <w:p>
            <w:pPr>
              <w:spacing w:after="0"/>
              <w:rPr>
                <w:sz w:val="8"/>
                <w:szCs w:val="8"/>
                <w:color w:val="auto"/>
              </w:rPr>
            </w:pPr>
          </w:p>
        </w:tc>
        <w:tc>
          <w:tcPr>
            <w:tcW w:w="1520" w:type="dxa"/>
            <w:vAlign w:val="bottom"/>
            <w:tcBorders>
              <w:bottom w:val="single" w:sz="8" w:color="auto"/>
            </w:tcBorders>
            <w:shd w:val="clear" w:color="auto" w:fill="D8D8D8"/>
          </w:tcPr>
          <w:p>
            <w:pPr>
              <w:spacing w:after="0"/>
              <w:rPr>
                <w:sz w:val="8"/>
                <w:szCs w:val="8"/>
                <w:color w:val="auto"/>
              </w:rPr>
            </w:pPr>
          </w:p>
        </w:tc>
        <w:tc>
          <w:tcPr>
            <w:tcW w:w="1700" w:type="dxa"/>
            <w:vAlign w:val="bottom"/>
            <w:tcBorders>
              <w:bottom w:val="single" w:sz="8" w:color="auto"/>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060"/>
        <w:spacing w:after="0"/>
        <w:rPr>
          <w:sz w:val="20"/>
          <w:szCs w:val="20"/>
          <w:color w:val="auto"/>
        </w:rPr>
      </w:pPr>
      <w:r>
        <w:rPr>
          <w:rFonts w:ascii="Arial" w:cs="Arial" w:eastAsia="Arial" w:hAnsi="Arial"/>
          <w:sz w:val="16"/>
          <w:szCs w:val="16"/>
          <w:b w:val="1"/>
          <w:bCs w:val="1"/>
          <w:i w:val="1"/>
          <w:i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9" w:name="page70"/>
    <w:bookmarkEnd w:id="69"/>
    <w:tbl>
      <w:tblPr>
        <w:tblLayout w:type="fixed"/>
        <w:tblInd w:w="1240" w:type="dxa"/>
        <w:tblCellMar>
          <w:top w:w="0" w:type="dxa"/>
          <w:left w:w="0" w:type="dxa"/>
          <w:bottom w:w="0" w:type="dxa"/>
          <w:right w:w="0" w:type="dxa"/>
        </w:tblCellMar>
      </w:tblPr>
      <w:tr>
        <w:trPr>
          <w:trHeight w:val="161"/>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Counterparty</w:t>
            </w:r>
          </w:p>
        </w:tc>
        <w:tc>
          <w:tcPr>
            <w:tcW w:w="34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Compound(s),Therapy, or Asset</w:t>
            </w:r>
          </w:p>
        </w:tc>
        <w:tc>
          <w:tcPr>
            <w:tcW w:w="1460" w:type="dxa"/>
            <w:vAlign w:val="bottom"/>
          </w:tcPr>
          <w:p>
            <w:pPr>
              <w:jc w:val="center"/>
              <w:ind w:left="48"/>
              <w:spacing w:after="0"/>
              <w:rPr>
                <w:sz w:val="20"/>
                <w:szCs w:val="20"/>
                <w:color w:val="auto"/>
              </w:rPr>
            </w:pPr>
            <w:r>
              <w:rPr>
                <w:rFonts w:ascii="Arial" w:cs="Arial" w:eastAsia="Arial" w:hAnsi="Arial"/>
                <w:sz w:val="14"/>
                <w:szCs w:val="14"/>
                <w:b w:val="1"/>
                <w:bCs w:val="1"/>
                <w:color w:val="auto"/>
              </w:rPr>
              <w:t>Acquisition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1420" w:type="dxa"/>
            <w:vAlign w:val="bottom"/>
          </w:tcPr>
          <w:p>
            <w:pPr>
              <w:jc w:val="center"/>
              <w:ind w:left="228"/>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15"/>
        </w:trPr>
        <w:tc>
          <w:tcPr>
            <w:tcW w:w="1800" w:type="dxa"/>
            <w:vAlign w:val="bottom"/>
            <w:vMerge w:val="continue"/>
          </w:tcPr>
          <w:p>
            <w:pPr>
              <w:spacing w:after="0"/>
              <w:rPr>
                <w:sz w:val="18"/>
                <w:szCs w:val="18"/>
                <w:color w:val="auto"/>
              </w:rPr>
            </w:pPr>
          </w:p>
        </w:tc>
        <w:tc>
          <w:tcPr>
            <w:tcW w:w="3440" w:type="dxa"/>
            <w:vAlign w:val="bottom"/>
            <w:vMerge w:val="continue"/>
          </w:tcPr>
          <w:p>
            <w:pPr>
              <w:spacing w:after="0"/>
              <w:rPr>
                <w:sz w:val="18"/>
                <w:szCs w:val="18"/>
                <w:color w:val="auto"/>
              </w:rPr>
            </w:pPr>
          </w:p>
        </w:tc>
        <w:tc>
          <w:tcPr>
            <w:tcW w:w="1460" w:type="dxa"/>
            <w:vAlign w:val="bottom"/>
          </w:tcPr>
          <w:p>
            <w:pPr>
              <w:jc w:val="center"/>
              <w:ind w:left="48"/>
              <w:spacing w:after="0"/>
              <w:rPr>
                <w:sz w:val="20"/>
                <w:szCs w:val="20"/>
                <w:color w:val="auto"/>
              </w:rPr>
            </w:pPr>
            <w:r>
              <w:rPr>
                <w:rFonts w:ascii="Arial" w:cs="Arial" w:eastAsia="Arial" w:hAnsi="Arial"/>
                <w:sz w:val="14"/>
                <w:szCs w:val="14"/>
                <w:b w:val="1"/>
                <w:bCs w:val="1"/>
                <w:color w:val="auto"/>
                <w:w w:val="99"/>
              </w:rPr>
              <w:t>Month</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1420" w:type="dxa"/>
            <w:vAlign w:val="bottom"/>
          </w:tcPr>
          <w:p>
            <w:pPr>
              <w:jc w:val="center"/>
              <w:ind w:left="228"/>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4972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p>
      <w:pPr>
        <w:ind w:left="3400"/>
        <w:spacing w:after="0" w:line="203" w:lineRule="auto"/>
        <w:rPr>
          <w:sz w:val="20"/>
          <w:szCs w:val="20"/>
          <w:color w:val="auto"/>
        </w:rPr>
      </w:pPr>
      <w:r>
        <w:rPr>
          <w:rFonts w:ascii="Arial" w:cs="Arial" w:eastAsia="Arial" w:hAnsi="Arial"/>
          <w:sz w:val="18"/>
          <w:szCs w:val="18"/>
          <w:color w:val="auto"/>
        </w:rPr>
        <w:t>Tau aggregation inhibitor small</w:t>
      </w:r>
    </w:p>
    <w:p>
      <w:pPr>
        <w:ind w:left="3400" w:hanging="3374"/>
        <w:spacing w:after="0" w:line="203" w:lineRule="auto"/>
        <w:tabs>
          <w:tab w:leader="none" w:pos="3380" w:val="left"/>
        </w:tabs>
        <w:rPr>
          <w:sz w:val="20"/>
          <w:szCs w:val="20"/>
          <w:color w:val="auto"/>
        </w:rPr>
      </w:pPr>
      <w:r>
        <w:rPr>
          <w:rFonts w:ascii="Arial" w:cs="Arial" w:eastAsia="Arial" w:hAnsi="Arial"/>
          <w:sz w:val="35"/>
          <w:szCs w:val="35"/>
          <w:color w:val="auto"/>
          <w:vertAlign w:val="subscript"/>
        </w:rPr>
        <w:t>AC Immune SA</w:t>
      </w:r>
      <w:r>
        <w:rPr>
          <w:sz w:val="20"/>
          <w:szCs w:val="20"/>
          <w:color w:val="auto"/>
        </w:rPr>
        <w:tab/>
      </w:r>
      <w:r>
        <w:rPr>
          <w:rFonts w:ascii="Arial" w:cs="Arial" w:eastAsia="Arial" w:hAnsi="Arial"/>
          <w:sz w:val="18"/>
          <w:szCs w:val="18"/>
          <w:color w:val="auto"/>
        </w:rPr>
        <w:t>molecules for the potential treatment of Alzheimer's disease and other</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neurodegenerative diseases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center"/>
              <w:ind w:right="150"/>
              <w:spacing w:after="0"/>
              <w:rPr>
                <w:sz w:val="20"/>
                <w:szCs w:val="20"/>
                <w:color w:val="auto"/>
              </w:rPr>
            </w:pPr>
            <w:r>
              <w:rPr>
                <w:rFonts w:ascii="Arial" w:cs="Arial" w:eastAsia="Arial" w:hAnsi="Arial"/>
                <w:sz w:val="18"/>
                <w:szCs w:val="18"/>
                <w:color w:val="auto"/>
              </w:rPr>
              <w:t>January 2019</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65"/>
        </w:trPr>
        <w:tc>
          <w:tcPr>
            <w:tcW w:w="1340" w:type="dxa"/>
            <w:vAlign w:val="bottom"/>
          </w:tcPr>
          <w:p>
            <w:pPr>
              <w:jc w:val="center"/>
              <w:ind w:right="150"/>
              <w:spacing w:after="0" w:line="165" w:lineRule="exact"/>
              <w:rPr>
                <w:sz w:val="20"/>
                <w:szCs w:val="20"/>
                <w:color w:val="auto"/>
              </w:rPr>
            </w:pPr>
            <w:r>
              <w:rPr>
                <w:rFonts w:ascii="Arial" w:cs="Arial" w:eastAsia="Arial" w:hAnsi="Arial"/>
                <w:sz w:val="18"/>
                <w:szCs w:val="18"/>
                <w:color w:val="auto"/>
              </w:rPr>
              <w:t>&amp; September</w:t>
            </w:r>
          </w:p>
        </w:tc>
        <w:tc>
          <w:tcPr>
            <w:tcW w:w="1880" w:type="dxa"/>
            <w:vAlign w:val="bottom"/>
          </w:tcPr>
          <w:p>
            <w:pPr>
              <w:ind w:left="240"/>
              <w:spacing w:after="0" w:line="165" w:lineRule="exact"/>
              <w:rPr>
                <w:sz w:val="20"/>
                <w:szCs w:val="20"/>
                <w:color w:val="auto"/>
              </w:rPr>
            </w:pPr>
            <w:r>
              <w:rPr>
                <w:rFonts w:ascii="Arial" w:cs="Arial" w:eastAsia="Arial" w:hAnsi="Arial"/>
                <w:sz w:val="18"/>
                <w:szCs w:val="18"/>
                <w:color w:val="auto"/>
              </w:rPr>
              <w:t>Pre-clinical</w:t>
            </w:r>
          </w:p>
        </w:tc>
        <w:tc>
          <w:tcPr>
            <w:tcW w:w="1220" w:type="dxa"/>
            <w:vAlign w:val="bottom"/>
          </w:tcPr>
          <w:p>
            <w:pPr>
              <w:jc w:val="right"/>
              <w:spacing w:after="0" w:line="165" w:lineRule="exact"/>
              <w:rPr>
                <w:sz w:val="20"/>
                <w:szCs w:val="20"/>
                <w:color w:val="auto"/>
              </w:rPr>
            </w:pPr>
            <w:r>
              <w:rPr>
                <w:rFonts w:ascii="Arial" w:cs="Arial" w:eastAsia="Arial" w:hAnsi="Arial"/>
                <w:sz w:val="18"/>
                <w:szCs w:val="18"/>
                <w:color w:val="auto"/>
              </w:rPr>
              <w:t>127.1</w:t>
            </w:r>
          </w:p>
        </w:tc>
      </w:tr>
      <w:tr>
        <w:trPr>
          <w:trHeight w:val="299"/>
        </w:trPr>
        <w:tc>
          <w:tcPr>
            <w:tcW w:w="1340" w:type="dxa"/>
            <w:vAlign w:val="bottom"/>
          </w:tcPr>
          <w:p>
            <w:pPr>
              <w:jc w:val="center"/>
              <w:ind w:right="150"/>
              <w:spacing w:after="0"/>
              <w:rPr>
                <w:sz w:val="20"/>
                <w:szCs w:val="20"/>
                <w:color w:val="auto"/>
              </w:rPr>
            </w:pPr>
            <w:r>
              <w:rPr>
                <w:rFonts w:ascii="Arial" w:cs="Arial" w:eastAsia="Arial" w:hAnsi="Arial"/>
                <w:sz w:val="18"/>
                <w:szCs w:val="18"/>
                <w:color w:val="auto"/>
                <w:w w:val="91"/>
              </w:rPr>
              <w:t>2019</w:t>
            </w:r>
            <w:r>
              <w:rPr>
                <w:rFonts w:ascii="Arial" w:cs="Arial" w:eastAsia="Arial" w:hAnsi="Arial"/>
                <w:sz w:val="23"/>
                <w:szCs w:val="23"/>
                <w:color w:val="auto"/>
                <w:w w:val="91"/>
                <w:vertAlign w:val="superscript"/>
              </w:rPr>
              <w:t>(3)</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3" w:lineRule="exact"/>
        <w:rPr>
          <w:sz w:val="20"/>
          <w:szCs w:val="20"/>
          <w:color w:val="auto"/>
        </w:rPr>
      </w:pPr>
    </w:p>
    <w:p>
      <w:pPr>
        <w:sectPr>
          <w:pgSz w:w="11900" w:h="16838" w:orient="portrait"/>
          <w:cols w:equalWidth="0" w:num="2">
            <w:col w:w="6520" w:space="200"/>
            <w:col w:w="4520"/>
          </w:cols>
          <w:pgMar w:left="320" w:top="123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ImmuNext, Inc.</w:t>
            </w:r>
          </w:p>
        </w:tc>
        <w:tc>
          <w:tcPr>
            <w:tcW w:w="3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Novel immunometabolism target</w:t>
            </w:r>
          </w:p>
        </w:tc>
        <w:tc>
          <w:tcPr>
            <w:tcW w:w="13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March 2019</w:t>
            </w:r>
          </w:p>
        </w:tc>
        <w:tc>
          <w:tcPr>
            <w:tcW w:w="1980" w:type="dxa"/>
            <w:vAlign w:val="bottom"/>
            <w:tcBorders>
              <w:top w:val="single" w:sz="8" w:color="auto"/>
              <w:bottom w:val="single" w:sz="8" w:color="auto"/>
            </w:tcBorders>
          </w:tcPr>
          <w:p>
            <w:pPr>
              <w:jc w:val="center"/>
              <w:ind w:right="450"/>
              <w:spacing w:after="0"/>
              <w:rPr>
                <w:sz w:val="20"/>
                <w:szCs w:val="20"/>
                <w:color w:val="auto"/>
              </w:rPr>
            </w:pPr>
            <w:r>
              <w:rPr>
                <w:rFonts w:ascii="Arial" w:cs="Arial" w:eastAsia="Arial" w:hAnsi="Arial"/>
                <w:sz w:val="18"/>
                <w:szCs w:val="18"/>
                <w:color w:val="auto"/>
                <w:w w:val="99"/>
              </w:rPr>
              <w:t>Pre-clinical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82"/>
        </w:trPr>
        <w:tc>
          <w:tcPr>
            <w:tcW w:w="318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Avidity Biosciences, Inc.</w:t>
            </w:r>
          </w:p>
        </w:tc>
        <w:tc>
          <w:tcPr>
            <w:tcW w:w="3500" w:type="dxa"/>
            <w:vAlign w:val="bottom"/>
            <w:shd w:val="clear" w:color="auto" w:fill="D8D8D8"/>
          </w:tcPr>
          <w:p>
            <w:pPr>
              <w:ind w:left="220"/>
              <w:spacing w:after="0" w:line="182" w:lineRule="exact"/>
              <w:rPr>
                <w:sz w:val="20"/>
                <w:szCs w:val="20"/>
                <w:color w:val="auto"/>
              </w:rPr>
            </w:pPr>
            <w:r>
              <w:rPr>
                <w:rFonts w:ascii="Arial" w:cs="Arial" w:eastAsia="Arial" w:hAnsi="Arial"/>
                <w:sz w:val="18"/>
                <w:szCs w:val="18"/>
                <w:color w:val="auto"/>
              </w:rPr>
              <w:t>Potential new medicines in immunology</w:t>
            </w:r>
          </w:p>
        </w:tc>
        <w:tc>
          <w:tcPr>
            <w:tcW w:w="1340" w:type="dxa"/>
            <w:vAlign w:val="bottom"/>
            <w:vMerge w:val="restart"/>
            <w:shd w:val="clear" w:color="auto" w:fill="D8D8D8"/>
          </w:tcPr>
          <w:p>
            <w:pPr>
              <w:jc w:val="center"/>
              <w:ind w:right="70"/>
              <w:spacing w:after="0"/>
              <w:rPr>
                <w:sz w:val="20"/>
                <w:szCs w:val="20"/>
                <w:color w:val="auto"/>
              </w:rPr>
            </w:pPr>
            <w:r>
              <w:rPr>
                <w:rFonts w:ascii="Arial" w:cs="Arial" w:eastAsia="Arial" w:hAnsi="Arial"/>
                <w:sz w:val="18"/>
                <w:szCs w:val="18"/>
                <w:color w:val="auto"/>
              </w:rPr>
              <w:t>April 2019</w:t>
            </w:r>
          </w:p>
        </w:tc>
        <w:tc>
          <w:tcPr>
            <w:tcW w:w="1980" w:type="dxa"/>
            <w:vAlign w:val="bottom"/>
            <w:vMerge w:val="restart"/>
            <w:shd w:val="clear" w:color="auto" w:fill="D8D8D8"/>
          </w:tcPr>
          <w:p>
            <w:pPr>
              <w:jc w:val="center"/>
              <w:ind w:right="450"/>
              <w:spacing w:after="0"/>
              <w:rPr>
                <w:sz w:val="20"/>
                <w:szCs w:val="20"/>
                <w:color w:val="auto"/>
              </w:rPr>
            </w:pPr>
            <w:r>
              <w:rPr>
                <w:rFonts w:ascii="Arial" w:cs="Arial" w:eastAsia="Arial" w:hAnsi="Arial"/>
                <w:sz w:val="18"/>
                <w:szCs w:val="18"/>
                <w:color w:val="auto"/>
                <w:w w:val="99"/>
              </w:rPr>
              <w:t>Pre-clinical</w:t>
            </w:r>
          </w:p>
        </w:tc>
        <w:tc>
          <w:tcPr>
            <w:tcW w:w="12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22"/>
        </w:trPr>
        <w:tc>
          <w:tcPr>
            <w:tcW w:w="3180" w:type="dxa"/>
            <w:vAlign w:val="bottom"/>
            <w:vMerge w:val="continue"/>
            <w:shd w:val="clear" w:color="auto" w:fill="D8D8D8"/>
          </w:tcPr>
          <w:p>
            <w:pPr>
              <w:spacing w:after="0"/>
              <w:rPr>
                <w:sz w:val="10"/>
                <w:szCs w:val="10"/>
                <w:color w:val="auto"/>
              </w:rPr>
            </w:pPr>
          </w:p>
        </w:tc>
        <w:tc>
          <w:tcPr>
            <w:tcW w:w="3500" w:type="dxa"/>
            <w:vAlign w:val="bottom"/>
            <w:vMerge w:val="restart"/>
            <w:shd w:val="clear" w:color="auto" w:fill="D8D8D8"/>
          </w:tcPr>
          <w:p>
            <w:pPr>
              <w:ind w:left="220"/>
              <w:spacing w:after="0"/>
              <w:rPr>
                <w:sz w:val="20"/>
                <w:szCs w:val="20"/>
                <w:color w:val="auto"/>
              </w:rPr>
            </w:pPr>
            <w:r>
              <w:rPr>
                <w:rFonts w:ascii="Arial" w:cs="Arial" w:eastAsia="Arial" w:hAnsi="Arial"/>
                <w:sz w:val="18"/>
                <w:szCs w:val="18"/>
                <w:color w:val="auto"/>
              </w:rPr>
              <w:t>and other select indications</w:t>
            </w:r>
          </w:p>
        </w:tc>
        <w:tc>
          <w:tcPr>
            <w:tcW w:w="1340" w:type="dxa"/>
            <w:vAlign w:val="bottom"/>
            <w:vMerge w:val="continue"/>
            <w:shd w:val="clear" w:color="auto" w:fill="D8D8D8"/>
          </w:tcPr>
          <w:p>
            <w:pPr>
              <w:spacing w:after="0"/>
              <w:rPr>
                <w:sz w:val="10"/>
                <w:szCs w:val="10"/>
                <w:color w:val="auto"/>
              </w:rPr>
            </w:pPr>
          </w:p>
        </w:tc>
        <w:tc>
          <w:tcPr>
            <w:tcW w:w="1980" w:type="dxa"/>
            <w:vAlign w:val="bottom"/>
            <w:vMerge w:val="continue"/>
            <w:shd w:val="clear" w:color="auto" w:fill="D8D8D8"/>
          </w:tcPr>
          <w:p>
            <w:pPr>
              <w:spacing w:after="0"/>
              <w:rPr>
                <w:sz w:val="10"/>
                <w:szCs w:val="10"/>
                <w:color w:val="auto"/>
              </w:rPr>
            </w:pPr>
          </w:p>
        </w:tc>
        <w:tc>
          <w:tcPr>
            <w:tcW w:w="124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80" w:type="dxa"/>
            <w:vAlign w:val="bottom"/>
            <w:tcBorders>
              <w:bottom w:val="single" w:sz="8" w:color="auto"/>
            </w:tcBorders>
            <w:shd w:val="clear" w:color="auto" w:fill="D8D8D8"/>
          </w:tcPr>
          <w:p>
            <w:pPr>
              <w:spacing w:after="0"/>
              <w:rPr>
                <w:sz w:val="8"/>
                <w:szCs w:val="8"/>
                <w:color w:val="auto"/>
              </w:rPr>
            </w:pPr>
          </w:p>
        </w:tc>
        <w:tc>
          <w:tcPr>
            <w:tcW w:w="3500" w:type="dxa"/>
            <w:vAlign w:val="bottom"/>
            <w:tcBorders>
              <w:bottom w:val="single" w:sz="8" w:color="auto"/>
            </w:tcBorders>
            <w:vMerge w:val="continue"/>
            <w:shd w:val="clear" w:color="auto" w:fill="D8D8D8"/>
          </w:tcPr>
          <w:p>
            <w:pPr>
              <w:spacing w:after="0"/>
              <w:rPr>
                <w:sz w:val="8"/>
                <w:szCs w:val="8"/>
                <w:color w:val="auto"/>
              </w:rPr>
            </w:pPr>
          </w:p>
        </w:tc>
        <w:tc>
          <w:tcPr>
            <w:tcW w:w="1340" w:type="dxa"/>
            <w:vAlign w:val="bottom"/>
            <w:tcBorders>
              <w:bottom w:val="single" w:sz="8" w:color="auto"/>
            </w:tcBorders>
            <w:shd w:val="clear" w:color="auto" w:fill="D8D8D8"/>
          </w:tcPr>
          <w:p>
            <w:pPr>
              <w:spacing w:after="0"/>
              <w:rPr>
                <w:sz w:val="8"/>
                <w:szCs w:val="8"/>
                <w:color w:val="auto"/>
              </w:rPr>
            </w:pPr>
          </w:p>
        </w:tc>
        <w:tc>
          <w:tcPr>
            <w:tcW w:w="1980" w:type="dxa"/>
            <w:vAlign w:val="bottom"/>
            <w:tcBorders>
              <w:bottom w:val="single" w:sz="8" w:color="auto"/>
            </w:tcBorders>
            <w:shd w:val="clear" w:color="auto" w:fill="D8D8D8"/>
          </w:tcPr>
          <w:p>
            <w:pPr>
              <w:spacing w:after="0"/>
              <w:rPr>
                <w:sz w:val="8"/>
                <w:szCs w:val="8"/>
                <w:color w:val="auto"/>
              </w:rPr>
            </w:pPr>
          </w:p>
        </w:tc>
        <w:tc>
          <w:tcPr>
            <w:tcW w:w="1240" w:type="dxa"/>
            <w:vAlign w:val="bottom"/>
            <w:tcBorders>
              <w:bottom w:val="single" w:sz="8" w:color="auto"/>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180" w:type="dxa"/>
            <w:vAlign w:val="bottom"/>
            <w:vMerge w:val="restart"/>
          </w:tcPr>
          <w:p>
            <w:pPr>
              <w:ind w:left="20"/>
              <w:spacing w:after="0"/>
              <w:rPr>
                <w:sz w:val="20"/>
                <w:szCs w:val="20"/>
                <w:color w:val="auto"/>
              </w:rPr>
            </w:pPr>
            <w:r>
              <w:rPr>
                <w:rFonts w:ascii="Arial" w:cs="Arial" w:eastAsia="Arial" w:hAnsi="Arial"/>
                <w:sz w:val="18"/>
                <w:szCs w:val="18"/>
                <w:color w:val="auto"/>
              </w:rPr>
              <w:t>Centrexion Therapeutics Corporation</w:t>
            </w:r>
          </w:p>
        </w:tc>
        <w:tc>
          <w:tcPr>
            <w:tcW w:w="3500" w:type="dxa"/>
            <w:vAlign w:val="bottom"/>
          </w:tcPr>
          <w:p>
            <w:pPr>
              <w:ind w:left="220"/>
              <w:spacing w:after="0" w:line="182" w:lineRule="exact"/>
              <w:rPr>
                <w:sz w:val="20"/>
                <w:szCs w:val="20"/>
                <w:color w:val="auto"/>
              </w:rPr>
            </w:pPr>
            <w:r>
              <w:rPr>
                <w:rFonts w:ascii="Arial" w:cs="Arial" w:eastAsia="Arial" w:hAnsi="Arial"/>
                <w:sz w:val="18"/>
                <w:szCs w:val="18"/>
                <w:color w:val="auto"/>
              </w:rPr>
              <w:t>CNTX-0290, a novel, small molecule</w:t>
            </w:r>
          </w:p>
        </w:tc>
        <w:tc>
          <w:tcPr>
            <w:tcW w:w="1340" w:type="dxa"/>
            <w:vAlign w:val="bottom"/>
            <w:vMerge w:val="restart"/>
          </w:tcPr>
          <w:p>
            <w:pPr>
              <w:jc w:val="center"/>
              <w:ind w:right="70"/>
              <w:spacing w:after="0"/>
              <w:rPr>
                <w:sz w:val="20"/>
                <w:szCs w:val="20"/>
                <w:color w:val="auto"/>
              </w:rPr>
            </w:pPr>
            <w:r>
              <w:rPr>
                <w:rFonts w:ascii="Arial" w:cs="Arial" w:eastAsia="Arial" w:hAnsi="Arial"/>
                <w:sz w:val="18"/>
                <w:szCs w:val="18"/>
                <w:color w:val="auto"/>
              </w:rPr>
              <w:t>July 2019</w:t>
            </w:r>
          </w:p>
        </w:tc>
        <w:tc>
          <w:tcPr>
            <w:tcW w:w="1980" w:type="dxa"/>
            <w:vAlign w:val="bottom"/>
            <w:vMerge w:val="restart"/>
          </w:tcPr>
          <w:p>
            <w:pPr>
              <w:jc w:val="center"/>
              <w:ind w:right="450"/>
              <w:spacing w:after="0"/>
              <w:rPr>
                <w:sz w:val="20"/>
                <w:szCs w:val="20"/>
                <w:color w:val="auto"/>
              </w:rPr>
            </w:pPr>
            <w:r>
              <w:rPr>
                <w:rFonts w:ascii="Arial" w:cs="Arial" w:eastAsia="Arial" w:hAnsi="Arial"/>
                <w:sz w:val="18"/>
                <w:szCs w:val="18"/>
                <w:color w:val="auto"/>
                <w:w w:val="98"/>
              </w:rPr>
              <w:t>Phase I</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22"/>
        </w:trPr>
        <w:tc>
          <w:tcPr>
            <w:tcW w:w="3180" w:type="dxa"/>
            <w:vAlign w:val="bottom"/>
            <w:vMerge w:val="continue"/>
          </w:tcPr>
          <w:p>
            <w:pPr>
              <w:spacing w:after="0"/>
              <w:rPr>
                <w:sz w:val="10"/>
                <w:szCs w:val="10"/>
                <w:color w:val="auto"/>
              </w:rPr>
            </w:pPr>
          </w:p>
        </w:tc>
        <w:tc>
          <w:tcPr>
            <w:tcW w:w="3500" w:type="dxa"/>
            <w:vAlign w:val="bottom"/>
            <w:vMerge w:val="restart"/>
          </w:tcPr>
          <w:p>
            <w:pPr>
              <w:ind w:left="220"/>
              <w:spacing w:after="0"/>
              <w:rPr>
                <w:sz w:val="20"/>
                <w:szCs w:val="20"/>
                <w:color w:val="auto"/>
              </w:rPr>
            </w:pPr>
            <w:r>
              <w:rPr>
                <w:rFonts w:ascii="Arial" w:cs="Arial" w:eastAsia="Arial" w:hAnsi="Arial"/>
                <w:sz w:val="18"/>
                <w:szCs w:val="18"/>
                <w:color w:val="auto"/>
              </w:rPr>
              <w:t>somatostatin receptor type 4 agonist</w:t>
            </w:r>
          </w:p>
        </w:tc>
        <w:tc>
          <w:tcPr>
            <w:tcW w:w="134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18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16"/>
          <w:szCs w:val="16"/>
          <w:color w:val="auto"/>
          <w:vertAlign w:val="superscript"/>
        </w:rPr>
      </w:pPr>
      <w:r>
        <w:rPr>
          <w:rFonts w:ascii="Arial" w:cs="Arial" w:eastAsia="Arial" w:hAnsi="Arial"/>
          <w:sz w:val="12"/>
          <w:szCs w:val="12"/>
          <w:color w:val="auto"/>
        </w:rPr>
        <w:t>The phase of development presented is as of the date of the arrangement and represents the phase of development of the most advanced asset acquired, where applicable.</w:t>
      </w:r>
    </w:p>
    <w:p>
      <w:pPr>
        <w:ind w:left="160" w:hanging="152"/>
        <w:spacing w:after="0" w:line="199" w:lineRule="auto"/>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We recognized acquired IPR&amp;D expense of $25.0 million in May 2020 upon closing of the transaction.</w:t>
      </w:r>
    </w:p>
    <w:p>
      <w:pPr>
        <w:spacing w:after="0" w:line="17" w:lineRule="exact"/>
        <w:rPr>
          <w:rFonts w:ascii="Arial" w:cs="Arial" w:eastAsia="Arial" w:hAnsi="Arial"/>
          <w:sz w:val="18"/>
          <w:szCs w:val="18"/>
          <w:color w:val="auto"/>
          <w:vertAlign w:val="superscript"/>
        </w:rPr>
      </w:pPr>
    </w:p>
    <w:p>
      <w:pPr>
        <w:ind w:left="180" w:right="20" w:hanging="172"/>
        <w:spacing w:after="0" w:line="235" w:lineRule="auto"/>
        <w:tabs>
          <w:tab w:leader="none" w:pos="158"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We recognized acquired IPR&amp;D expenses of $96.9 million in January 2019 upon entering into a license agreement and $30.2 million in September 2019 upon entering into an amendment to the license agreement.</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October 2019, we completed a transaction in which we sold the rights in China for two legacy antibiotic medicines, as well as a manufacturing facility in Suzhou, China to Eddingpharm, a China-based specialty pharmaceutical company. In connection with the sale, we received net cash proceeds of $354.8 million and $40.3 million from Eddingpharm in 2019 and 2020, respectively. We accounted for the transaction as the sale of a business. We recognized a gain of $309.8 million in other—net, (income) expense in our consolidated statement of operations during the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as well as royalty or profit-share payments, contingent upon the occurrence of certain future events linked to the success of the asset in development, as well as expense reimbursements from or payments to the collaboration partner. See Note 2 for amounts of collaboration and other revenue recognized from these types of arrangements.</w:t>
      </w:r>
    </w:p>
    <w:p>
      <w:pPr>
        <w:spacing w:after="0" w:line="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3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Jardiance, Glyxambi, Synjardy, Trijardy XR, Trajenta, and Jentadueto, as well as our basal insulin, Basaglar. Glyxambi, Synjardy, and Trijardy XR are included in the Jardiance product family. Jentadueto is included in the Trajenta product family.</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type w:val="continuous"/>
        </w:sectPr>
      </w:pPr>
    </w:p>
    <w:bookmarkStart w:id="70" w:name="page71"/>
    <w:bookmarkEnd w:id="70"/>
    <w:p>
      <w:pPr>
        <w:ind w:right="40"/>
        <w:spacing w:after="0" w:line="252" w:lineRule="auto"/>
        <w:rPr>
          <w:sz w:val="20"/>
          <w:szCs w:val="20"/>
          <w:color w:val="auto"/>
        </w:rPr>
      </w:pPr>
      <w:r>
        <w:rPr>
          <w:rFonts w:ascii="Arial" w:cs="Arial" w:eastAsia="Arial" w:hAnsi="Arial"/>
          <w:sz w:val="18"/>
          <w:szCs w:val="18"/>
          <w:color w:val="auto"/>
        </w:rPr>
        <w:t>In connection with the regulatory approvals of Jardiance, Trajenta and Basaglar in the U.S, Europe and Japan, milestone payments made for Jardiance and Trajenta were capitalized as intangible assets and are being amortized to cost of sales, and milestone payments received for Basaglar were recorded as contract liabilities and are being amortized to collaboration and other revenue. These milestones are being amortized through their respective term under the collaboration which, depending on country or region, is determined based on the latest to occur of (a) a defined number of years following launch date, (b) the expiration of the compound patent, or (c) any supplementary protection certificates or extensions thereto. The table below summarizes the net milestones capitalized (deferred) at December 31 for the compounds included in this collaboration: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3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Net Milestones Capitalized (Deferred)</w:t>
            </w:r>
            <w:r>
              <w:rPr>
                <w:rFonts w:ascii="Arial" w:cs="Arial" w:eastAsia="Arial" w:hAnsi="Arial"/>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r>
      <w:tr>
        <w:trPr>
          <w:trHeight w:val="183"/>
        </w:trPr>
        <w:tc>
          <w:tcPr>
            <w:tcW w:w="6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r>
      <w:tr>
        <w:trPr>
          <w:trHeight w:val="223"/>
        </w:trPr>
        <w:tc>
          <w:tcPr>
            <w:tcW w:w="6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Jardiance</w:t>
            </w:r>
          </w:p>
        </w:tc>
        <w:tc>
          <w:tcPr>
            <w:tcW w:w="1380" w:type="dxa"/>
            <w:vAlign w:val="bottom"/>
            <w:shd w:val="clear" w:color="auto" w:fill="DDDDDD"/>
          </w:tcPr>
          <w:p>
            <w:pPr>
              <w:jc w:val="right"/>
              <w:ind w:right="1182"/>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136.1</w:t>
            </w:r>
          </w:p>
        </w:tc>
        <w:tc>
          <w:tcPr>
            <w:tcW w:w="1420" w:type="dxa"/>
            <w:vAlign w:val="bottom"/>
            <w:shd w:val="clear" w:color="auto" w:fill="DDDDDD"/>
          </w:tcPr>
          <w:p>
            <w:pPr>
              <w:jc w:val="right"/>
              <w:ind w:right="121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DDDDD"/>
          </w:tcPr>
          <w:p>
            <w:pPr>
              <w:jc w:val="center"/>
              <w:ind w:left="10"/>
              <w:spacing w:after="0"/>
              <w:rPr>
                <w:sz w:val="20"/>
                <w:szCs w:val="20"/>
                <w:color w:val="auto"/>
              </w:rPr>
            </w:pPr>
            <w:r>
              <w:rPr>
                <w:rFonts w:ascii="Arial" w:cs="Arial" w:eastAsia="Arial" w:hAnsi="Arial"/>
                <w:sz w:val="18"/>
                <w:szCs w:val="18"/>
                <w:color w:val="auto"/>
                <w:w w:val="97"/>
              </w:rPr>
              <w:t>156.2</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Trajenta</w:t>
            </w:r>
          </w:p>
        </w:tc>
        <w:tc>
          <w:tcPr>
            <w:tcW w:w="1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88.5</w:t>
            </w:r>
          </w:p>
        </w:tc>
        <w:tc>
          <w:tcPr>
            <w:tcW w:w="1420" w:type="dxa"/>
            <w:vAlign w:val="bottom"/>
          </w:tcPr>
          <w:p>
            <w:pPr>
              <w:spacing w:after="0"/>
              <w:rPr>
                <w:sz w:val="19"/>
                <w:szCs w:val="19"/>
                <w:color w:val="auto"/>
              </w:rPr>
            </w:pPr>
          </w:p>
        </w:tc>
        <w:tc>
          <w:tcPr>
            <w:tcW w:w="700" w:type="dxa"/>
            <w:vAlign w:val="bottom"/>
          </w:tcPr>
          <w:p>
            <w:pPr>
              <w:jc w:val="center"/>
              <w:ind w:left="10"/>
              <w:spacing w:after="0"/>
              <w:rPr>
                <w:sz w:val="20"/>
                <w:szCs w:val="20"/>
                <w:color w:val="auto"/>
              </w:rPr>
            </w:pPr>
            <w:r>
              <w:rPr>
                <w:rFonts w:ascii="Arial" w:cs="Arial" w:eastAsia="Arial" w:hAnsi="Arial"/>
                <w:sz w:val="18"/>
                <w:szCs w:val="18"/>
                <w:color w:val="auto"/>
                <w:w w:val="97"/>
              </w:rPr>
              <w:t>114.6</w:t>
            </w:r>
          </w:p>
        </w:tc>
      </w:tr>
      <w:tr>
        <w:trPr>
          <w:trHeight w:val="229"/>
        </w:trPr>
        <w:tc>
          <w:tcPr>
            <w:tcW w:w="6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Basaglar</w:t>
            </w:r>
          </w:p>
        </w:tc>
        <w:tc>
          <w:tcPr>
            <w:tcW w:w="1380" w:type="dxa"/>
            <w:vAlign w:val="bottom"/>
            <w:shd w:val="clear" w:color="auto" w:fill="DDDDDD"/>
          </w:tcPr>
          <w:p>
            <w:pPr>
              <w:spacing w:after="0"/>
              <w:rPr>
                <w:sz w:val="19"/>
                <w:szCs w:val="19"/>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(149.3)</w:t>
            </w:r>
          </w:p>
        </w:tc>
        <w:tc>
          <w:tcPr>
            <w:tcW w:w="1420" w:type="dxa"/>
            <w:vAlign w:val="bottom"/>
            <w:shd w:val="clear" w:color="auto" w:fill="DDDDDD"/>
          </w:tcPr>
          <w:p>
            <w:pPr>
              <w:spacing w:after="0"/>
              <w:rPr>
                <w:sz w:val="19"/>
                <w:szCs w:val="19"/>
                <w:color w:val="auto"/>
              </w:rPr>
            </w:pPr>
          </w:p>
        </w:tc>
        <w:tc>
          <w:tcPr>
            <w:tcW w:w="70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(168.0)</w:t>
            </w:r>
          </w:p>
        </w:tc>
      </w:tr>
    </w:tbl>
    <w:p>
      <w:pPr>
        <w:spacing w:after="0" w:line="101"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16"/>
          <w:szCs w:val="16"/>
          <w:color w:val="auto"/>
          <w:vertAlign w:val="superscript"/>
        </w:rPr>
      </w:pPr>
      <w:r>
        <w:rPr>
          <w:rFonts w:ascii="Arial" w:cs="Arial" w:eastAsia="Arial" w:hAnsi="Arial"/>
          <w:sz w:val="12"/>
          <w:szCs w:val="12"/>
          <w:color w:val="auto"/>
        </w:rPr>
        <w:t>This represents the amounts that have been capitalized (deferred) from the start of this collaboration through the end of the reporting period, net of amount amortized.</w:t>
      </w:r>
    </w:p>
    <w:p>
      <w:pPr>
        <w:spacing w:after="0" w:line="9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Through December 31, 2019, in the most significant markets, we and Boehringer Ingelheim shared equally the ongoing development costs, commercialization costs, and agreed upon gross margin for any product resulting from the collaboration. We recorded our portion of the gross margin associated with Boehringer Ingelheim's products as collaboration and other revenue. We recorded our sales of Basaglar to third parties as net product revenue with the payments made to Boehringer Ingelheim for their portion of the gross margin recorded as cost of sales. For all compounds under this collaboration, we recorded our portion of the development and commercialization costs as research and development expense and marketing, selling, and administrative expense, respectively. Each company was entitled to potential performance payments depending on the sales of the molecules it contributes to the collaboration. These performance payments may have resulted in the owner of the molecule retaining a greater share of the agreed upon gross margin of that product. Subject to achieving these thresholds, in a given period, our reported revenue for Trajenta and Jardiance may have been reduced by any performance payments we made related to these products. Similarly, performance payments we may have received related to Basaglar effectively reduced Boehringer Ingelheim's share of the gross margin, which reduced our cost of sales.</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Effective January 1, 2020, we and Boehringer Ingelheim modernized the alliance. For the Jardiance product family, we and Boehringer Ingelheim share equally the ongoing development and commercialization costs in the most significant markets, and we record our portion of the development and commercialization costs as research and development expense and marketing, selling, and administrative expense, respectively. We receive a royalty on net sales of Boehringer Ingelheim's products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Beginning January 1, 2021, the royalty received by us related to the Jardiance product family may also be increased or decreased depending on whether net sales for this product family exceed or fall below certain thresholds. We pay to Boehringer Ingelheim a royalty on net sales for Basaglar in the U.S. We record our sales of Basaglar to third parties as net product revenue with the royalty payments made to Boehringer Ingelheim recorded as cost of sales.</w:t>
      </w:r>
    </w:p>
    <w:p>
      <w:pPr>
        <w:spacing w:after="0" w:line="10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summarizes our collaboration and other revenue recognized with respect to the Jardiance and Trajenta families of products and net product revenue recognized with respect to Basaglar: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23"/>
        </w:trPr>
        <w:tc>
          <w:tcPr>
            <w:tcW w:w="3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Jardiance</w:t>
            </w:r>
          </w:p>
        </w:tc>
        <w:tc>
          <w:tcPr>
            <w:tcW w:w="332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1,490.8</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1,153.8</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944.2</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Basaglar</w:t>
            </w:r>
          </w:p>
        </w:tc>
        <w:tc>
          <w:tcPr>
            <w:tcW w:w="3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892.5</w:t>
            </w:r>
          </w:p>
        </w:tc>
        <w:tc>
          <w:tcPr>
            <w:tcW w:w="4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1,124.4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1,112.6</w:t>
            </w:r>
          </w:p>
        </w:tc>
      </w:tr>
      <w:tr>
        <w:trPr>
          <w:trHeight w:val="230"/>
        </w:trPr>
        <w:tc>
          <w:tcPr>
            <w:tcW w:w="3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Trajenta</w:t>
            </w:r>
          </w:p>
        </w:tc>
        <w:tc>
          <w:tcPr>
            <w:tcW w:w="332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372.5</w:t>
            </w:r>
          </w:p>
        </w:tc>
        <w:tc>
          <w:tcPr>
            <w:tcW w:w="40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358.5</w:t>
            </w:r>
          </w:p>
        </w:tc>
        <w:tc>
          <w:tcPr>
            <w:tcW w:w="42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590.6</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(baricitinib), and certain follow-on compounds, for the treatment of inflammatory and autoimmune diseases. Incyte has the right to receive tiered, double digit royalty payments on worldwide net sales with rates ranging up to 20 percent. The agreement calls for payments by us to Incyte associated with certain development, success-based regulatory, and sales-based milestones. In 2020, the agreement was amended to include the treatment of COVID-19, with Incyte obtaining the right to receive an additional royalty ranging up to the low teens on worldwide net sales for the treatment of COVID-19 that exceed a specified aggregate worldwide net sales threshold.</w:t>
      </w:r>
    </w:p>
    <w:p>
      <w:pPr>
        <w:spacing w:after="0" w:line="9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the regulatory approvals of Olumiant in the U.S., Europe, and Japan, as well as achievement of a sales-based milestone, milestone payments of $260.0 million and $210.0 million were capitalized as intangible assets as of December 31, 2021 and 2020, respectively, and are being amortized to cost of sales through the term of the collaboration. This represents the cumulative amounts that have been capitalized from the start of this collaboration through the end of each reporting period.</w:t>
      </w:r>
    </w:p>
    <w:p>
      <w:pPr>
        <w:spacing w:after="0" w:line="9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December 31, 2021, Incyte is eligible to receive up to $ 100.0 million of additional payments from us contingent upon certain success-based regulatory milestones. Incyte is also eligible to receive up to $100.0 million of potential sales-based milestones.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record our sales of Olumiant, including sales of baricitinib that were made pursuant to an EUA or similar regulatory authorizations, to third parties as net product revenue with the royalty payments made to Incyte recorded as cost of sales. The following table summarizes our net product revenue recognized with respect to Olumiant:</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7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23"/>
        </w:trPr>
        <w:tc>
          <w:tcPr>
            <w:tcW w:w="3760" w:type="dxa"/>
            <w:vAlign w:val="bottom"/>
            <w:shd w:val="clear" w:color="auto" w:fill="D8D8D8"/>
          </w:tcPr>
          <w:p>
            <w:pPr>
              <w:ind w:left="20"/>
              <w:spacing w:after="0"/>
              <w:rPr>
                <w:sz w:val="20"/>
                <w:szCs w:val="20"/>
                <w:color w:val="auto"/>
              </w:rPr>
            </w:pPr>
            <w:r>
              <w:rPr>
                <w:rFonts w:ascii="Arial" w:cs="Arial" w:eastAsia="Arial" w:hAnsi="Arial"/>
                <w:sz w:val="18"/>
                <w:szCs w:val="18"/>
                <w:color w:val="auto"/>
              </w:rPr>
              <w:t>Olumiant</w:t>
            </w:r>
          </w:p>
        </w:tc>
        <w:tc>
          <w:tcPr>
            <w:tcW w:w="33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1,115.1</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638.9</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426.9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antibodies</w:t>
      </w:r>
    </w:p>
    <w:p>
      <w:pPr>
        <w:spacing w:after="0" w:line="1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2020, we entered into a worldwide license and collaboration agreement with AbCellera to co-develop therapeutic antibodies for the potential prevention and treatment of COVID-19, including bamlanivimab and bebtelovimab, for which we hold development and commercialization rights. AbCellera has the right to receive tiered royalty payments on worldwide net sales of bamlanivimab and bebtelovimab with percentages ranging in the mid-teens to mid-twenties. Royalty payments made to AbCellera are recorded as cost of sales.</w:t>
      </w:r>
    </w:p>
    <w:p>
      <w:pPr>
        <w:spacing w:after="0" w:line="8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2020, we entered into a license and collaboration agreement with Junshi Biosciences to co-develop therapeutic antibodies for the potential prevention and treatment of COVID-19, including etesevimab, for which we hold development and commercialization rights outside of mainland China and the Special Administrative Regions of Hong Kong and Macau, and for which Junshi Biosciences currently maintains all rights in mainland China and the Special Administrative Regions of Hong Kong and Macau. Junshi Biosciences has the right to receive royalty payments in the mid-teens on our net sales of etesevimab. Junshi Biosciences also had the right to receive certain development, success-based regulatory and sales-based milestones. In connection with the regulatory authorizations of etesevimab (for administration with bamlanivimab) as well as achievement of sales-based milestones in 2021, milestone payments of $195.0 million were capitalized as intangible assets and are being amortized to cost of sales over the estimated useful life of etesevimab. During the year ended December 31, 2020, we recognized $50.0 million of research and development expenses related to development milestones.</w:t>
      </w:r>
    </w:p>
    <w:p>
      <w:pPr>
        <w:spacing w:after="0" w:line="10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EUAs or similar regulatory authorizations, we recognized $2.24 billion and $871.2 million of net product revenue associated with our sales of our COVID-19 antibodies during the years ended December 31, 2021 and 2020, respectively.</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Sintilimab Injection</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have a collaboration agreement with Innovent to jointly develop and commercialize sintilimab injection in China, where it is branded and trademarked as Tyvyt. In 2019, we and Innovent began co-commercializing Tyvyt in China. In 2020, we obtained an exclusive license for sintilimab injection from Innovent for geographies outside of China. Innovent, with collaboration from us, has filed the initial registration of sintilimab injection in the U.S., and we plan to pursue initial registration of sintilimab injection in other markets and all other subsequent registrations of sintilimab injection. We have exclusive commercialization rights outside of China.</w:t>
      </w:r>
    </w:p>
    <w:p>
      <w:pPr>
        <w:spacing w:after="0" w:line="9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connection with a regulatory approval for Tyvyt in China in 2021, we capitalized a milestone payment of $40.0 million as an intangible asset which is being amortized to cost of sales through the term of the collaboration.</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2021, Innovent is eligible to receive up to $825.0 million for geographies outside of China and up to $195.0 million in China in success-based regulatory and sales-based milestones. Innovent is also eligible to receive tiered double digit royalties on net sales for geographies outside of China.</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record our sales of Tyvyt to third parties as net product revenue, with payments made to Innovent for its portion of the gross margin reported as cost of sales. We report as collaboration and other revenue our portion of the gross margin for Tyvyt sales made by Innovent to third parties. The following table summarizes our revenue recognized in China with respect to Tyvyt: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2019</w:t>
            </w:r>
          </w:p>
        </w:tc>
      </w:tr>
      <w:tr>
        <w:trPr>
          <w:trHeight w:val="223"/>
        </w:trPr>
        <w:tc>
          <w:tcPr>
            <w:tcW w:w="2400" w:type="dxa"/>
            <w:vAlign w:val="bottom"/>
            <w:shd w:val="clear" w:color="auto" w:fill="D4D4D4"/>
          </w:tcPr>
          <w:p>
            <w:pPr>
              <w:ind w:left="20"/>
              <w:spacing w:after="0"/>
              <w:rPr>
                <w:sz w:val="20"/>
                <w:szCs w:val="20"/>
                <w:color w:val="auto"/>
              </w:rPr>
            </w:pPr>
            <w:r>
              <w:rPr>
                <w:rFonts w:ascii="Arial" w:cs="Arial" w:eastAsia="Arial" w:hAnsi="Arial"/>
                <w:sz w:val="18"/>
                <w:szCs w:val="18"/>
                <w:color w:val="auto"/>
              </w:rPr>
              <w:t>Tyvyt</w:t>
            </w:r>
          </w:p>
        </w:tc>
        <w:tc>
          <w:tcPr>
            <w:tcW w:w="3480" w:type="dxa"/>
            <w:vAlign w:val="bottom"/>
            <w:shd w:val="clear" w:color="auto" w:fill="D4D4D4"/>
          </w:tcPr>
          <w:p>
            <w:pPr>
              <w:jc w:val="right"/>
              <w:ind w:right="1359"/>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418.1</w:t>
            </w:r>
          </w:p>
        </w:tc>
        <w:tc>
          <w:tcPr>
            <w:tcW w:w="580" w:type="dxa"/>
            <w:vAlign w:val="bottom"/>
            <w:shd w:val="clear" w:color="auto" w:fill="D4D4D4"/>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308.7</w:t>
            </w:r>
          </w:p>
        </w:tc>
        <w:tc>
          <w:tcPr>
            <w:tcW w:w="580" w:type="dxa"/>
            <w:vAlign w:val="bottom"/>
            <w:shd w:val="clear" w:color="auto" w:fill="D4D4D4"/>
          </w:tcPr>
          <w:p>
            <w:pPr>
              <w:jc w:val="right"/>
              <w:ind w:right="3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134.0</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Lebrikizumab</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result of our acquisition of Dermira, we have a worldwide license agreement with F. Hoffmann-La Roche Ltd and Genentech, Inc. (collectively Roche), which provides us the worldwide development and commercialization rights to lebrikizumab. Roche has the right to receive tiered royalty payments on future worldwide net sales ranging in percentages from high single digits to high teens if the product is successfully commercialized. As of December 31, 2021, Roche is eligible to receive up to $180.0 million of payments from us contingent upon the achievement of success-based regulatory milestones, and up to $1.03 billion in a series of sales-based milestones, contingent upon the commercial success of lebrikizumab.</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 result of our acquisition of Dermira, we have a license agreement with Almirall, S.A. (Almirall), under which Almirall licensed the rights to develop and commercialize lebrikizumab for the treatment or prevention of dermatology indications, including, but not limited to, atopic dermatitis in Europe. We have the right to receive tiered royalty payments on future net sales in Europe ranging in percentages from low double digits to low twenties if the product is successfully commercialized. As of December 31, 2021, we are eligible to receive additional payments of $85.0 million from Almirall contingent upon the achievement of success-based regulatory milestones and up to $1.25 billion in a series of sales-based milestones, contingent upon the commercial success of lebrikizumab. As of December 31, 2021 and 2020, contract liabilities were not material. During the twelve months ended December 31, 2021 and 2020, milestones received and collaboration and other revenue recognized were not material.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Petra</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our acquisition of Petra, we are required to make milestone payments to Petra shareholders contingent upon the occurrence of certain future events linked to the success of the mutant-selective PI3Kα inhibitor. Our more significant, near term milestones include a development milestone of approximately $ 205 million in 2022 contingent upon initiation of its Phase I trial and a further development milestone of approximately $164 million in 2023 contingent upon achieving clinical proof of concept.</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Severance</w:t>
            </w:r>
          </w:p>
        </w:tc>
        <w:tc>
          <w:tcPr>
            <w:tcW w:w="880" w:type="dxa"/>
            <w:vAlign w:val="bottom"/>
            <w:shd w:val="clear" w:color="auto" w:fill="D8D8D8"/>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13.0</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151.2</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77.8</w:t>
            </w:r>
          </w:p>
        </w:tc>
      </w:tr>
      <w:tr>
        <w:trPr>
          <w:trHeight w:val="229"/>
        </w:trPr>
        <w:tc>
          <w:tcPr>
            <w:tcW w:w="678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Asset impairment (gain) and other special charges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303.1</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r>
      <w:tr>
        <w:trPr>
          <w:trHeight w:val="230"/>
        </w:trPr>
        <w:tc>
          <w:tcPr>
            <w:tcW w:w="67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 asset impairment, restructuring, and other special charges</w:t>
            </w:r>
          </w:p>
        </w:tc>
        <w:tc>
          <w:tcPr>
            <w:tcW w:w="880" w:type="dxa"/>
            <w:vAlign w:val="bottom"/>
            <w:tcBorders>
              <w:bottom w:val="single" w:sz="8" w:color="auto"/>
            </w:tcBorders>
            <w:shd w:val="clear" w:color="auto" w:fill="D8D8D8"/>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316.1</w:t>
            </w:r>
          </w:p>
        </w:tc>
        <w:tc>
          <w:tcPr>
            <w:tcW w:w="40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131.2</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575.6</w:t>
            </w:r>
          </w:p>
        </w:tc>
      </w:tr>
    </w:tbl>
    <w:p>
      <w:pPr>
        <w:spacing w:after="0" w:line="16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Severance costs recognized during the years ended December 31, 2020 and 2019 were incurred as a result of actions taken worldwide to reduce our cost structure.</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year ended December 31, 2021, we recognized $128.0 million of intangible asset impairment as a result of the decision by Bayer AG to discontinue the development of a Phase I molecule related to a contract-based intangible asset from our acquisition of Loxo. Additionally, we recognized $108.1 million of intangible asset impairment from the sale of the rights to Qbrexza, as well as acquisition and integration costs associated with the acquisition of Prevail.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 impairment and other special charges recognized during the year ended December 31, 2019 resulted primarily from $400.7 million of other special charges related to the acquisition of Loxo, substantially all of which is associated with the accelerated vesting of Loxo employee equity awards.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3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use the last-in, first-out (LIFO) method for the majority of our inventories located in the continental U.S. Other inventories are valued by the first-in, first-out (FIFO) method. FIFO cost approximates current replacement cost. Inventories measured using LIFO must be valued at the lower of cost or market. Inventories measured using FIFO must be valued at the lower of cost or net realizable value.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3"/>
        </w:trPr>
        <w:tc>
          <w:tcPr>
            <w:tcW w:w="8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761.9</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758.9</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2,372.7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2,535.4</w:t>
            </w:r>
          </w:p>
        </w:tc>
      </w:tr>
      <w:tr>
        <w:trPr>
          <w:trHeight w:val="230"/>
        </w:trPr>
        <w:tc>
          <w:tcPr>
            <w:tcW w:w="8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Raw materials and supplies</w:t>
            </w:r>
          </w:p>
        </w:tc>
        <w:tc>
          <w:tcPr>
            <w:tcW w:w="34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717.2</w:t>
            </w:r>
          </w:p>
        </w:tc>
        <w:tc>
          <w:tcPr>
            <w:tcW w:w="40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651.2</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3,851.8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3,945.5</w:t>
            </w:r>
          </w:p>
        </w:tc>
      </w:tr>
      <w:tr>
        <w:trPr>
          <w:trHeight w:val="230"/>
        </w:trPr>
        <w:tc>
          <w:tcPr>
            <w:tcW w:w="8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Increase to LIFO cost</w:t>
            </w:r>
          </w:p>
        </w:tc>
        <w:tc>
          <w:tcPr>
            <w:tcW w:w="34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b w:val="1"/>
                <w:bCs w:val="1"/>
                <w:color w:val="auto"/>
              </w:rPr>
              <w:t>34.2</w:t>
            </w:r>
          </w:p>
        </w:tc>
        <w:tc>
          <w:tcPr>
            <w:tcW w:w="40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3,886.0</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3,980.3</w:t>
            </w:r>
          </w:p>
        </w:tc>
      </w:tr>
    </w:tbl>
    <w:p>
      <w:pPr>
        <w:spacing w:after="0" w:line="16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Inventories valued under the LIFO method comprised $1.36 billion and $1.21 billion of total inventories at December 31, 2021 and 2020, respectively.</w:t>
      </w:r>
    </w:p>
    <w:p>
      <w:pPr>
        <w:spacing w:after="0" w:line="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recognized a net inventory impairment charge related to our COVID-19 antibodies of $339.7 million during the year ended December 31, 2021 in cost of sales in our consolidated statements of operations. As part of our response to the COVID-19 pandemic, and at the request of the U.S. and international governments, we invested in large-scale manufacturing of COVID-19 antibodies at risk, in order to ensure rapid access to patients around the world. As the COVID-19 pandemic evolved during 2021, we incurred a net inventory impairment charge primarily due to the combination of changes to current and forecasted demand from U.S. and international governments, </w:t>
      </w:r>
      <w:r>
        <w:rPr>
          <w:rFonts w:ascii="Arial" w:cs="Arial" w:eastAsia="Arial" w:hAnsi="Arial"/>
          <w:sz w:val="18"/>
          <w:szCs w:val="18"/>
          <w:color w:val="212121"/>
        </w:rPr>
        <w:t>including changes</w:t>
      </w:r>
      <w:r>
        <w:rPr>
          <w:rFonts w:ascii="Arial" w:cs="Arial" w:eastAsia="Arial" w:hAnsi="Arial"/>
          <w:sz w:val="18"/>
          <w:szCs w:val="18"/>
          <w:color w:val="auto"/>
        </w:rPr>
        <w:t xml:space="preserve"> </w:t>
      </w:r>
      <w:r>
        <w:rPr>
          <w:rFonts w:ascii="Arial" w:cs="Arial" w:eastAsia="Arial" w:hAnsi="Arial"/>
          <w:sz w:val="18"/>
          <w:szCs w:val="18"/>
          <w:color w:val="212121"/>
        </w:rPr>
        <w:t>to our agreement with the U.S. government, and near-term expiry dates of COVID-19 antibodies.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89" w:lineRule="exact"/>
        <w:rPr>
          <w:rFonts w:ascii="Arial" w:cs="Arial" w:eastAsia="Arial" w:hAnsi="Arial"/>
          <w:sz w:val="18"/>
          <w:szCs w:val="18"/>
          <w:color w:val="auto"/>
        </w:rPr>
      </w:pPr>
    </w:p>
    <w:p>
      <w:pPr>
        <w:ind w:left="660" w:right="70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9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90"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December 31, 2021, we had outstanding foreign currency forward commitments to purchase 4.43 billion U.S. dollars and sell 3.92 billion euro; commitments to purchase 3.84 billion euro and sell 4.37 billion U.S. dollars; commitments to purchase 159.2 million U.S. dollars and sell 18.26 billion Japanese yen, and commitments to purchase 223.0 million British pounds and sell 296.0 million U.S. dollars, which all have settlement dates within 180 days.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5" w:name="page76"/>
    <w:bookmarkEnd w:id="75"/>
    <w:p>
      <w:pPr>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$7.90 billion and $6.02 billion as of December 31, 2021 and 2020, respectively, of which $5.79 billion and $4.50 billion have been designated as, and are effective as, economic hedges of net investments in certain of our foreign operations as of December 31, 2021 and 2020, respectively. At December 31, 2021, we had outstanding cross currency swaps with notional amounts of $1.02 billion swapping U.S. dollars to euro and $ 1.00 billion swapping Swiss francs to U.S. dollars which have settlement dates ranging through 2028. Our cross-currency interest rate swaps, for which a majority convert a portion of our U.S. dollar-denominated fixed rate debt to foreign-denominated fixed rate debt, have also been designated as, and are effective as, economic hedges of net investments.</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statements of cash flows. At December 31, 2021, substantially all of our total long-term debt is at a fixed rate. We have converted approximately 13 percent of our long-term fixed-rate notes to floating rates through the use of interest rate swaps.</w:t>
      </w:r>
    </w:p>
    <w:p>
      <w:pPr>
        <w:spacing w:after="0" w:line="10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December 31, 2021, the total notional amounts of forward-starting interest rate contracts in designated cash flow hedging instruments were $1.75 billion, which have settlement dates ranging between 2023 and 2025.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 Management Instruments on the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hedges:</w:t>
            </w:r>
          </w:p>
        </w:tc>
        <w:tc>
          <w:tcPr>
            <w:tcW w:w="880" w:type="dxa"/>
            <w:vAlign w:val="bottom"/>
            <w:shd w:val="clear" w:color="auto" w:fill="D8D8D8"/>
          </w:tcPr>
          <w:p>
            <w:pPr>
              <w:spacing w:after="0"/>
              <w:rPr>
                <w:sz w:val="19"/>
                <w:szCs w:val="19"/>
                <w:color w:val="auto"/>
              </w:rPr>
            </w:pPr>
          </w:p>
        </w:tc>
        <w:tc>
          <w:tcPr>
            <w:tcW w:w="58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880" w:type="dxa"/>
            <w:vAlign w:val="bottom"/>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86.9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0"/>
        </w:trPr>
        <w:tc>
          <w:tcPr>
            <w:tcW w:w="6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880" w:type="dxa"/>
            <w:vAlign w:val="bottom"/>
            <w:shd w:val="clear" w:color="auto" w:fill="D8D8D8"/>
          </w:tcPr>
          <w:p>
            <w:pPr>
              <w:spacing w:after="0"/>
              <w:rPr>
                <w:sz w:val="19"/>
                <w:szCs w:val="19"/>
                <w:color w:val="auto"/>
              </w:rPr>
            </w:pPr>
          </w:p>
        </w:tc>
        <w:tc>
          <w:tcPr>
            <w:tcW w:w="58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78.5</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(86.9)</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780" w:type="dxa"/>
            <w:vAlign w:val="bottom"/>
            <w:shd w:val="clear" w:color="auto" w:fill="D8D8D8"/>
          </w:tcPr>
          <w:p>
            <w:pPr>
              <w:ind w:left="180"/>
              <w:spacing w:after="0" w:line="189" w:lineRule="exact"/>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880" w:type="dxa"/>
            <w:vAlign w:val="bottom"/>
            <w:shd w:val="clear" w:color="auto" w:fill="D8D8D8"/>
          </w:tcPr>
          <w:p>
            <w:pPr>
              <w:spacing w:after="0"/>
              <w:rPr>
                <w:sz w:val="16"/>
                <w:szCs w:val="16"/>
                <w:color w:val="auto"/>
              </w:rPr>
            </w:pPr>
          </w:p>
        </w:tc>
        <w:tc>
          <w:tcPr>
            <w:tcW w:w="580" w:type="dxa"/>
            <w:vAlign w:val="bottom"/>
            <w:vMerge w:val="restart"/>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16.6</w:t>
            </w:r>
          </w:p>
        </w:tc>
        <w:tc>
          <w:tcPr>
            <w:tcW w:w="380" w:type="dxa"/>
            <w:vAlign w:val="bottom"/>
            <w:shd w:val="clear" w:color="auto" w:fill="D8D8D8"/>
          </w:tcPr>
          <w:p>
            <w:pPr>
              <w:spacing w:after="0"/>
              <w:rPr>
                <w:sz w:val="16"/>
                <w:szCs w:val="16"/>
                <w:color w:val="auto"/>
              </w:rPr>
            </w:pPr>
          </w:p>
        </w:tc>
        <w:tc>
          <w:tcPr>
            <w:tcW w:w="114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10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loss</w:t>
            </w:r>
          </w:p>
        </w:tc>
        <w:tc>
          <w:tcPr>
            <w:tcW w:w="880" w:type="dxa"/>
            <w:vAlign w:val="bottom"/>
            <w:shd w:val="clear" w:color="auto" w:fill="D8D8D8"/>
          </w:tcPr>
          <w:p>
            <w:pPr>
              <w:spacing w:after="0"/>
              <w:rPr>
                <w:sz w:val="18"/>
                <w:szCs w:val="18"/>
                <w:color w:val="auto"/>
              </w:rPr>
            </w:pPr>
          </w:p>
        </w:tc>
        <w:tc>
          <w:tcPr>
            <w:tcW w:w="580" w:type="dxa"/>
            <w:vAlign w:val="bottom"/>
            <w:vMerge w:val="continue"/>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14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16.4</w:t>
            </w:r>
          </w:p>
        </w:tc>
        <w:tc>
          <w:tcPr>
            <w:tcW w:w="380" w:type="dxa"/>
            <w:vAlign w:val="bottom"/>
            <w:shd w:val="clear" w:color="auto" w:fill="D8D8D8"/>
          </w:tcPr>
          <w:p>
            <w:pPr>
              <w:spacing w:after="0"/>
              <w:rPr>
                <w:sz w:val="18"/>
                <w:szCs w:val="18"/>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8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41.8</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88"/>
        </w:trPr>
        <w:tc>
          <w:tcPr>
            <w:tcW w:w="6780" w:type="dxa"/>
            <w:vAlign w:val="bottom"/>
            <w:shd w:val="clear" w:color="auto" w:fill="D8D8D8"/>
          </w:tcPr>
          <w:p>
            <w:pPr>
              <w:ind w:left="20"/>
              <w:spacing w:after="0" w:line="189" w:lineRule="exact"/>
              <w:rPr>
                <w:sz w:val="20"/>
                <w:szCs w:val="20"/>
                <w:color w:val="auto"/>
              </w:rPr>
            </w:pPr>
            <w:r>
              <w:rPr>
                <w:rFonts w:ascii="Arial" w:cs="Arial" w:eastAsia="Arial" w:hAnsi="Arial"/>
                <w:sz w:val="18"/>
                <w:szCs w:val="18"/>
                <w:color w:val="auto"/>
              </w:rPr>
              <w:t>Net (gains) losses on foreign currency exchange contracts not designated as</w:t>
            </w:r>
          </w:p>
        </w:tc>
        <w:tc>
          <w:tcPr>
            <w:tcW w:w="880" w:type="dxa"/>
            <w:vAlign w:val="bottom"/>
            <w:shd w:val="clear" w:color="auto" w:fill="D8D8D8"/>
          </w:tcPr>
          <w:p>
            <w:pPr>
              <w:spacing w:after="0"/>
              <w:rPr>
                <w:sz w:val="16"/>
                <w:szCs w:val="16"/>
                <w:color w:val="auto"/>
              </w:rPr>
            </w:pPr>
          </w:p>
        </w:tc>
        <w:tc>
          <w:tcPr>
            <w:tcW w:w="580" w:type="dxa"/>
            <w:vAlign w:val="bottom"/>
            <w:vMerge w:val="restart"/>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7"/>
              </w:rPr>
              <w:t>204.6</w:t>
            </w:r>
          </w:p>
        </w:tc>
        <w:tc>
          <w:tcPr>
            <w:tcW w:w="380" w:type="dxa"/>
            <w:vAlign w:val="bottom"/>
            <w:shd w:val="clear" w:color="auto" w:fill="D8D8D8"/>
          </w:tcPr>
          <w:p>
            <w:pPr>
              <w:spacing w:after="0"/>
              <w:rPr>
                <w:sz w:val="16"/>
                <w:szCs w:val="16"/>
                <w:color w:val="auto"/>
              </w:rPr>
            </w:pPr>
          </w:p>
        </w:tc>
        <w:tc>
          <w:tcPr>
            <w:tcW w:w="114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10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hedging instruments</w:t>
            </w:r>
          </w:p>
        </w:tc>
        <w:tc>
          <w:tcPr>
            <w:tcW w:w="880" w:type="dxa"/>
            <w:vAlign w:val="bottom"/>
            <w:tcBorders>
              <w:bottom w:val="single" w:sz="8" w:color="auto"/>
            </w:tcBorders>
            <w:shd w:val="clear" w:color="auto" w:fill="D8D8D8"/>
          </w:tcPr>
          <w:p>
            <w:pPr>
              <w:spacing w:after="0"/>
              <w:rPr>
                <w:sz w:val="18"/>
                <w:szCs w:val="18"/>
                <w:color w:val="auto"/>
              </w:rPr>
            </w:pPr>
          </w:p>
        </w:tc>
        <w:tc>
          <w:tcPr>
            <w:tcW w:w="580" w:type="dxa"/>
            <w:vAlign w:val="bottom"/>
            <w:tcBorders>
              <w:bottom w:val="single" w:sz="8" w:color="auto"/>
            </w:tcBorders>
            <w:vMerge w:val="continue"/>
            <w:shd w:val="clear" w:color="auto" w:fill="D8D8D8"/>
          </w:tcPr>
          <w:p>
            <w:pPr>
              <w:spacing w:after="0"/>
              <w:rPr>
                <w:sz w:val="18"/>
                <w:szCs w:val="18"/>
                <w:color w:val="auto"/>
              </w:rPr>
            </w:pPr>
          </w:p>
        </w:tc>
        <w:tc>
          <w:tcPr>
            <w:tcW w:w="380" w:type="dxa"/>
            <w:vAlign w:val="bottom"/>
            <w:tcBorders>
              <w:bottom w:val="single" w:sz="8" w:color="auto"/>
            </w:tcBorders>
            <w:shd w:val="clear" w:color="auto" w:fill="D8D8D8"/>
          </w:tcPr>
          <w:p>
            <w:pPr>
              <w:spacing w:after="0"/>
              <w:rPr>
                <w:sz w:val="18"/>
                <w:szCs w:val="18"/>
                <w:color w:val="auto"/>
              </w:rPr>
            </w:pPr>
          </w:p>
        </w:tc>
        <w:tc>
          <w:tcPr>
            <w:tcW w:w="11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(123.7)</w:t>
            </w:r>
          </w:p>
        </w:tc>
        <w:tc>
          <w:tcPr>
            <w:tcW w:w="380" w:type="dxa"/>
            <w:vAlign w:val="bottom"/>
            <w:tcBorders>
              <w:bottom w:val="single" w:sz="8" w:color="auto"/>
            </w:tcBorders>
            <w:shd w:val="clear" w:color="auto" w:fill="D8D8D8"/>
          </w:tcPr>
          <w:p>
            <w:pPr>
              <w:spacing w:after="0"/>
              <w:rPr>
                <w:sz w:val="18"/>
                <w:szCs w:val="18"/>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263.0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During the years ended December 31, 2021, 2020, and 2019, the amortization of losses related to the portion of our risk management hedging instruments, fair value hedges, and cash flow hedges that was excluded from the assessment of effectiveness was not material.</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The Effect of Risk-Management Instruments on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23"/>
        </w:trPr>
        <w:tc>
          <w:tcPr>
            <w:tcW w:w="498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investment hedges:</w:t>
            </w:r>
          </w:p>
        </w:tc>
        <w:tc>
          <w:tcPr>
            <w:tcW w:w="2680" w:type="dxa"/>
            <w:vAlign w:val="bottom"/>
            <w:shd w:val="clear" w:color="auto" w:fill="D8D8D8"/>
          </w:tcPr>
          <w:p>
            <w:pPr>
              <w:spacing w:after="0"/>
              <w:rPr>
                <w:sz w:val="19"/>
                <w:szCs w:val="19"/>
                <w:color w:val="auto"/>
              </w:rPr>
            </w:pPr>
          </w:p>
        </w:tc>
        <w:tc>
          <w:tcPr>
            <w:tcW w:w="56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Foreign currency-denominated notes</w:t>
            </w:r>
          </w:p>
        </w:tc>
        <w:tc>
          <w:tcPr>
            <w:tcW w:w="2680" w:type="dxa"/>
            <w:vAlign w:val="bottom"/>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435.0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(404.0)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4980" w:type="dxa"/>
            <w:vAlign w:val="bottom"/>
            <w:shd w:val="clear" w:color="auto" w:fill="D8D8D8"/>
          </w:tcPr>
          <w:p>
            <w:pPr>
              <w:ind w:left="220"/>
              <w:spacing w:after="0"/>
              <w:rPr>
                <w:sz w:val="20"/>
                <w:szCs w:val="20"/>
                <w:color w:val="auto"/>
              </w:rPr>
            </w:pPr>
            <w:r>
              <w:rPr>
                <w:rFonts w:ascii="Arial" w:cs="Arial" w:eastAsia="Arial" w:hAnsi="Arial"/>
                <w:sz w:val="18"/>
                <w:szCs w:val="18"/>
                <w:color w:val="auto"/>
              </w:rPr>
              <w:t>Cross-currency interest rate swaps</w:t>
            </w:r>
          </w:p>
        </w:tc>
        <w:tc>
          <w:tcPr>
            <w:tcW w:w="268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213.7</w:t>
            </w:r>
          </w:p>
        </w:tc>
        <w:tc>
          <w:tcPr>
            <w:tcW w:w="40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(207.9)</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2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980" w:type="dxa"/>
            <w:vAlign w:val="bottom"/>
            <w:shd w:val="clear" w:color="auto" w:fill="DBDBDB"/>
          </w:tcPr>
          <w:p>
            <w:pPr>
              <w:ind w:left="220"/>
              <w:spacing w:after="0"/>
              <w:rPr>
                <w:sz w:val="20"/>
                <w:szCs w:val="20"/>
                <w:color w:val="auto"/>
              </w:rPr>
            </w:pPr>
            <w:r>
              <w:rPr>
                <w:rFonts w:ascii="Arial" w:cs="Arial" w:eastAsia="Arial" w:hAnsi="Arial"/>
                <w:sz w:val="18"/>
                <w:szCs w:val="18"/>
                <w:color w:val="auto"/>
              </w:rPr>
              <w:t>Forward-starting interest rate swaps</w:t>
            </w:r>
          </w:p>
        </w:tc>
        <w:tc>
          <w:tcPr>
            <w:tcW w:w="268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97.6</w:t>
            </w:r>
          </w:p>
        </w:tc>
        <w:tc>
          <w:tcPr>
            <w:tcW w:w="4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(110.9)</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31.6</w:t>
            </w:r>
          </w:p>
        </w:tc>
      </w:tr>
      <w:tr>
        <w:trPr>
          <w:trHeight w:val="239"/>
        </w:trPr>
        <w:tc>
          <w:tcPr>
            <w:tcW w:w="4980" w:type="dxa"/>
            <w:vAlign w:val="bottom"/>
          </w:tcPr>
          <w:p>
            <w:pPr>
              <w:ind w:left="220"/>
              <w:spacing w:after="0"/>
              <w:rPr>
                <w:sz w:val="20"/>
                <w:szCs w:val="20"/>
                <w:color w:val="auto"/>
              </w:rPr>
            </w:pPr>
            <w:r>
              <w:rPr>
                <w:rFonts w:ascii="Arial" w:cs="Arial" w:eastAsia="Arial" w:hAnsi="Arial"/>
                <w:sz w:val="18"/>
                <w:szCs w:val="18"/>
                <w:color w:val="auto"/>
              </w:rPr>
              <w:t>Cross-currency interest rate swaps</w:t>
            </w:r>
          </w:p>
        </w:tc>
        <w:tc>
          <w:tcPr>
            <w:tcW w:w="26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42.3</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5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During the next 12 months, we expect to reclassify $16.5 million of pretax net losses on cash flow hedges from accumulated other comprehensive loss to other–net, (income) expense. During the years ended December 31, 2021, 2020, and 2019, the amounts excluded from the assessment of hedge effectiveness recognized in other comprehensive income (loss) were not material.</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tables summarize certain fair value information at December 31 for assets and liabilities measured at fair value on a recurring basis, as well as the carrying amount and amortized cost of certain other investments: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Fair Value Measurements Using</w:t>
            </w:r>
          </w:p>
        </w:tc>
        <w:tc>
          <w:tcPr>
            <w:tcW w:w="11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restart"/>
          </w:tcPr>
          <w:p>
            <w:pPr>
              <w:jc w:val="center"/>
              <w:ind w:right="42"/>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10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9"/>
              </w:rPr>
              <w:t>Significant</w:t>
            </w:r>
          </w:p>
        </w:tc>
        <w:tc>
          <w:tcPr>
            <w:tcW w:w="320" w:type="dxa"/>
            <w:vAlign w:val="bottom"/>
          </w:tcPr>
          <w:p>
            <w:pPr>
              <w:spacing w:after="0"/>
              <w:rPr>
                <w:sz w:val="10"/>
                <w:szCs w:val="10"/>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3"/>
                <w:szCs w:val="13"/>
                <w:b w:val="1"/>
                <w:bCs w:val="1"/>
                <w:color w:val="auto"/>
                <w:w w:val="96"/>
              </w:rPr>
              <w:t>Significant</w:t>
            </w: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7"/>
              </w:rPr>
              <w:t>Other</w:t>
            </w:r>
          </w:p>
        </w:tc>
        <w:tc>
          <w:tcPr>
            <w:tcW w:w="3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ind w:right="36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97"/>
              </w:rPr>
              <w:t>Active Markets for</w:t>
            </w:r>
          </w:p>
        </w:tc>
        <w:tc>
          <w:tcPr>
            <w:tcW w:w="280" w:type="dxa"/>
            <w:vAlign w:val="bottom"/>
          </w:tcPr>
          <w:p>
            <w:pPr>
              <w:spacing w:after="0"/>
              <w:rPr>
                <w:sz w:val="10"/>
                <w:szCs w:val="10"/>
                <w:color w:val="auto"/>
              </w:rPr>
            </w:pPr>
          </w:p>
        </w:tc>
        <w:tc>
          <w:tcPr>
            <w:tcW w:w="110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8"/>
              </w:rPr>
              <w:t>Observable</w:t>
            </w:r>
          </w:p>
        </w:tc>
        <w:tc>
          <w:tcPr>
            <w:tcW w:w="320" w:type="dxa"/>
            <w:vAlign w:val="bottom"/>
          </w:tcPr>
          <w:p>
            <w:pPr>
              <w:spacing w:after="0"/>
              <w:rPr>
                <w:sz w:val="10"/>
                <w:szCs w:val="10"/>
                <w:color w:val="auto"/>
              </w:rPr>
            </w:pPr>
          </w:p>
        </w:tc>
        <w:tc>
          <w:tcPr>
            <w:tcW w:w="1140" w:type="dxa"/>
            <w:vAlign w:val="bottom"/>
          </w:tcPr>
          <w:p>
            <w:pPr>
              <w:jc w:val="center"/>
              <w:ind w:right="182"/>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360" w:type="dxa"/>
            <w:vAlign w:val="bottom"/>
          </w:tcPr>
          <w:p>
            <w:pPr>
              <w:spacing w:after="0"/>
              <w:rPr>
                <w:sz w:val="10"/>
                <w:szCs w:val="10"/>
                <w:color w:val="auto"/>
              </w:rPr>
            </w:pPr>
          </w:p>
        </w:tc>
        <w:tc>
          <w:tcPr>
            <w:tcW w:w="900" w:type="dxa"/>
            <w:vAlign w:val="bottom"/>
            <w:vMerge w:val="restart"/>
          </w:tcPr>
          <w:p>
            <w:pPr>
              <w:jc w:val="right"/>
              <w:ind w:right="38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2"/>
        </w:trPr>
        <w:tc>
          <w:tcPr>
            <w:tcW w:w="3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right"/>
              <w:ind w:right="400"/>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16"/>
                <w:szCs w:val="16"/>
                <w:b w:val="1"/>
                <w:bCs w:val="1"/>
                <w:color w:val="auto"/>
                <w:vertAlign w:val="superscript"/>
              </w:rPr>
              <w:t>(1)</w:t>
            </w:r>
          </w:p>
        </w:tc>
        <w:tc>
          <w:tcPr>
            <w:tcW w:w="100" w:type="dxa"/>
            <w:vAlign w:val="bottom"/>
          </w:tcPr>
          <w:p>
            <w:pPr>
              <w:spacing w:after="0"/>
              <w:rPr>
                <w:sz w:val="10"/>
                <w:szCs w:val="10"/>
                <w:color w:val="auto"/>
              </w:rPr>
            </w:pPr>
          </w:p>
        </w:tc>
        <w:tc>
          <w:tcPr>
            <w:tcW w:w="1240" w:type="dxa"/>
            <w:vAlign w:val="bottom"/>
          </w:tcPr>
          <w:p>
            <w:pPr>
              <w:jc w:val="center"/>
              <w:ind w:right="42"/>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0"/>
                <w:szCs w:val="10"/>
                <w:color w:val="auto"/>
              </w:rPr>
            </w:pPr>
          </w:p>
        </w:tc>
        <w:tc>
          <w:tcPr>
            <w:tcW w:w="110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7"/>
              </w:rPr>
              <w:t>Inputs</w:t>
            </w:r>
          </w:p>
        </w:tc>
        <w:tc>
          <w:tcPr>
            <w:tcW w:w="320" w:type="dxa"/>
            <w:vAlign w:val="bottom"/>
          </w:tcPr>
          <w:p>
            <w:pPr>
              <w:spacing w:after="0"/>
              <w:rPr>
                <w:sz w:val="10"/>
                <w:szCs w:val="10"/>
                <w:color w:val="auto"/>
              </w:rPr>
            </w:pPr>
          </w:p>
        </w:tc>
        <w:tc>
          <w:tcPr>
            <w:tcW w:w="1140" w:type="dxa"/>
            <w:vAlign w:val="bottom"/>
          </w:tcPr>
          <w:p>
            <w:pPr>
              <w:jc w:val="center"/>
              <w:ind w:right="162"/>
              <w:spacing w:after="0" w:line="122" w:lineRule="exact"/>
              <w:rPr>
                <w:sz w:val="20"/>
                <w:szCs w:val="20"/>
                <w:color w:val="auto"/>
              </w:rPr>
            </w:pPr>
            <w:r>
              <w:rPr>
                <w:rFonts w:ascii="Arial" w:cs="Arial" w:eastAsia="Arial" w:hAnsi="Arial"/>
                <w:sz w:val="13"/>
                <w:szCs w:val="13"/>
                <w:b w:val="1"/>
                <w:bCs w:val="1"/>
                <w:color w:val="auto"/>
                <w:w w:val="97"/>
              </w:rPr>
              <w:t>Inputs</w:t>
            </w:r>
          </w:p>
        </w:tc>
        <w:tc>
          <w:tcPr>
            <w:tcW w:w="3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98"/>
              </w:rPr>
              <w:t>(Level 3)</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10"/>
        </w:trPr>
        <w:tc>
          <w:tcPr>
            <w:tcW w:w="3260" w:type="dxa"/>
            <w:vAlign w:val="bottom"/>
            <w:shd w:val="clear" w:color="auto" w:fill="D4D4D4"/>
          </w:tcPr>
          <w:p>
            <w:pPr>
              <w:ind w:left="2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shd w:val="clear" w:color="auto" w:fill="D4D4D4"/>
          </w:tcPr>
          <w:p>
            <w:pPr>
              <w:spacing w:after="0"/>
              <w:rPr>
                <w:sz w:val="18"/>
                <w:szCs w:val="18"/>
                <w:color w:val="auto"/>
              </w:rPr>
            </w:pPr>
          </w:p>
        </w:tc>
        <w:tc>
          <w:tcPr>
            <w:tcW w:w="1060" w:type="dxa"/>
            <w:vAlign w:val="bottom"/>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spacing w:after="0"/>
              <w:rPr>
                <w:sz w:val="18"/>
                <w:szCs w:val="18"/>
                <w:color w:val="auto"/>
              </w:rPr>
            </w:pP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D4D4D4"/>
            </w:tcBorders>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2,379.5</w:t>
            </w:r>
          </w:p>
        </w:tc>
        <w:tc>
          <w:tcPr>
            <w:tcW w:w="24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b w:val="1"/>
                <w:bCs w:val="1"/>
                <w:color w:val="auto"/>
              </w:rPr>
              <w:t>2,379.5</w:t>
            </w:r>
          </w:p>
        </w:tc>
        <w:tc>
          <w:tcPr>
            <w:tcW w:w="10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2,361.0</w:t>
            </w:r>
          </w:p>
        </w:tc>
        <w:tc>
          <w:tcPr>
            <w:tcW w:w="280" w:type="dxa"/>
            <w:vAlign w:val="bottom"/>
            <w:tcBorders>
              <w:bottom w:val="single" w:sz="8" w:color="D4D4D4"/>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18.5</w:t>
            </w:r>
          </w:p>
        </w:tc>
        <w:tc>
          <w:tcPr>
            <w:tcW w:w="320" w:type="dxa"/>
            <w:vAlign w:val="bottom"/>
            <w:tcBorders>
              <w:bottom w:val="single" w:sz="8" w:color="D4D4D4"/>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D4D4D4"/>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D4D4D4"/>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rPr>
              <w:t>2,379.5</w:t>
            </w:r>
          </w:p>
        </w:tc>
        <w:tc>
          <w:tcPr>
            <w:tcW w:w="0" w:type="dxa"/>
            <w:vAlign w:val="bottom"/>
          </w:tcPr>
          <w:p>
            <w:pPr>
              <w:spacing w:after="0"/>
              <w:rPr>
                <w:sz w:val="1"/>
                <w:szCs w:val="1"/>
                <w:color w:val="auto"/>
              </w:rPr>
            </w:pPr>
          </w:p>
        </w:tc>
      </w:tr>
      <w:tr>
        <w:trPr>
          <w:trHeight w:val="203"/>
        </w:trPr>
        <w:tc>
          <w:tcPr>
            <w:tcW w:w="3260" w:type="dxa"/>
            <w:vAlign w:val="bottom"/>
            <w:shd w:val="clear" w:color="auto" w:fill="D4D4D4"/>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D4D4D4"/>
          </w:tcPr>
          <w:p>
            <w:pPr>
              <w:spacing w:after="0"/>
              <w:rPr>
                <w:sz w:val="17"/>
                <w:szCs w:val="17"/>
                <w:color w:val="auto"/>
              </w:rPr>
            </w:pPr>
          </w:p>
        </w:tc>
        <w:tc>
          <w:tcPr>
            <w:tcW w:w="1060" w:type="dxa"/>
            <w:vAlign w:val="bottom"/>
            <w:shd w:val="clear" w:color="auto" w:fill="D4D4D4"/>
          </w:tcPr>
          <w:p>
            <w:pPr>
              <w:spacing w:after="0"/>
              <w:rPr>
                <w:sz w:val="17"/>
                <w:szCs w:val="17"/>
                <w:color w:val="auto"/>
              </w:rPr>
            </w:pPr>
          </w:p>
        </w:tc>
        <w:tc>
          <w:tcPr>
            <w:tcW w:w="240" w:type="dxa"/>
            <w:vAlign w:val="bottom"/>
            <w:shd w:val="clear" w:color="auto" w:fill="D4D4D4"/>
          </w:tcPr>
          <w:p>
            <w:pPr>
              <w:spacing w:after="0"/>
              <w:rPr>
                <w:sz w:val="17"/>
                <w:szCs w:val="17"/>
                <w:color w:val="auto"/>
              </w:rPr>
            </w:pPr>
          </w:p>
        </w:tc>
        <w:tc>
          <w:tcPr>
            <w:tcW w:w="1020" w:type="dxa"/>
            <w:vAlign w:val="bottom"/>
            <w:shd w:val="clear" w:color="auto" w:fill="D4D4D4"/>
          </w:tcPr>
          <w:p>
            <w:pPr>
              <w:spacing w:after="0"/>
              <w:rPr>
                <w:sz w:val="17"/>
                <w:szCs w:val="17"/>
                <w:color w:val="auto"/>
              </w:rPr>
            </w:pPr>
          </w:p>
        </w:tc>
        <w:tc>
          <w:tcPr>
            <w:tcW w:w="100" w:type="dxa"/>
            <w:vAlign w:val="bottom"/>
            <w:shd w:val="clear" w:color="auto" w:fill="D4D4D4"/>
          </w:tcPr>
          <w:p>
            <w:pPr>
              <w:spacing w:after="0"/>
              <w:rPr>
                <w:sz w:val="17"/>
                <w:szCs w:val="17"/>
                <w:color w:val="auto"/>
              </w:rPr>
            </w:pPr>
          </w:p>
        </w:tc>
        <w:tc>
          <w:tcPr>
            <w:tcW w:w="1240" w:type="dxa"/>
            <w:vAlign w:val="bottom"/>
            <w:shd w:val="clear" w:color="auto" w:fill="D4D4D4"/>
          </w:tcPr>
          <w:p>
            <w:pPr>
              <w:spacing w:after="0"/>
              <w:rPr>
                <w:sz w:val="17"/>
                <w:szCs w:val="17"/>
                <w:color w:val="auto"/>
              </w:rPr>
            </w:pPr>
          </w:p>
        </w:tc>
        <w:tc>
          <w:tcPr>
            <w:tcW w:w="280" w:type="dxa"/>
            <w:vAlign w:val="bottom"/>
            <w:shd w:val="clear" w:color="auto" w:fill="D4D4D4"/>
          </w:tcPr>
          <w:p>
            <w:pPr>
              <w:spacing w:after="0"/>
              <w:rPr>
                <w:sz w:val="17"/>
                <w:szCs w:val="17"/>
                <w:color w:val="auto"/>
              </w:rPr>
            </w:pPr>
          </w:p>
        </w:tc>
        <w:tc>
          <w:tcPr>
            <w:tcW w:w="1100" w:type="dxa"/>
            <w:vAlign w:val="bottom"/>
            <w:shd w:val="clear" w:color="auto" w:fill="D4D4D4"/>
          </w:tcPr>
          <w:p>
            <w:pPr>
              <w:spacing w:after="0"/>
              <w:rPr>
                <w:sz w:val="17"/>
                <w:szCs w:val="17"/>
                <w:color w:val="auto"/>
              </w:rPr>
            </w:pPr>
          </w:p>
        </w:tc>
        <w:tc>
          <w:tcPr>
            <w:tcW w:w="320" w:type="dxa"/>
            <w:vAlign w:val="bottom"/>
            <w:shd w:val="clear" w:color="auto" w:fill="D4D4D4"/>
          </w:tcPr>
          <w:p>
            <w:pPr>
              <w:spacing w:after="0"/>
              <w:rPr>
                <w:sz w:val="17"/>
                <w:szCs w:val="17"/>
                <w:color w:val="auto"/>
              </w:rPr>
            </w:pPr>
          </w:p>
        </w:tc>
        <w:tc>
          <w:tcPr>
            <w:tcW w:w="1140" w:type="dxa"/>
            <w:vAlign w:val="bottom"/>
            <w:shd w:val="clear" w:color="auto" w:fill="D4D4D4"/>
          </w:tcPr>
          <w:p>
            <w:pPr>
              <w:spacing w:after="0"/>
              <w:rPr>
                <w:sz w:val="17"/>
                <w:szCs w:val="17"/>
                <w:color w:val="auto"/>
              </w:rPr>
            </w:pPr>
          </w:p>
        </w:tc>
        <w:tc>
          <w:tcPr>
            <w:tcW w:w="360" w:type="dxa"/>
            <w:vAlign w:val="bottom"/>
            <w:shd w:val="clear" w:color="auto" w:fill="D4D4D4"/>
          </w:tcPr>
          <w:p>
            <w:pPr>
              <w:spacing w:after="0"/>
              <w:rPr>
                <w:sz w:val="17"/>
                <w:szCs w:val="17"/>
                <w:color w:val="auto"/>
              </w:rPr>
            </w:pPr>
          </w:p>
        </w:tc>
        <w:tc>
          <w:tcPr>
            <w:tcW w:w="900" w:type="dxa"/>
            <w:vAlign w:val="bottom"/>
            <w:shd w:val="clear" w:color="auto" w:fill="D4D4D4"/>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25.7</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25.6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25.7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0" w:type="dxa"/>
            <w:vAlign w:val="bottom"/>
          </w:tcPr>
          <w:p>
            <w:pPr>
              <w:spacing w:after="0"/>
              <w:rPr>
                <w:sz w:val="1"/>
                <w:szCs w:val="1"/>
                <w:color w:val="auto"/>
              </w:rPr>
            </w:pPr>
          </w:p>
        </w:tc>
      </w:tr>
      <w:tr>
        <w:trPr>
          <w:trHeight w:val="217"/>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43.7</w:t>
            </w: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43.7</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43.7</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43.7</w:t>
            </w: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0.2</w:t>
            </w: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0.2</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0.2</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217"/>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6.2</w:t>
            </w: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6.2</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6.2</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215"/>
        </w:trPr>
        <w:tc>
          <w:tcPr>
            <w:tcW w:w="326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14.3</w:t>
            </w:r>
          </w:p>
        </w:tc>
        <w:tc>
          <w:tcPr>
            <w:tcW w:w="240" w:type="dxa"/>
            <w:vAlign w:val="bottom"/>
            <w:tcBorders>
              <w:bottom w:val="single" w:sz="8" w:color="D4D4D4"/>
            </w:tcBorders>
          </w:tcPr>
          <w:p>
            <w:pPr>
              <w:spacing w:after="0"/>
              <w:rPr>
                <w:sz w:val="18"/>
                <w:szCs w:val="18"/>
                <w:color w:val="auto"/>
              </w:rPr>
            </w:pPr>
          </w:p>
        </w:tc>
        <w:tc>
          <w:tcPr>
            <w:tcW w:w="102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b w:val="1"/>
                <w:bCs w:val="1"/>
                <w:color w:val="auto"/>
              </w:rPr>
              <w:t>14.3</w:t>
            </w:r>
          </w:p>
        </w:tc>
        <w:tc>
          <w:tcPr>
            <w:tcW w:w="100" w:type="dxa"/>
            <w:vAlign w:val="bottom"/>
            <w:tcBorders>
              <w:bottom w:val="single" w:sz="8" w:color="D4D4D4"/>
            </w:tcBorders>
          </w:tcPr>
          <w:p>
            <w:pPr>
              <w:spacing w:after="0"/>
              <w:rPr>
                <w:sz w:val="18"/>
                <w:szCs w:val="18"/>
                <w:color w:val="auto"/>
              </w:rPr>
            </w:pPr>
          </w:p>
        </w:tc>
        <w:tc>
          <w:tcPr>
            <w:tcW w:w="12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D4D4D4"/>
            </w:tcBorders>
          </w:tcPr>
          <w:p>
            <w:pPr>
              <w:spacing w:after="0"/>
              <w:rPr>
                <w:sz w:val="18"/>
                <w:szCs w:val="18"/>
                <w:color w:val="auto"/>
              </w:rPr>
            </w:pPr>
          </w:p>
        </w:tc>
        <w:tc>
          <w:tcPr>
            <w:tcW w:w="110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jc w:val="right"/>
              <w:ind w:right="2"/>
              <w:spacing w:after="0"/>
              <w:rPr>
                <w:sz w:val="20"/>
                <w:szCs w:val="20"/>
                <w:color w:val="auto"/>
              </w:rPr>
            </w:pPr>
            <w:r>
              <w:rPr>
                <w:rFonts w:ascii="Arial" w:cs="Arial" w:eastAsia="Arial" w:hAnsi="Arial"/>
                <w:sz w:val="16"/>
                <w:szCs w:val="16"/>
                <w:b w:val="1"/>
                <w:bCs w:val="1"/>
                <w:color w:val="auto"/>
              </w:rPr>
              <w:t>14.3</w:t>
            </w:r>
          </w:p>
        </w:tc>
        <w:tc>
          <w:tcPr>
            <w:tcW w:w="360" w:type="dxa"/>
            <w:vAlign w:val="bottom"/>
            <w:tcBorders>
              <w:bottom w:val="single" w:sz="8" w:color="D4D4D4"/>
            </w:tcBorders>
          </w:tcPr>
          <w:p>
            <w:pPr>
              <w:spacing w:after="0"/>
              <w:rPr>
                <w:sz w:val="18"/>
                <w:szCs w:val="18"/>
                <w:color w:val="auto"/>
              </w:rPr>
            </w:pPr>
          </w:p>
        </w:tc>
        <w:tc>
          <w:tcPr>
            <w:tcW w:w="900" w:type="dxa"/>
            <w:vAlign w:val="bottom"/>
            <w:tcBorders>
              <w:bottom w:val="single" w:sz="8" w:color="D4D4D4"/>
            </w:tcBorders>
          </w:tcPr>
          <w:p>
            <w:pPr>
              <w:jc w:val="right"/>
              <w:spacing w:after="0"/>
              <w:rPr>
                <w:sz w:val="20"/>
                <w:szCs w:val="20"/>
                <w:color w:val="auto"/>
              </w:rPr>
            </w:pPr>
            <w:r>
              <w:rPr>
                <w:rFonts w:ascii="Arial" w:cs="Arial" w:eastAsia="Arial" w:hAnsi="Arial"/>
                <w:sz w:val="16"/>
                <w:szCs w:val="16"/>
                <w:b w:val="1"/>
                <w:bCs w:val="1"/>
                <w:color w:val="auto"/>
              </w:rPr>
              <w:t>14.3</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90.1</w:t>
            </w:r>
          </w:p>
        </w:tc>
        <w:tc>
          <w:tcPr>
            <w:tcW w:w="240" w:type="dxa"/>
            <w:vAlign w:val="bottom"/>
            <w:tcBorders>
              <w:bottom w:val="single" w:sz="8" w:color="D4D4D4"/>
            </w:tcBorders>
            <w:shd w:val="clear" w:color="auto" w:fill="D4D4D4"/>
          </w:tcPr>
          <w:p>
            <w:pPr>
              <w:spacing w:after="0"/>
              <w:rPr>
                <w:sz w:val="20"/>
                <w:szCs w:val="20"/>
                <w:color w:val="auto"/>
              </w:rPr>
            </w:pPr>
          </w:p>
        </w:tc>
        <w:tc>
          <w:tcPr>
            <w:tcW w:w="1020" w:type="dxa"/>
            <w:vAlign w:val="bottom"/>
            <w:tcBorders>
              <w:bottom w:val="single" w:sz="8" w:color="D4D4D4"/>
            </w:tcBorders>
            <w:shd w:val="clear" w:color="auto" w:fill="D4D4D4"/>
          </w:tcPr>
          <w:p>
            <w:pPr>
              <w:spacing w:after="0"/>
              <w:rPr>
                <w:sz w:val="20"/>
                <w:szCs w:val="20"/>
                <w:color w:val="auto"/>
              </w:rPr>
            </w:pPr>
          </w:p>
        </w:tc>
        <w:tc>
          <w:tcPr>
            <w:tcW w:w="100" w:type="dxa"/>
            <w:vAlign w:val="bottom"/>
            <w:tcBorders>
              <w:bottom w:val="single" w:sz="8" w:color="D4D4D4"/>
            </w:tcBorders>
            <w:shd w:val="clear" w:color="auto" w:fill="D4D4D4"/>
          </w:tcPr>
          <w:p>
            <w:pPr>
              <w:spacing w:after="0"/>
              <w:rPr>
                <w:sz w:val="20"/>
                <w:szCs w:val="20"/>
                <w:color w:val="auto"/>
              </w:rPr>
            </w:pPr>
          </w:p>
        </w:tc>
        <w:tc>
          <w:tcPr>
            <w:tcW w:w="1240" w:type="dxa"/>
            <w:vAlign w:val="bottom"/>
            <w:tcBorders>
              <w:bottom w:val="single" w:sz="8" w:color="D4D4D4"/>
            </w:tcBorders>
            <w:shd w:val="clear" w:color="auto" w:fill="D4D4D4"/>
          </w:tcPr>
          <w:p>
            <w:pPr>
              <w:spacing w:after="0"/>
              <w:rPr>
                <w:sz w:val="20"/>
                <w:szCs w:val="20"/>
                <w:color w:val="auto"/>
              </w:rPr>
            </w:pPr>
          </w:p>
        </w:tc>
        <w:tc>
          <w:tcPr>
            <w:tcW w:w="280" w:type="dxa"/>
            <w:vAlign w:val="bottom"/>
            <w:tcBorders>
              <w:bottom w:val="single" w:sz="8" w:color="D4D4D4"/>
            </w:tcBorders>
            <w:shd w:val="clear" w:color="auto" w:fill="D4D4D4"/>
          </w:tcPr>
          <w:p>
            <w:pPr>
              <w:spacing w:after="0"/>
              <w:rPr>
                <w:sz w:val="20"/>
                <w:szCs w:val="20"/>
                <w:color w:val="auto"/>
              </w:rPr>
            </w:pPr>
          </w:p>
        </w:tc>
        <w:tc>
          <w:tcPr>
            <w:tcW w:w="1100" w:type="dxa"/>
            <w:vAlign w:val="bottom"/>
            <w:tcBorders>
              <w:bottom w:val="single" w:sz="8" w:color="D4D4D4"/>
            </w:tcBorders>
            <w:shd w:val="clear" w:color="auto" w:fill="D4D4D4"/>
          </w:tcPr>
          <w:p>
            <w:pPr>
              <w:spacing w:after="0"/>
              <w:rPr>
                <w:sz w:val="20"/>
                <w:szCs w:val="20"/>
                <w:color w:val="auto"/>
              </w:rPr>
            </w:pPr>
          </w:p>
        </w:tc>
        <w:tc>
          <w:tcPr>
            <w:tcW w:w="320" w:type="dxa"/>
            <w:vAlign w:val="bottom"/>
            <w:tcBorders>
              <w:bottom w:val="single" w:sz="8" w:color="D4D4D4"/>
            </w:tcBorders>
            <w:shd w:val="clear" w:color="auto" w:fill="D4D4D4"/>
          </w:tcPr>
          <w:p>
            <w:pPr>
              <w:spacing w:after="0"/>
              <w:rPr>
                <w:sz w:val="20"/>
                <w:szCs w:val="20"/>
                <w:color w:val="auto"/>
              </w:rPr>
            </w:pPr>
          </w:p>
        </w:tc>
        <w:tc>
          <w:tcPr>
            <w:tcW w:w="1140" w:type="dxa"/>
            <w:vAlign w:val="bottom"/>
            <w:tcBorders>
              <w:bottom w:val="single" w:sz="8" w:color="D4D4D4"/>
            </w:tcBorders>
            <w:shd w:val="clear" w:color="auto" w:fill="D4D4D4"/>
          </w:tcPr>
          <w:p>
            <w:pPr>
              <w:spacing w:after="0"/>
              <w:rPr>
                <w:sz w:val="20"/>
                <w:szCs w:val="20"/>
                <w:color w:val="auto"/>
              </w:rPr>
            </w:pPr>
          </w:p>
        </w:tc>
        <w:tc>
          <w:tcPr>
            <w:tcW w:w="360" w:type="dxa"/>
            <w:vAlign w:val="bottom"/>
            <w:tcBorders>
              <w:bottom w:val="single" w:sz="8" w:color="D4D4D4"/>
            </w:tcBorders>
            <w:shd w:val="clear" w:color="auto" w:fill="D4D4D4"/>
          </w:tcPr>
          <w:p>
            <w:pPr>
              <w:spacing w:after="0"/>
              <w:rPr>
                <w:sz w:val="20"/>
                <w:szCs w:val="20"/>
                <w:color w:val="auto"/>
              </w:rPr>
            </w:pPr>
          </w:p>
        </w:tc>
        <w:tc>
          <w:tcPr>
            <w:tcW w:w="900" w:type="dxa"/>
            <w:vAlign w:val="bottom"/>
            <w:tcBorders>
              <w:bottom w:val="single" w:sz="8" w:color="D4D4D4"/>
            </w:tcBorders>
            <w:shd w:val="clear" w:color="auto" w:fill="D4D4D4"/>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shd w:val="clear" w:color="auto" w:fill="D4D4D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137.0</w:t>
            </w:r>
          </w:p>
        </w:tc>
        <w:tc>
          <w:tcPr>
            <w:tcW w:w="240" w:type="dxa"/>
            <w:vAlign w:val="bottom"/>
            <w:shd w:val="clear" w:color="auto" w:fill="D4D4D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136.8</w:t>
            </w:r>
          </w:p>
        </w:tc>
        <w:tc>
          <w:tcPr>
            <w:tcW w:w="10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137.0</w:t>
            </w:r>
          </w:p>
        </w:tc>
        <w:tc>
          <w:tcPr>
            <w:tcW w:w="280" w:type="dxa"/>
            <w:vAlign w:val="bottom"/>
            <w:shd w:val="clear" w:color="auto" w:fill="D4D4D4"/>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D4D4D4"/>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D4D4D4"/>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137.0</w:t>
            </w: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235.3</w:t>
            </w: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232.7</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235.3</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235.3</w:t>
            </w:r>
          </w:p>
        </w:tc>
        <w:tc>
          <w:tcPr>
            <w:tcW w:w="0" w:type="dxa"/>
            <w:vAlign w:val="bottom"/>
          </w:tcPr>
          <w:p>
            <w:pPr>
              <w:spacing w:after="0"/>
              <w:rPr>
                <w:sz w:val="1"/>
                <w:szCs w:val="1"/>
                <w:color w:val="auto"/>
              </w:rPr>
            </w:pPr>
          </w:p>
        </w:tc>
      </w:tr>
      <w:tr>
        <w:trPr>
          <w:trHeight w:val="217"/>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109.8</w:t>
            </w: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108.1</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109.8</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109.8</w:t>
            </w: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23.1</w:t>
            </w: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23.1</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23.1</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0" w:type="dxa"/>
            <w:vAlign w:val="bottom"/>
          </w:tcPr>
          <w:p>
            <w:pPr>
              <w:spacing w:after="0"/>
              <w:rPr>
                <w:sz w:val="1"/>
                <w:szCs w:val="1"/>
                <w:color w:val="auto"/>
              </w:rPr>
            </w:pPr>
          </w:p>
        </w:tc>
      </w:tr>
      <w:tr>
        <w:trPr>
          <w:trHeight w:val="217"/>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108.1</w:t>
            </w: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22.2</w:t>
            </w: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b w:val="1"/>
                <w:bCs w:val="1"/>
                <w:color w:val="auto"/>
              </w:rPr>
              <w:t>108.1</w:t>
            </w: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b w:val="1"/>
                <w:bCs w:val="1"/>
                <w:color w:val="auto"/>
              </w:rPr>
              <w:t>108.1</w:t>
            </w:r>
          </w:p>
        </w:tc>
        <w:tc>
          <w:tcPr>
            <w:tcW w:w="0" w:type="dxa"/>
            <w:vAlign w:val="bottom"/>
          </w:tcPr>
          <w:p>
            <w:pPr>
              <w:spacing w:after="0"/>
              <w:rPr>
                <w:sz w:val="1"/>
                <w:szCs w:val="1"/>
                <w:color w:val="auto"/>
              </w:rPr>
            </w:pPr>
          </w:p>
        </w:tc>
      </w:tr>
      <w:tr>
        <w:trPr>
          <w:trHeight w:val="215"/>
        </w:trPr>
        <w:tc>
          <w:tcPr>
            <w:tcW w:w="326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1,279.7</w:t>
            </w: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b w:val="1"/>
                <w:bCs w:val="1"/>
                <w:color w:val="auto"/>
              </w:rPr>
              <w:t>487.0</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b w:val="1"/>
                <w:bCs w:val="1"/>
                <w:color w:val="auto"/>
              </w:rPr>
              <w:t>1,279.7</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1,279.7</w:t>
            </w:r>
          </w:p>
        </w:tc>
        <w:tc>
          <w:tcPr>
            <w:tcW w:w="0" w:type="dxa"/>
            <w:vAlign w:val="bottom"/>
          </w:tcPr>
          <w:p>
            <w:pPr>
              <w:spacing w:after="0"/>
              <w:rPr>
                <w:sz w:val="1"/>
                <w:szCs w:val="1"/>
                <w:color w:val="auto"/>
              </w:rPr>
            </w:pPr>
          </w:p>
        </w:tc>
      </w:tr>
      <w:tr>
        <w:trPr>
          <w:trHeight w:val="163"/>
        </w:trPr>
        <w:tc>
          <w:tcPr>
            <w:tcW w:w="3260" w:type="dxa"/>
            <w:vAlign w:val="bottom"/>
            <w:shd w:val="clear" w:color="auto" w:fill="D4D4D4"/>
          </w:tcPr>
          <w:p>
            <w:pPr>
              <w:ind w:left="140"/>
              <w:spacing w:after="0" w:line="163" w:lineRule="exact"/>
              <w:rPr>
                <w:sz w:val="20"/>
                <w:szCs w:val="20"/>
                <w:color w:val="auto"/>
              </w:rPr>
            </w:pPr>
            <w:r>
              <w:rPr>
                <w:rFonts w:ascii="Arial" w:cs="Arial" w:eastAsia="Arial" w:hAnsi="Arial"/>
                <w:sz w:val="16"/>
                <w:szCs w:val="16"/>
                <w:color w:val="auto"/>
              </w:rPr>
              <w:t>Equity investments without readily</w:t>
            </w:r>
          </w:p>
        </w:tc>
        <w:tc>
          <w:tcPr>
            <w:tcW w:w="220" w:type="dxa"/>
            <w:vAlign w:val="bottom"/>
            <w:shd w:val="clear" w:color="auto" w:fill="D4D4D4"/>
          </w:tcPr>
          <w:p>
            <w:pPr>
              <w:spacing w:after="0"/>
              <w:rPr>
                <w:sz w:val="14"/>
                <w:szCs w:val="14"/>
                <w:color w:val="auto"/>
              </w:rPr>
            </w:pPr>
          </w:p>
        </w:tc>
        <w:tc>
          <w:tcPr>
            <w:tcW w:w="1060" w:type="dxa"/>
            <w:vAlign w:val="bottom"/>
            <w:vMerge w:val="restart"/>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548.1</w:t>
            </w:r>
          </w:p>
        </w:tc>
        <w:tc>
          <w:tcPr>
            <w:tcW w:w="240" w:type="dxa"/>
            <w:vAlign w:val="bottom"/>
            <w:shd w:val="clear" w:color="auto" w:fill="D4D4D4"/>
          </w:tcPr>
          <w:p>
            <w:pPr>
              <w:spacing w:after="0"/>
              <w:rPr>
                <w:sz w:val="14"/>
                <w:szCs w:val="14"/>
                <w:color w:val="auto"/>
              </w:rPr>
            </w:pPr>
          </w:p>
        </w:tc>
        <w:tc>
          <w:tcPr>
            <w:tcW w:w="1020" w:type="dxa"/>
            <w:vAlign w:val="bottom"/>
            <w:shd w:val="clear" w:color="auto" w:fill="D4D4D4"/>
          </w:tcPr>
          <w:p>
            <w:pPr>
              <w:spacing w:after="0"/>
              <w:rPr>
                <w:sz w:val="14"/>
                <w:szCs w:val="14"/>
                <w:color w:val="auto"/>
              </w:rPr>
            </w:pPr>
          </w:p>
        </w:tc>
        <w:tc>
          <w:tcPr>
            <w:tcW w:w="100" w:type="dxa"/>
            <w:vAlign w:val="bottom"/>
            <w:shd w:val="clear" w:color="auto" w:fill="D4D4D4"/>
          </w:tcPr>
          <w:p>
            <w:pPr>
              <w:spacing w:after="0"/>
              <w:rPr>
                <w:sz w:val="14"/>
                <w:szCs w:val="14"/>
                <w:color w:val="auto"/>
              </w:rPr>
            </w:pPr>
          </w:p>
        </w:tc>
        <w:tc>
          <w:tcPr>
            <w:tcW w:w="1240" w:type="dxa"/>
            <w:vAlign w:val="bottom"/>
            <w:shd w:val="clear" w:color="auto" w:fill="D4D4D4"/>
          </w:tcPr>
          <w:p>
            <w:pPr>
              <w:spacing w:after="0"/>
              <w:rPr>
                <w:sz w:val="14"/>
                <w:szCs w:val="14"/>
                <w:color w:val="auto"/>
              </w:rPr>
            </w:pPr>
          </w:p>
        </w:tc>
        <w:tc>
          <w:tcPr>
            <w:tcW w:w="280" w:type="dxa"/>
            <w:vAlign w:val="bottom"/>
            <w:shd w:val="clear" w:color="auto" w:fill="D4D4D4"/>
          </w:tcPr>
          <w:p>
            <w:pPr>
              <w:spacing w:after="0"/>
              <w:rPr>
                <w:sz w:val="14"/>
                <w:szCs w:val="14"/>
                <w:color w:val="auto"/>
              </w:rPr>
            </w:pPr>
          </w:p>
        </w:tc>
        <w:tc>
          <w:tcPr>
            <w:tcW w:w="1100" w:type="dxa"/>
            <w:vAlign w:val="bottom"/>
            <w:shd w:val="clear" w:color="auto" w:fill="D4D4D4"/>
          </w:tcPr>
          <w:p>
            <w:pPr>
              <w:spacing w:after="0"/>
              <w:rPr>
                <w:sz w:val="14"/>
                <w:szCs w:val="14"/>
                <w:color w:val="auto"/>
              </w:rPr>
            </w:pPr>
          </w:p>
        </w:tc>
        <w:tc>
          <w:tcPr>
            <w:tcW w:w="320" w:type="dxa"/>
            <w:vAlign w:val="bottom"/>
            <w:shd w:val="clear" w:color="auto" w:fill="D4D4D4"/>
          </w:tcPr>
          <w:p>
            <w:pPr>
              <w:spacing w:after="0"/>
              <w:rPr>
                <w:sz w:val="14"/>
                <w:szCs w:val="14"/>
                <w:color w:val="auto"/>
              </w:rPr>
            </w:pPr>
          </w:p>
        </w:tc>
        <w:tc>
          <w:tcPr>
            <w:tcW w:w="1140" w:type="dxa"/>
            <w:vAlign w:val="bottom"/>
            <w:shd w:val="clear" w:color="auto" w:fill="D4D4D4"/>
          </w:tcPr>
          <w:p>
            <w:pPr>
              <w:spacing w:after="0"/>
              <w:rPr>
                <w:sz w:val="14"/>
                <w:szCs w:val="14"/>
                <w:color w:val="auto"/>
              </w:rPr>
            </w:pPr>
          </w:p>
        </w:tc>
        <w:tc>
          <w:tcPr>
            <w:tcW w:w="360" w:type="dxa"/>
            <w:vAlign w:val="bottom"/>
            <w:shd w:val="clear" w:color="auto" w:fill="D4D4D4"/>
          </w:tcPr>
          <w:p>
            <w:pPr>
              <w:spacing w:after="0"/>
              <w:rPr>
                <w:sz w:val="14"/>
                <w:szCs w:val="14"/>
                <w:color w:val="auto"/>
              </w:rPr>
            </w:pPr>
          </w:p>
        </w:tc>
        <w:tc>
          <w:tcPr>
            <w:tcW w:w="900" w:type="dxa"/>
            <w:vAlign w:val="bottom"/>
            <w:shd w:val="clear" w:color="auto" w:fill="D4D4D4"/>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(2)</w:t>
            </w:r>
          </w:p>
        </w:tc>
        <w:tc>
          <w:tcPr>
            <w:tcW w:w="220" w:type="dxa"/>
            <w:vAlign w:val="bottom"/>
            <w:shd w:val="clear" w:color="auto" w:fill="D4D4D4"/>
          </w:tcPr>
          <w:p>
            <w:pPr>
              <w:spacing w:after="0"/>
              <w:rPr>
                <w:sz w:val="18"/>
                <w:szCs w:val="18"/>
                <w:color w:val="auto"/>
              </w:rPr>
            </w:pPr>
          </w:p>
        </w:tc>
        <w:tc>
          <w:tcPr>
            <w:tcW w:w="1060" w:type="dxa"/>
            <w:vAlign w:val="bottom"/>
            <w:vMerge w:val="continue"/>
            <w:shd w:val="clear" w:color="auto" w:fill="D4D4D4"/>
          </w:tcPr>
          <w:p>
            <w:pPr>
              <w:spacing w:after="0"/>
              <w:rPr>
                <w:sz w:val="18"/>
                <w:szCs w:val="18"/>
                <w:color w:val="auto"/>
              </w:rPr>
            </w:pP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spacing w:after="0"/>
              <w:rPr>
                <w:sz w:val="18"/>
                <w:szCs w:val="18"/>
                <w:color w:val="auto"/>
              </w:rPr>
            </w:pP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D4D4D4"/>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771.5</w:t>
            </w:r>
          </w:p>
        </w:tc>
        <w:tc>
          <w:tcPr>
            <w:tcW w:w="240" w:type="dxa"/>
            <w:vAlign w:val="bottom"/>
            <w:tcBorders>
              <w:bottom w:val="single" w:sz="8" w:color="D4D4D4"/>
            </w:tcBorders>
          </w:tcPr>
          <w:p>
            <w:pPr>
              <w:spacing w:after="0"/>
              <w:rPr>
                <w:sz w:val="18"/>
                <w:szCs w:val="18"/>
                <w:color w:val="auto"/>
              </w:rPr>
            </w:pPr>
          </w:p>
        </w:tc>
        <w:tc>
          <w:tcPr>
            <w:tcW w:w="1020" w:type="dxa"/>
            <w:vAlign w:val="bottom"/>
            <w:tcBorders>
              <w:bottom w:val="single" w:sz="8" w:color="D4D4D4"/>
            </w:tcBorders>
          </w:tcPr>
          <w:p>
            <w:pPr>
              <w:spacing w:after="0"/>
              <w:rPr>
                <w:sz w:val="18"/>
                <w:szCs w:val="18"/>
                <w:color w:val="auto"/>
              </w:rPr>
            </w:pPr>
          </w:p>
        </w:tc>
        <w:tc>
          <w:tcPr>
            <w:tcW w:w="100" w:type="dxa"/>
            <w:vAlign w:val="bottom"/>
            <w:tcBorders>
              <w:bottom w:val="single" w:sz="8" w:color="D4D4D4"/>
            </w:tcBorders>
          </w:tcPr>
          <w:p>
            <w:pPr>
              <w:spacing w:after="0"/>
              <w:rPr>
                <w:sz w:val="18"/>
                <w:szCs w:val="18"/>
                <w:color w:val="auto"/>
              </w:rPr>
            </w:pPr>
          </w:p>
        </w:tc>
        <w:tc>
          <w:tcPr>
            <w:tcW w:w="1240" w:type="dxa"/>
            <w:vAlign w:val="bottom"/>
            <w:tcBorders>
              <w:bottom w:val="single" w:sz="8" w:color="D4D4D4"/>
            </w:tcBorders>
          </w:tcPr>
          <w:p>
            <w:pPr>
              <w:spacing w:after="0"/>
              <w:rPr>
                <w:sz w:val="18"/>
                <w:szCs w:val="18"/>
                <w:color w:val="auto"/>
              </w:rPr>
            </w:pPr>
          </w:p>
        </w:tc>
        <w:tc>
          <w:tcPr>
            <w:tcW w:w="280" w:type="dxa"/>
            <w:vAlign w:val="bottom"/>
            <w:tcBorders>
              <w:bottom w:val="single" w:sz="8" w:color="D4D4D4"/>
            </w:tcBorders>
          </w:tcPr>
          <w:p>
            <w:pPr>
              <w:spacing w:after="0"/>
              <w:rPr>
                <w:sz w:val="18"/>
                <w:szCs w:val="18"/>
                <w:color w:val="auto"/>
              </w:rPr>
            </w:pPr>
          </w:p>
        </w:tc>
        <w:tc>
          <w:tcPr>
            <w:tcW w:w="1100" w:type="dxa"/>
            <w:vAlign w:val="bottom"/>
            <w:tcBorders>
              <w:bottom w:val="single" w:sz="8" w:color="D4D4D4"/>
            </w:tcBorders>
          </w:tcPr>
          <w:p>
            <w:pPr>
              <w:spacing w:after="0"/>
              <w:rPr>
                <w:sz w:val="18"/>
                <w:szCs w:val="18"/>
                <w:color w:val="auto"/>
              </w:rPr>
            </w:pPr>
          </w:p>
        </w:tc>
        <w:tc>
          <w:tcPr>
            <w:tcW w:w="3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spacing w:after="0"/>
              <w:rPr>
                <w:sz w:val="18"/>
                <w:szCs w:val="18"/>
                <w:color w:val="auto"/>
              </w:rPr>
            </w:pPr>
          </w:p>
        </w:tc>
        <w:tc>
          <w:tcPr>
            <w:tcW w:w="360" w:type="dxa"/>
            <w:vAlign w:val="bottom"/>
            <w:tcBorders>
              <w:bottom w:val="single" w:sz="8" w:color="D4D4D4"/>
            </w:tcBorders>
          </w:tcPr>
          <w:p>
            <w:pPr>
              <w:spacing w:after="0"/>
              <w:rPr>
                <w:sz w:val="18"/>
                <w:szCs w:val="18"/>
                <w:color w:val="auto"/>
              </w:rPr>
            </w:pPr>
          </w:p>
        </w:tc>
        <w:tc>
          <w:tcPr>
            <w:tcW w:w="900" w:type="dxa"/>
            <w:vAlign w:val="bottom"/>
            <w:tcBorders>
              <w:bottom w:val="single" w:sz="8" w:color="D4D4D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6"/>
                <w:szCs w:val="16"/>
                <w:color w:val="auto"/>
              </w:rPr>
              <w:t>Noncurrent investments</w:t>
            </w:r>
          </w:p>
        </w:tc>
        <w:tc>
          <w:tcPr>
            <w:tcW w:w="22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b w:val="1"/>
                <w:bCs w:val="1"/>
                <w:color w:val="auto"/>
              </w:rPr>
              <w:t>3,212.6</w:t>
            </w:r>
          </w:p>
        </w:tc>
        <w:tc>
          <w:tcPr>
            <w:tcW w:w="240" w:type="dxa"/>
            <w:vAlign w:val="bottom"/>
            <w:tcBorders>
              <w:bottom w:val="single" w:sz="8" w:color="D4D4D4"/>
            </w:tcBorders>
            <w:shd w:val="clear" w:color="auto" w:fill="D4D4D4"/>
          </w:tcPr>
          <w:p>
            <w:pPr>
              <w:spacing w:after="0"/>
              <w:rPr>
                <w:sz w:val="18"/>
                <w:szCs w:val="18"/>
                <w:color w:val="auto"/>
              </w:rPr>
            </w:pPr>
          </w:p>
        </w:tc>
        <w:tc>
          <w:tcPr>
            <w:tcW w:w="1020" w:type="dxa"/>
            <w:vAlign w:val="bottom"/>
            <w:tcBorders>
              <w:bottom w:val="single" w:sz="8" w:color="D4D4D4"/>
            </w:tcBorders>
            <w:shd w:val="clear" w:color="auto" w:fill="D4D4D4"/>
          </w:tcPr>
          <w:p>
            <w:pPr>
              <w:spacing w:after="0"/>
              <w:rPr>
                <w:sz w:val="18"/>
                <w:szCs w:val="18"/>
                <w:color w:val="auto"/>
              </w:rPr>
            </w:pPr>
          </w:p>
        </w:tc>
        <w:tc>
          <w:tcPr>
            <w:tcW w:w="100" w:type="dxa"/>
            <w:vAlign w:val="bottom"/>
            <w:tcBorders>
              <w:bottom w:val="single" w:sz="8" w:color="D4D4D4"/>
            </w:tcBorders>
            <w:shd w:val="clear" w:color="auto" w:fill="D4D4D4"/>
          </w:tcPr>
          <w:p>
            <w:pPr>
              <w:spacing w:after="0"/>
              <w:rPr>
                <w:sz w:val="18"/>
                <w:szCs w:val="18"/>
                <w:color w:val="auto"/>
              </w:rPr>
            </w:pPr>
          </w:p>
        </w:tc>
        <w:tc>
          <w:tcPr>
            <w:tcW w:w="1240" w:type="dxa"/>
            <w:vAlign w:val="bottom"/>
            <w:tcBorders>
              <w:bottom w:val="single" w:sz="8" w:color="D4D4D4"/>
            </w:tcBorders>
            <w:shd w:val="clear" w:color="auto" w:fill="D4D4D4"/>
          </w:tcPr>
          <w:p>
            <w:pPr>
              <w:spacing w:after="0"/>
              <w:rPr>
                <w:sz w:val="18"/>
                <w:szCs w:val="18"/>
                <w:color w:val="auto"/>
              </w:rPr>
            </w:pPr>
          </w:p>
        </w:tc>
        <w:tc>
          <w:tcPr>
            <w:tcW w:w="280" w:type="dxa"/>
            <w:vAlign w:val="bottom"/>
            <w:tcBorders>
              <w:bottom w:val="single" w:sz="8" w:color="D4D4D4"/>
            </w:tcBorders>
            <w:shd w:val="clear" w:color="auto" w:fill="D4D4D4"/>
          </w:tcPr>
          <w:p>
            <w:pPr>
              <w:spacing w:after="0"/>
              <w:rPr>
                <w:sz w:val="18"/>
                <w:szCs w:val="18"/>
                <w:color w:val="auto"/>
              </w:rPr>
            </w:pPr>
          </w:p>
        </w:tc>
        <w:tc>
          <w:tcPr>
            <w:tcW w:w="1100" w:type="dxa"/>
            <w:vAlign w:val="bottom"/>
            <w:tcBorders>
              <w:bottom w:val="single" w:sz="8" w:color="D4D4D4"/>
            </w:tcBorders>
            <w:shd w:val="clear" w:color="auto" w:fill="D4D4D4"/>
          </w:tcPr>
          <w:p>
            <w:pPr>
              <w:spacing w:after="0"/>
              <w:rPr>
                <w:sz w:val="18"/>
                <w:szCs w:val="18"/>
                <w:color w:val="auto"/>
              </w:rPr>
            </w:pPr>
          </w:p>
        </w:tc>
        <w:tc>
          <w:tcPr>
            <w:tcW w:w="320" w:type="dxa"/>
            <w:vAlign w:val="bottom"/>
            <w:tcBorders>
              <w:bottom w:val="single" w:sz="8" w:color="D4D4D4"/>
            </w:tcBorders>
            <w:shd w:val="clear" w:color="auto" w:fill="D4D4D4"/>
          </w:tcPr>
          <w:p>
            <w:pPr>
              <w:spacing w:after="0"/>
              <w:rPr>
                <w:sz w:val="18"/>
                <w:szCs w:val="18"/>
                <w:color w:val="auto"/>
              </w:rPr>
            </w:pPr>
          </w:p>
        </w:tc>
        <w:tc>
          <w:tcPr>
            <w:tcW w:w="1140" w:type="dxa"/>
            <w:vAlign w:val="bottom"/>
            <w:tcBorders>
              <w:bottom w:val="single" w:sz="8" w:color="D4D4D4"/>
            </w:tcBorders>
            <w:shd w:val="clear" w:color="auto" w:fill="D4D4D4"/>
          </w:tcPr>
          <w:p>
            <w:pPr>
              <w:spacing w:after="0"/>
              <w:rPr>
                <w:sz w:val="18"/>
                <w:szCs w:val="18"/>
                <w:color w:val="auto"/>
              </w:rPr>
            </w:pPr>
          </w:p>
        </w:tc>
        <w:tc>
          <w:tcPr>
            <w:tcW w:w="360" w:type="dxa"/>
            <w:vAlign w:val="bottom"/>
            <w:tcBorders>
              <w:bottom w:val="single" w:sz="8" w:color="D4D4D4"/>
            </w:tcBorders>
            <w:shd w:val="clear" w:color="auto" w:fill="D4D4D4"/>
          </w:tcPr>
          <w:p>
            <w:pPr>
              <w:spacing w:after="0"/>
              <w:rPr>
                <w:sz w:val="18"/>
                <w:szCs w:val="18"/>
                <w:color w:val="auto"/>
              </w:rPr>
            </w:pPr>
          </w:p>
        </w:tc>
        <w:tc>
          <w:tcPr>
            <w:tcW w:w="900" w:type="dxa"/>
            <w:vAlign w:val="bottom"/>
            <w:tcBorders>
              <w:bottom w:val="single" w:sz="8" w:color="D4D4D4"/>
            </w:tcBorders>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D4D4D4"/>
            </w:tcBorders>
            <w:shd w:val="clear" w:color="auto" w:fill="D4D4D4"/>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color w:val="auto"/>
              </w:rPr>
              <w:t>2,097.9</w:t>
            </w:r>
          </w:p>
        </w:tc>
        <w:tc>
          <w:tcPr>
            <w:tcW w:w="240" w:type="dxa"/>
            <w:vAlign w:val="bottom"/>
            <w:tcBorders>
              <w:bottom w:val="single" w:sz="8" w:color="D4D4D4"/>
            </w:tcBorders>
            <w:shd w:val="clear" w:color="auto" w:fill="D4D4D4"/>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D4D4D4"/>
            </w:tcBorders>
            <w:shd w:val="clear" w:color="auto" w:fill="D4D4D4"/>
          </w:tcPr>
          <w:p>
            <w:pPr>
              <w:jc w:val="right"/>
              <w:ind w:right="100"/>
              <w:spacing w:after="0"/>
              <w:rPr>
                <w:sz w:val="20"/>
                <w:szCs w:val="20"/>
                <w:color w:val="auto"/>
              </w:rPr>
            </w:pPr>
            <w:r>
              <w:rPr>
                <w:rFonts w:ascii="Arial" w:cs="Arial" w:eastAsia="Arial" w:hAnsi="Arial"/>
                <w:sz w:val="16"/>
                <w:szCs w:val="16"/>
                <w:color w:val="auto"/>
              </w:rPr>
              <w:t>2,097.9</w:t>
            </w:r>
          </w:p>
        </w:tc>
        <w:tc>
          <w:tcPr>
            <w:tcW w:w="100" w:type="dxa"/>
            <w:vAlign w:val="bottom"/>
            <w:tcBorders>
              <w:bottom w:val="single" w:sz="8" w:color="D4D4D4"/>
            </w:tcBorders>
            <w:shd w:val="clear" w:color="auto" w:fill="D4D4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D4D4D4"/>
            </w:tcBorders>
            <w:shd w:val="clear" w:color="auto" w:fill="D4D4D4"/>
          </w:tcPr>
          <w:p>
            <w:pPr>
              <w:jc w:val="right"/>
              <w:ind w:right="22"/>
              <w:spacing w:after="0"/>
              <w:rPr>
                <w:sz w:val="20"/>
                <w:szCs w:val="20"/>
                <w:color w:val="auto"/>
              </w:rPr>
            </w:pPr>
            <w:r>
              <w:rPr>
                <w:rFonts w:ascii="Arial" w:cs="Arial" w:eastAsia="Arial" w:hAnsi="Arial"/>
                <w:sz w:val="16"/>
                <w:szCs w:val="16"/>
                <w:color w:val="auto"/>
              </w:rPr>
              <w:t>2,097.9</w:t>
            </w:r>
          </w:p>
        </w:tc>
        <w:tc>
          <w:tcPr>
            <w:tcW w:w="280" w:type="dxa"/>
            <w:vAlign w:val="bottom"/>
            <w:tcBorders>
              <w:bottom w:val="single" w:sz="8" w:color="D4D4D4"/>
            </w:tcBorders>
            <w:shd w:val="clear" w:color="auto" w:fill="D4D4D4"/>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4D4D4"/>
            </w:tcBorders>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D4D4D4"/>
            </w:tcBorders>
            <w:shd w:val="clear" w:color="auto" w:fill="D4D4D4"/>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4D4D4"/>
            </w:tcBorders>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4D4D4"/>
            </w:tcBorders>
            <w:shd w:val="clear" w:color="auto" w:fill="D4D4D4"/>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D4D4D4"/>
            </w:tcBorders>
            <w:shd w:val="clear" w:color="auto" w:fill="D4D4D4"/>
          </w:tcPr>
          <w:p>
            <w:pPr>
              <w:jc w:val="right"/>
              <w:spacing w:after="0"/>
              <w:rPr>
                <w:sz w:val="20"/>
                <w:szCs w:val="20"/>
                <w:color w:val="auto"/>
              </w:rPr>
            </w:pPr>
            <w:r>
              <w:rPr>
                <w:rFonts w:ascii="Arial" w:cs="Arial" w:eastAsia="Arial" w:hAnsi="Arial"/>
                <w:sz w:val="16"/>
                <w:szCs w:val="16"/>
                <w:color w:val="auto"/>
              </w:rPr>
              <w:t>2,097.9</w:t>
            </w:r>
          </w:p>
        </w:tc>
        <w:tc>
          <w:tcPr>
            <w:tcW w:w="0" w:type="dxa"/>
            <w:vAlign w:val="bottom"/>
          </w:tcPr>
          <w:p>
            <w:pPr>
              <w:spacing w:after="0"/>
              <w:rPr>
                <w:sz w:val="1"/>
                <w:szCs w:val="1"/>
                <w:color w:val="auto"/>
              </w:rPr>
            </w:pPr>
          </w:p>
        </w:tc>
      </w:tr>
      <w:tr>
        <w:trPr>
          <w:trHeight w:val="186"/>
        </w:trPr>
        <w:tc>
          <w:tcPr>
            <w:tcW w:w="326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shd w:val="clear" w:color="auto" w:fill="D4D4D4"/>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9.9</w:t>
            </w:r>
          </w:p>
        </w:tc>
        <w:tc>
          <w:tcPr>
            <w:tcW w:w="240" w:type="dxa"/>
            <w:vAlign w:val="bottom"/>
            <w:shd w:val="clear" w:color="auto" w:fill="D4D4D4"/>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D4D4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9.9</w:t>
            </w:r>
          </w:p>
        </w:tc>
        <w:tc>
          <w:tcPr>
            <w:tcW w:w="280" w:type="dxa"/>
            <w:vAlign w:val="bottom"/>
            <w:shd w:val="clear" w:color="auto" w:fill="D4D4D4"/>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shd w:val="clear" w:color="auto" w:fill="D4D4D4"/>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D4D4D4"/>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32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D4D4D4"/>
          </w:tcPr>
          <w:p>
            <w:pPr>
              <w:spacing w:after="0"/>
              <w:rPr>
                <w:sz w:val="19"/>
                <w:szCs w:val="19"/>
                <w:color w:val="auto"/>
              </w:rPr>
            </w:pP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1.2</w:t>
            </w:r>
          </w:p>
        </w:tc>
        <w:tc>
          <w:tcPr>
            <w:tcW w:w="240" w:type="dxa"/>
            <w:vAlign w:val="bottom"/>
            <w:shd w:val="clear" w:color="auto" w:fill="D4D4D4"/>
          </w:tcPr>
          <w:p>
            <w:pPr>
              <w:spacing w:after="0"/>
              <w:rPr>
                <w:sz w:val="19"/>
                <w:szCs w:val="19"/>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4D4D4"/>
          </w:tcPr>
          <w:p>
            <w:pPr>
              <w:spacing w:after="0"/>
              <w:rPr>
                <w:sz w:val="19"/>
                <w:szCs w:val="19"/>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1.2</w:t>
            </w: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D4D4D4"/>
          </w:tcPr>
          <w:p>
            <w:pPr>
              <w:spacing w:after="0"/>
              <w:rPr>
                <w:sz w:val="19"/>
                <w:szCs w:val="19"/>
                <w:color w:val="auto"/>
              </w:rPr>
            </w:pP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D4D4D4"/>
            </w:tcBorders>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10.3</w:t>
            </w:r>
          </w:p>
        </w:tc>
        <w:tc>
          <w:tcPr>
            <w:tcW w:w="240" w:type="dxa"/>
            <w:vAlign w:val="bottom"/>
            <w:tcBorders>
              <w:bottom w:val="single" w:sz="8" w:color="D4D4D4"/>
            </w:tcBorders>
          </w:tcPr>
          <w:p>
            <w:pPr>
              <w:spacing w:after="0"/>
              <w:rPr>
                <w:sz w:val="18"/>
                <w:szCs w:val="18"/>
                <w:color w:val="auto"/>
              </w:rPr>
            </w:pPr>
          </w:p>
        </w:tc>
        <w:tc>
          <w:tcPr>
            <w:tcW w:w="1020" w:type="dxa"/>
            <w:vAlign w:val="bottom"/>
            <w:tcBorders>
              <w:bottom w:val="single" w:sz="8" w:color="D4D4D4"/>
            </w:tcBorders>
          </w:tcPr>
          <w:p>
            <w:pPr>
              <w:jc w:val="right"/>
              <w:ind w:right="10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D4D4D4"/>
            </w:tcBorders>
          </w:tcPr>
          <w:p>
            <w:pPr>
              <w:spacing w:after="0"/>
              <w:rPr>
                <w:sz w:val="18"/>
                <w:szCs w:val="18"/>
                <w:color w:val="auto"/>
              </w:rPr>
            </w:pPr>
          </w:p>
        </w:tc>
        <w:tc>
          <w:tcPr>
            <w:tcW w:w="124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D4D4D4"/>
            </w:tcBorders>
          </w:tcPr>
          <w:p>
            <w:pPr>
              <w:spacing w:after="0"/>
              <w:rPr>
                <w:sz w:val="18"/>
                <w:szCs w:val="18"/>
                <w:color w:val="auto"/>
              </w:rPr>
            </w:pPr>
          </w:p>
        </w:tc>
        <w:tc>
          <w:tcPr>
            <w:tcW w:w="1100" w:type="dxa"/>
            <w:vAlign w:val="bottom"/>
            <w:tcBorders>
              <w:bottom w:val="single" w:sz="8" w:color="D4D4D4"/>
            </w:tcBorders>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jc w:val="right"/>
              <w:ind w:right="2"/>
              <w:spacing w:after="0"/>
              <w:rPr>
                <w:sz w:val="20"/>
                <w:szCs w:val="20"/>
                <w:color w:val="auto"/>
              </w:rPr>
            </w:pPr>
            <w:r>
              <w:rPr>
                <w:rFonts w:ascii="Arial" w:cs="Arial" w:eastAsia="Arial" w:hAnsi="Arial"/>
                <w:sz w:val="16"/>
                <w:szCs w:val="16"/>
                <w:color w:val="auto"/>
              </w:rPr>
              <w:t>10.3</w:t>
            </w:r>
          </w:p>
        </w:tc>
        <w:tc>
          <w:tcPr>
            <w:tcW w:w="360" w:type="dxa"/>
            <w:vAlign w:val="bottom"/>
            <w:tcBorders>
              <w:bottom w:val="single" w:sz="8" w:color="D4D4D4"/>
            </w:tcBorders>
          </w:tcPr>
          <w:p>
            <w:pPr>
              <w:spacing w:after="0"/>
              <w:rPr>
                <w:sz w:val="18"/>
                <w:szCs w:val="18"/>
                <w:color w:val="auto"/>
              </w:rPr>
            </w:pPr>
          </w:p>
        </w:tc>
        <w:tc>
          <w:tcPr>
            <w:tcW w:w="900" w:type="dxa"/>
            <w:vAlign w:val="bottom"/>
            <w:tcBorders>
              <w:bottom w:val="single" w:sz="8" w:color="D4D4D4"/>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3"/>
        </w:trPr>
        <w:tc>
          <w:tcPr>
            <w:tcW w:w="326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color w:val="auto"/>
              </w:rPr>
              <w:t>24.2</w:t>
            </w:r>
          </w:p>
        </w:tc>
        <w:tc>
          <w:tcPr>
            <w:tcW w:w="240" w:type="dxa"/>
            <w:vAlign w:val="bottom"/>
            <w:tcBorders>
              <w:bottom w:val="single" w:sz="8" w:color="D4D4D4"/>
            </w:tcBorders>
            <w:shd w:val="clear" w:color="auto" w:fill="D4D4D4"/>
          </w:tcPr>
          <w:p>
            <w:pPr>
              <w:spacing w:after="0"/>
              <w:rPr>
                <w:sz w:val="20"/>
                <w:szCs w:val="20"/>
                <w:color w:val="auto"/>
              </w:rPr>
            </w:pPr>
          </w:p>
        </w:tc>
        <w:tc>
          <w:tcPr>
            <w:tcW w:w="1020" w:type="dxa"/>
            <w:vAlign w:val="bottom"/>
            <w:tcBorders>
              <w:bottom w:val="single" w:sz="8" w:color="D4D4D4"/>
            </w:tcBorders>
            <w:shd w:val="clear" w:color="auto" w:fill="D4D4D4"/>
          </w:tcPr>
          <w:p>
            <w:pPr>
              <w:spacing w:after="0"/>
              <w:rPr>
                <w:sz w:val="20"/>
                <w:szCs w:val="20"/>
                <w:color w:val="auto"/>
              </w:rPr>
            </w:pPr>
          </w:p>
        </w:tc>
        <w:tc>
          <w:tcPr>
            <w:tcW w:w="100" w:type="dxa"/>
            <w:vAlign w:val="bottom"/>
            <w:tcBorders>
              <w:bottom w:val="single" w:sz="8" w:color="D4D4D4"/>
            </w:tcBorders>
            <w:shd w:val="clear" w:color="auto" w:fill="D4D4D4"/>
          </w:tcPr>
          <w:p>
            <w:pPr>
              <w:spacing w:after="0"/>
              <w:rPr>
                <w:sz w:val="20"/>
                <w:szCs w:val="20"/>
                <w:color w:val="auto"/>
              </w:rPr>
            </w:pPr>
          </w:p>
        </w:tc>
        <w:tc>
          <w:tcPr>
            <w:tcW w:w="1240" w:type="dxa"/>
            <w:vAlign w:val="bottom"/>
            <w:tcBorders>
              <w:bottom w:val="single" w:sz="8" w:color="D4D4D4"/>
            </w:tcBorders>
            <w:shd w:val="clear" w:color="auto" w:fill="D4D4D4"/>
          </w:tcPr>
          <w:p>
            <w:pPr>
              <w:spacing w:after="0"/>
              <w:rPr>
                <w:sz w:val="20"/>
                <w:szCs w:val="20"/>
                <w:color w:val="auto"/>
              </w:rPr>
            </w:pPr>
          </w:p>
        </w:tc>
        <w:tc>
          <w:tcPr>
            <w:tcW w:w="280" w:type="dxa"/>
            <w:vAlign w:val="bottom"/>
            <w:tcBorders>
              <w:bottom w:val="single" w:sz="8" w:color="D4D4D4"/>
            </w:tcBorders>
            <w:shd w:val="clear" w:color="auto" w:fill="D4D4D4"/>
          </w:tcPr>
          <w:p>
            <w:pPr>
              <w:spacing w:after="0"/>
              <w:rPr>
                <w:sz w:val="20"/>
                <w:szCs w:val="20"/>
                <w:color w:val="auto"/>
              </w:rPr>
            </w:pPr>
          </w:p>
        </w:tc>
        <w:tc>
          <w:tcPr>
            <w:tcW w:w="1100" w:type="dxa"/>
            <w:vAlign w:val="bottom"/>
            <w:tcBorders>
              <w:bottom w:val="single" w:sz="8" w:color="D4D4D4"/>
            </w:tcBorders>
            <w:shd w:val="clear" w:color="auto" w:fill="D4D4D4"/>
          </w:tcPr>
          <w:p>
            <w:pPr>
              <w:spacing w:after="0"/>
              <w:rPr>
                <w:sz w:val="20"/>
                <w:szCs w:val="20"/>
                <w:color w:val="auto"/>
              </w:rPr>
            </w:pPr>
          </w:p>
        </w:tc>
        <w:tc>
          <w:tcPr>
            <w:tcW w:w="320" w:type="dxa"/>
            <w:vAlign w:val="bottom"/>
            <w:tcBorders>
              <w:bottom w:val="single" w:sz="8" w:color="D4D4D4"/>
            </w:tcBorders>
            <w:shd w:val="clear" w:color="auto" w:fill="D4D4D4"/>
          </w:tcPr>
          <w:p>
            <w:pPr>
              <w:spacing w:after="0"/>
              <w:rPr>
                <w:sz w:val="20"/>
                <w:szCs w:val="20"/>
                <w:color w:val="auto"/>
              </w:rPr>
            </w:pPr>
          </w:p>
        </w:tc>
        <w:tc>
          <w:tcPr>
            <w:tcW w:w="1140" w:type="dxa"/>
            <w:vAlign w:val="bottom"/>
            <w:tcBorders>
              <w:bottom w:val="single" w:sz="8" w:color="D4D4D4"/>
            </w:tcBorders>
            <w:shd w:val="clear" w:color="auto" w:fill="D4D4D4"/>
          </w:tcPr>
          <w:p>
            <w:pPr>
              <w:spacing w:after="0"/>
              <w:rPr>
                <w:sz w:val="20"/>
                <w:szCs w:val="20"/>
                <w:color w:val="auto"/>
              </w:rPr>
            </w:pPr>
          </w:p>
        </w:tc>
        <w:tc>
          <w:tcPr>
            <w:tcW w:w="360" w:type="dxa"/>
            <w:vAlign w:val="bottom"/>
            <w:tcBorders>
              <w:bottom w:val="single" w:sz="8" w:color="D4D4D4"/>
            </w:tcBorders>
            <w:shd w:val="clear" w:color="auto" w:fill="D4D4D4"/>
          </w:tcPr>
          <w:p>
            <w:pPr>
              <w:spacing w:after="0"/>
              <w:rPr>
                <w:sz w:val="20"/>
                <w:szCs w:val="20"/>
                <w:color w:val="auto"/>
              </w:rPr>
            </w:pPr>
          </w:p>
        </w:tc>
        <w:tc>
          <w:tcPr>
            <w:tcW w:w="900" w:type="dxa"/>
            <w:vAlign w:val="bottom"/>
            <w:tcBorders>
              <w:bottom w:val="single" w:sz="8" w:color="D4D4D4"/>
            </w:tcBorders>
            <w:shd w:val="clear" w:color="auto" w:fill="D4D4D4"/>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6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shd w:val="clear" w:color="auto" w:fill="D4D4D4"/>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78.7</w:t>
            </w:r>
          </w:p>
        </w:tc>
        <w:tc>
          <w:tcPr>
            <w:tcW w:w="240" w:type="dxa"/>
            <w:vAlign w:val="bottom"/>
            <w:shd w:val="clear" w:color="auto" w:fill="D4D4D4"/>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D4D4D4"/>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78.7</w:t>
            </w:r>
          </w:p>
        </w:tc>
        <w:tc>
          <w:tcPr>
            <w:tcW w:w="280" w:type="dxa"/>
            <w:vAlign w:val="bottom"/>
            <w:shd w:val="clear" w:color="auto" w:fill="D4D4D4"/>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shd w:val="clear" w:color="auto" w:fill="D4D4D4"/>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D4D4D4"/>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3"/>
        </w:trPr>
        <w:tc>
          <w:tcPr>
            <w:tcW w:w="32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137.0</w:t>
            </w: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137.0</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19"/>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Mortgage-backed securities</w:t>
            </w:r>
          </w:p>
        </w:tc>
        <w:tc>
          <w:tcPr>
            <w:tcW w:w="220" w:type="dxa"/>
            <w:vAlign w:val="bottom"/>
            <w:shd w:val="clear" w:color="auto" w:fill="D4D4D4"/>
          </w:tcPr>
          <w:p>
            <w:pPr>
              <w:spacing w:after="0"/>
              <w:rPr>
                <w:sz w:val="19"/>
                <w:szCs w:val="19"/>
                <w:color w:val="auto"/>
              </w:rPr>
            </w:pP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106.4</w:t>
            </w:r>
          </w:p>
        </w:tc>
        <w:tc>
          <w:tcPr>
            <w:tcW w:w="240" w:type="dxa"/>
            <w:vAlign w:val="bottom"/>
            <w:shd w:val="clear" w:color="auto" w:fill="D4D4D4"/>
          </w:tcPr>
          <w:p>
            <w:pPr>
              <w:spacing w:after="0"/>
              <w:rPr>
                <w:sz w:val="19"/>
                <w:szCs w:val="19"/>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D4D4D4"/>
          </w:tcPr>
          <w:p>
            <w:pPr>
              <w:spacing w:after="0"/>
              <w:rPr>
                <w:sz w:val="19"/>
                <w:szCs w:val="19"/>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106.4</w:t>
            </w: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shd w:val="clear" w:color="auto" w:fill="D4D4D4"/>
          </w:tcPr>
          <w:p>
            <w:pPr>
              <w:spacing w:after="0"/>
              <w:rPr>
                <w:sz w:val="19"/>
                <w:szCs w:val="19"/>
                <w:color w:val="auto"/>
              </w:rPr>
            </w:pP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3"/>
        </w:trPr>
        <w:tc>
          <w:tcPr>
            <w:tcW w:w="326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24.3</w:t>
            </w: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24.3</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9"/>
        </w:trPr>
        <w:tc>
          <w:tcPr>
            <w:tcW w:w="3260" w:type="dxa"/>
            <w:vAlign w:val="bottom"/>
            <w:shd w:val="clear" w:color="auto" w:fill="D4D4D4"/>
          </w:tcPr>
          <w:p>
            <w:pPr>
              <w:ind w:left="140"/>
              <w:spacing w:after="0"/>
              <w:rPr>
                <w:sz w:val="20"/>
                <w:szCs w:val="20"/>
                <w:color w:val="auto"/>
              </w:rPr>
            </w:pPr>
            <w:r>
              <w:rPr>
                <w:rFonts w:ascii="Arial" w:cs="Arial" w:eastAsia="Arial" w:hAnsi="Arial"/>
                <w:sz w:val="16"/>
                <w:szCs w:val="16"/>
                <w:color w:val="auto"/>
              </w:rPr>
              <w:t>Other securities</w:t>
            </w:r>
          </w:p>
        </w:tc>
        <w:tc>
          <w:tcPr>
            <w:tcW w:w="220" w:type="dxa"/>
            <w:vAlign w:val="bottom"/>
            <w:shd w:val="clear" w:color="auto" w:fill="D4D4D4"/>
          </w:tcPr>
          <w:p>
            <w:pPr>
              <w:spacing w:after="0"/>
              <w:rPr>
                <w:sz w:val="19"/>
                <w:szCs w:val="19"/>
                <w:color w:val="auto"/>
              </w:rPr>
            </w:pP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110.5</w:t>
            </w:r>
          </w:p>
        </w:tc>
        <w:tc>
          <w:tcPr>
            <w:tcW w:w="240" w:type="dxa"/>
            <w:vAlign w:val="bottom"/>
            <w:shd w:val="clear" w:color="auto" w:fill="D4D4D4"/>
          </w:tcPr>
          <w:p>
            <w:pPr>
              <w:spacing w:after="0"/>
              <w:rPr>
                <w:sz w:val="19"/>
                <w:szCs w:val="19"/>
                <w:color w:val="auto"/>
              </w:rPr>
            </w:pPr>
          </w:p>
        </w:tc>
        <w:tc>
          <w:tcPr>
            <w:tcW w:w="102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D4D4D4"/>
          </w:tcPr>
          <w:p>
            <w:pPr>
              <w:spacing w:after="0"/>
              <w:rPr>
                <w:sz w:val="19"/>
                <w:szCs w:val="19"/>
                <w:color w:val="auto"/>
              </w:rPr>
            </w:pPr>
          </w:p>
        </w:tc>
        <w:tc>
          <w:tcPr>
            <w:tcW w:w="124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shd w:val="clear" w:color="auto" w:fill="D4D4D4"/>
          </w:tcPr>
          <w:p>
            <w:pPr>
              <w:spacing w:after="0"/>
              <w:rPr>
                <w:sz w:val="19"/>
                <w:szCs w:val="19"/>
                <w:color w:val="auto"/>
              </w:rPr>
            </w:pPr>
          </w:p>
        </w:tc>
        <w:tc>
          <w:tcPr>
            <w:tcW w:w="1100" w:type="dxa"/>
            <w:vAlign w:val="bottom"/>
            <w:shd w:val="clear" w:color="auto" w:fill="D4D4D4"/>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shd w:val="clear" w:color="auto" w:fill="D4D4D4"/>
          </w:tcPr>
          <w:p>
            <w:pPr>
              <w:spacing w:after="0"/>
              <w:rPr>
                <w:sz w:val="19"/>
                <w:szCs w:val="19"/>
                <w:color w:val="auto"/>
              </w:rPr>
            </w:pPr>
          </w:p>
        </w:tc>
        <w:tc>
          <w:tcPr>
            <w:tcW w:w="1140" w:type="dxa"/>
            <w:vAlign w:val="bottom"/>
            <w:shd w:val="clear" w:color="auto" w:fill="D4D4D4"/>
          </w:tcPr>
          <w:p>
            <w:pPr>
              <w:jc w:val="right"/>
              <w:ind w:right="2"/>
              <w:spacing w:after="0"/>
              <w:rPr>
                <w:sz w:val="20"/>
                <w:szCs w:val="20"/>
                <w:color w:val="auto"/>
              </w:rPr>
            </w:pPr>
            <w:r>
              <w:rPr>
                <w:rFonts w:ascii="Arial" w:cs="Arial" w:eastAsia="Arial" w:hAnsi="Arial"/>
                <w:sz w:val="16"/>
                <w:szCs w:val="16"/>
                <w:color w:val="auto"/>
              </w:rPr>
              <w:t>110.5</w:t>
            </w:r>
          </w:p>
        </w:tc>
        <w:tc>
          <w:tcPr>
            <w:tcW w:w="360" w:type="dxa"/>
            <w:vAlign w:val="bottom"/>
            <w:shd w:val="clear" w:color="auto" w:fill="D4D4D4"/>
          </w:tcPr>
          <w:p>
            <w:pPr>
              <w:spacing w:after="0"/>
              <w:rPr>
                <w:sz w:val="19"/>
                <w:szCs w:val="19"/>
                <w:color w:val="auto"/>
              </w:rPr>
            </w:pPr>
          </w:p>
        </w:tc>
        <w:tc>
          <w:tcPr>
            <w:tcW w:w="900" w:type="dxa"/>
            <w:vAlign w:val="bottom"/>
            <w:shd w:val="clear" w:color="auto" w:fill="D4D4D4"/>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13"/>
        </w:trPr>
        <w:tc>
          <w:tcPr>
            <w:tcW w:w="326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1,664.2</w:t>
            </w:r>
          </w:p>
        </w:tc>
        <w:tc>
          <w:tcPr>
            <w:tcW w:w="2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311.6</w:t>
            </w:r>
          </w:p>
        </w:tc>
        <w:tc>
          <w:tcPr>
            <w:tcW w:w="1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1,664.2</w:t>
            </w:r>
          </w:p>
        </w:tc>
        <w:tc>
          <w:tcPr>
            <w:tcW w:w="28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1,664.2</w:t>
            </w:r>
          </w:p>
        </w:tc>
        <w:tc>
          <w:tcPr>
            <w:tcW w:w="0" w:type="dxa"/>
            <w:vAlign w:val="bottom"/>
          </w:tcPr>
          <w:p>
            <w:pPr>
              <w:spacing w:after="0"/>
              <w:rPr>
                <w:sz w:val="1"/>
                <w:szCs w:val="1"/>
                <w:color w:val="auto"/>
              </w:rPr>
            </w:pPr>
          </w:p>
        </w:tc>
      </w:tr>
      <w:tr>
        <w:trPr>
          <w:trHeight w:val="165"/>
        </w:trPr>
        <w:tc>
          <w:tcPr>
            <w:tcW w:w="3260" w:type="dxa"/>
            <w:vAlign w:val="bottom"/>
            <w:shd w:val="clear" w:color="auto" w:fill="D4D4D4"/>
          </w:tcPr>
          <w:p>
            <w:pPr>
              <w:ind w:left="140"/>
              <w:spacing w:after="0" w:line="165" w:lineRule="exact"/>
              <w:rPr>
                <w:sz w:val="20"/>
                <w:szCs w:val="20"/>
                <w:color w:val="auto"/>
              </w:rPr>
            </w:pPr>
            <w:r>
              <w:rPr>
                <w:rFonts w:ascii="Arial" w:cs="Arial" w:eastAsia="Arial" w:hAnsi="Arial"/>
                <w:sz w:val="16"/>
                <w:szCs w:val="16"/>
                <w:color w:val="auto"/>
              </w:rPr>
              <w:t>Equity investments without readily</w:t>
            </w:r>
          </w:p>
        </w:tc>
        <w:tc>
          <w:tcPr>
            <w:tcW w:w="220" w:type="dxa"/>
            <w:vAlign w:val="bottom"/>
            <w:shd w:val="clear" w:color="auto" w:fill="D4D4D4"/>
          </w:tcPr>
          <w:p>
            <w:pPr>
              <w:spacing w:after="0"/>
              <w:rPr>
                <w:sz w:val="14"/>
                <w:szCs w:val="14"/>
                <w:color w:val="auto"/>
              </w:rPr>
            </w:pPr>
          </w:p>
        </w:tc>
        <w:tc>
          <w:tcPr>
            <w:tcW w:w="1060" w:type="dxa"/>
            <w:vAlign w:val="bottom"/>
            <w:shd w:val="clear" w:color="auto" w:fill="D4D4D4"/>
          </w:tcPr>
          <w:p>
            <w:pPr>
              <w:spacing w:after="0"/>
              <w:rPr>
                <w:sz w:val="14"/>
                <w:szCs w:val="14"/>
                <w:color w:val="auto"/>
              </w:rPr>
            </w:pPr>
          </w:p>
        </w:tc>
        <w:tc>
          <w:tcPr>
            <w:tcW w:w="240" w:type="dxa"/>
            <w:vAlign w:val="bottom"/>
            <w:shd w:val="clear" w:color="auto" w:fill="D4D4D4"/>
          </w:tcPr>
          <w:p>
            <w:pPr>
              <w:spacing w:after="0"/>
              <w:rPr>
                <w:sz w:val="14"/>
                <w:szCs w:val="14"/>
                <w:color w:val="auto"/>
              </w:rPr>
            </w:pPr>
          </w:p>
        </w:tc>
        <w:tc>
          <w:tcPr>
            <w:tcW w:w="1020" w:type="dxa"/>
            <w:vAlign w:val="bottom"/>
            <w:shd w:val="clear" w:color="auto" w:fill="D4D4D4"/>
          </w:tcPr>
          <w:p>
            <w:pPr>
              <w:spacing w:after="0"/>
              <w:rPr>
                <w:sz w:val="14"/>
                <w:szCs w:val="14"/>
                <w:color w:val="auto"/>
              </w:rPr>
            </w:pPr>
          </w:p>
        </w:tc>
        <w:tc>
          <w:tcPr>
            <w:tcW w:w="100" w:type="dxa"/>
            <w:vAlign w:val="bottom"/>
            <w:shd w:val="clear" w:color="auto" w:fill="D4D4D4"/>
          </w:tcPr>
          <w:p>
            <w:pPr>
              <w:spacing w:after="0"/>
              <w:rPr>
                <w:sz w:val="14"/>
                <w:szCs w:val="14"/>
                <w:color w:val="auto"/>
              </w:rPr>
            </w:pPr>
          </w:p>
        </w:tc>
        <w:tc>
          <w:tcPr>
            <w:tcW w:w="1240" w:type="dxa"/>
            <w:vAlign w:val="bottom"/>
            <w:shd w:val="clear" w:color="auto" w:fill="D4D4D4"/>
          </w:tcPr>
          <w:p>
            <w:pPr>
              <w:spacing w:after="0"/>
              <w:rPr>
                <w:sz w:val="14"/>
                <w:szCs w:val="14"/>
                <w:color w:val="auto"/>
              </w:rPr>
            </w:pPr>
          </w:p>
        </w:tc>
        <w:tc>
          <w:tcPr>
            <w:tcW w:w="280" w:type="dxa"/>
            <w:vAlign w:val="bottom"/>
            <w:shd w:val="clear" w:color="auto" w:fill="D4D4D4"/>
          </w:tcPr>
          <w:p>
            <w:pPr>
              <w:spacing w:after="0"/>
              <w:rPr>
                <w:sz w:val="14"/>
                <w:szCs w:val="14"/>
                <w:color w:val="auto"/>
              </w:rPr>
            </w:pPr>
          </w:p>
        </w:tc>
        <w:tc>
          <w:tcPr>
            <w:tcW w:w="1100" w:type="dxa"/>
            <w:vAlign w:val="bottom"/>
            <w:shd w:val="clear" w:color="auto" w:fill="D4D4D4"/>
          </w:tcPr>
          <w:p>
            <w:pPr>
              <w:spacing w:after="0"/>
              <w:rPr>
                <w:sz w:val="14"/>
                <w:szCs w:val="14"/>
                <w:color w:val="auto"/>
              </w:rPr>
            </w:pPr>
          </w:p>
        </w:tc>
        <w:tc>
          <w:tcPr>
            <w:tcW w:w="320" w:type="dxa"/>
            <w:vAlign w:val="bottom"/>
            <w:shd w:val="clear" w:color="auto" w:fill="D4D4D4"/>
          </w:tcPr>
          <w:p>
            <w:pPr>
              <w:spacing w:after="0"/>
              <w:rPr>
                <w:sz w:val="14"/>
                <w:szCs w:val="14"/>
                <w:color w:val="auto"/>
              </w:rPr>
            </w:pPr>
          </w:p>
        </w:tc>
        <w:tc>
          <w:tcPr>
            <w:tcW w:w="1140" w:type="dxa"/>
            <w:vAlign w:val="bottom"/>
            <w:shd w:val="clear" w:color="auto" w:fill="D4D4D4"/>
          </w:tcPr>
          <w:p>
            <w:pPr>
              <w:spacing w:after="0"/>
              <w:rPr>
                <w:sz w:val="14"/>
                <w:szCs w:val="14"/>
                <w:color w:val="auto"/>
              </w:rPr>
            </w:pPr>
          </w:p>
        </w:tc>
        <w:tc>
          <w:tcPr>
            <w:tcW w:w="360" w:type="dxa"/>
            <w:vAlign w:val="bottom"/>
            <w:shd w:val="clear" w:color="auto" w:fill="D4D4D4"/>
          </w:tcPr>
          <w:p>
            <w:pPr>
              <w:spacing w:after="0"/>
              <w:rPr>
                <w:sz w:val="14"/>
                <w:szCs w:val="14"/>
                <w:color w:val="auto"/>
              </w:rPr>
            </w:pPr>
          </w:p>
        </w:tc>
        <w:tc>
          <w:tcPr>
            <w:tcW w:w="900" w:type="dxa"/>
            <w:vAlign w:val="bottom"/>
            <w:shd w:val="clear" w:color="auto" w:fill="D4D4D4"/>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D4D4D4"/>
          </w:tcPr>
          <w:p>
            <w:pPr>
              <w:ind w:left="140"/>
              <w:spacing w:after="0" w:line="216" w:lineRule="exact"/>
              <w:rPr>
                <w:sz w:val="20"/>
                <w:szCs w:val="20"/>
                <w:color w:val="auto"/>
              </w:rPr>
            </w:pPr>
            <w:r>
              <w:rPr>
                <w:rFonts w:ascii="Arial" w:cs="Arial" w:eastAsia="Arial" w:hAnsi="Arial"/>
                <w:sz w:val="16"/>
                <w:szCs w:val="16"/>
                <w:color w:val="auto"/>
              </w:rPr>
              <w:t>determinable fair values</w:t>
            </w:r>
            <w:r>
              <w:rPr>
                <w:rFonts w:ascii="Arial" w:cs="Arial" w:eastAsia="Arial" w:hAnsi="Arial"/>
                <w:sz w:val="21"/>
                <w:szCs w:val="21"/>
                <w:color w:val="auto"/>
                <w:vertAlign w:val="superscript"/>
              </w:rPr>
              <w:t>(2)</w:t>
            </w:r>
          </w:p>
        </w:tc>
        <w:tc>
          <w:tcPr>
            <w:tcW w:w="22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100"/>
              <w:spacing w:after="0"/>
              <w:rPr>
                <w:sz w:val="20"/>
                <w:szCs w:val="20"/>
                <w:color w:val="auto"/>
              </w:rPr>
            </w:pPr>
            <w:r>
              <w:rPr>
                <w:rFonts w:ascii="Arial" w:cs="Arial" w:eastAsia="Arial" w:hAnsi="Arial"/>
                <w:sz w:val="16"/>
                <w:szCs w:val="16"/>
                <w:color w:val="auto"/>
              </w:rPr>
              <w:t>373.9</w:t>
            </w:r>
          </w:p>
        </w:tc>
        <w:tc>
          <w:tcPr>
            <w:tcW w:w="240" w:type="dxa"/>
            <w:vAlign w:val="bottom"/>
            <w:shd w:val="clear" w:color="auto" w:fill="D4D4D4"/>
          </w:tcPr>
          <w:p>
            <w:pPr>
              <w:spacing w:after="0"/>
              <w:rPr>
                <w:sz w:val="18"/>
                <w:szCs w:val="18"/>
                <w:color w:val="auto"/>
              </w:rPr>
            </w:pPr>
          </w:p>
        </w:tc>
        <w:tc>
          <w:tcPr>
            <w:tcW w:w="1020" w:type="dxa"/>
            <w:vAlign w:val="bottom"/>
            <w:shd w:val="clear" w:color="auto" w:fill="D4D4D4"/>
          </w:tcPr>
          <w:p>
            <w:pPr>
              <w:spacing w:after="0"/>
              <w:rPr>
                <w:sz w:val="18"/>
                <w:szCs w:val="18"/>
                <w:color w:val="auto"/>
              </w:rPr>
            </w:pPr>
          </w:p>
        </w:tc>
        <w:tc>
          <w:tcPr>
            <w:tcW w:w="100" w:type="dxa"/>
            <w:vAlign w:val="bottom"/>
            <w:shd w:val="clear" w:color="auto" w:fill="D4D4D4"/>
          </w:tcPr>
          <w:p>
            <w:pPr>
              <w:spacing w:after="0"/>
              <w:rPr>
                <w:sz w:val="18"/>
                <w:szCs w:val="18"/>
                <w:color w:val="auto"/>
              </w:rPr>
            </w:pPr>
          </w:p>
        </w:tc>
        <w:tc>
          <w:tcPr>
            <w:tcW w:w="1240" w:type="dxa"/>
            <w:vAlign w:val="bottom"/>
            <w:shd w:val="clear" w:color="auto" w:fill="D4D4D4"/>
          </w:tcPr>
          <w:p>
            <w:pPr>
              <w:spacing w:after="0"/>
              <w:rPr>
                <w:sz w:val="18"/>
                <w:szCs w:val="18"/>
                <w:color w:val="auto"/>
              </w:rPr>
            </w:pPr>
          </w:p>
        </w:tc>
        <w:tc>
          <w:tcPr>
            <w:tcW w:w="280" w:type="dxa"/>
            <w:vAlign w:val="bottom"/>
            <w:shd w:val="clear" w:color="auto" w:fill="D4D4D4"/>
          </w:tcPr>
          <w:p>
            <w:pPr>
              <w:spacing w:after="0"/>
              <w:rPr>
                <w:sz w:val="18"/>
                <w:szCs w:val="18"/>
                <w:color w:val="auto"/>
              </w:rPr>
            </w:pPr>
          </w:p>
        </w:tc>
        <w:tc>
          <w:tcPr>
            <w:tcW w:w="1100" w:type="dxa"/>
            <w:vAlign w:val="bottom"/>
            <w:shd w:val="clear" w:color="auto" w:fill="D4D4D4"/>
          </w:tcPr>
          <w:p>
            <w:pPr>
              <w:spacing w:after="0"/>
              <w:rPr>
                <w:sz w:val="18"/>
                <w:szCs w:val="18"/>
                <w:color w:val="auto"/>
              </w:rPr>
            </w:pPr>
          </w:p>
        </w:tc>
        <w:tc>
          <w:tcPr>
            <w:tcW w:w="320" w:type="dxa"/>
            <w:vAlign w:val="bottom"/>
            <w:shd w:val="clear" w:color="auto" w:fill="D4D4D4"/>
          </w:tcPr>
          <w:p>
            <w:pPr>
              <w:spacing w:after="0"/>
              <w:rPr>
                <w:sz w:val="18"/>
                <w:szCs w:val="18"/>
                <w:color w:val="auto"/>
              </w:rPr>
            </w:pPr>
          </w:p>
        </w:tc>
        <w:tc>
          <w:tcPr>
            <w:tcW w:w="1140" w:type="dxa"/>
            <w:vAlign w:val="bottom"/>
            <w:shd w:val="clear" w:color="auto" w:fill="D4D4D4"/>
          </w:tcPr>
          <w:p>
            <w:pPr>
              <w:spacing w:after="0"/>
              <w:rPr>
                <w:sz w:val="18"/>
                <w:szCs w:val="18"/>
                <w:color w:val="auto"/>
              </w:rPr>
            </w:pPr>
          </w:p>
        </w:tc>
        <w:tc>
          <w:tcPr>
            <w:tcW w:w="360" w:type="dxa"/>
            <w:vAlign w:val="bottom"/>
            <w:shd w:val="clear" w:color="auto" w:fill="D4D4D4"/>
          </w:tcPr>
          <w:p>
            <w:pPr>
              <w:spacing w:after="0"/>
              <w:rPr>
                <w:sz w:val="18"/>
                <w:szCs w:val="18"/>
                <w:color w:val="auto"/>
              </w:rPr>
            </w:pPr>
          </w:p>
        </w:tc>
        <w:tc>
          <w:tcPr>
            <w:tcW w:w="90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D4D4D4"/>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471.8</w:t>
            </w:r>
          </w:p>
        </w:tc>
        <w:tc>
          <w:tcPr>
            <w:tcW w:w="240" w:type="dxa"/>
            <w:vAlign w:val="bottom"/>
            <w:tcBorders>
              <w:bottom w:val="single" w:sz="8" w:color="D4D4D4"/>
            </w:tcBorders>
          </w:tcPr>
          <w:p>
            <w:pPr>
              <w:spacing w:after="0"/>
              <w:rPr>
                <w:sz w:val="18"/>
                <w:szCs w:val="18"/>
                <w:color w:val="auto"/>
              </w:rPr>
            </w:pPr>
          </w:p>
        </w:tc>
        <w:tc>
          <w:tcPr>
            <w:tcW w:w="1020" w:type="dxa"/>
            <w:vAlign w:val="bottom"/>
            <w:tcBorders>
              <w:bottom w:val="single" w:sz="8" w:color="D4D4D4"/>
            </w:tcBorders>
          </w:tcPr>
          <w:p>
            <w:pPr>
              <w:spacing w:after="0"/>
              <w:rPr>
                <w:sz w:val="18"/>
                <w:szCs w:val="18"/>
                <w:color w:val="auto"/>
              </w:rPr>
            </w:pPr>
          </w:p>
        </w:tc>
        <w:tc>
          <w:tcPr>
            <w:tcW w:w="100" w:type="dxa"/>
            <w:vAlign w:val="bottom"/>
            <w:tcBorders>
              <w:bottom w:val="single" w:sz="8" w:color="D4D4D4"/>
            </w:tcBorders>
          </w:tcPr>
          <w:p>
            <w:pPr>
              <w:spacing w:after="0"/>
              <w:rPr>
                <w:sz w:val="18"/>
                <w:szCs w:val="18"/>
                <w:color w:val="auto"/>
              </w:rPr>
            </w:pPr>
          </w:p>
        </w:tc>
        <w:tc>
          <w:tcPr>
            <w:tcW w:w="1240" w:type="dxa"/>
            <w:vAlign w:val="bottom"/>
            <w:tcBorders>
              <w:bottom w:val="single" w:sz="8" w:color="D4D4D4"/>
            </w:tcBorders>
          </w:tcPr>
          <w:p>
            <w:pPr>
              <w:spacing w:after="0"/>
              <w:rPr>
                <w:sz w:val="18"/>
                <w:szCs w:val="18"/>
                <w:color w:val="auto"/>
              </w:rPr>
            </w:pPr>
          </w:p>
        </w:tc>
        <w:tc>
          <w:tcPr>
            <w:tcW w:w="280" w:type="dxa"/>
            <w:vAlign w:val="bottom"/>
            <w:tcBorders>
              <w:bottom w:val="single" w:sz="8" w:color="D4D4D4"/>
            </w:tcBorders>
          </w:tcPr>
          <w:p>
            <w:pPr>
              <w:spacing w:after="0"/>
              <w:rPr>
                <w:sz w:val="18"/>
                <w:szCs w:val="18"/>
                <w:color w:val="auto"/>
              </w:rPr>
            </w:pPr>
          </w:p>
        </w:tc>
        <w:tc>
          <w:tcPr>
            <w:tcW w:w="1100" w:type="dxa"/>
            <w:vAlign w:val="bottom"/>
            <w:tcBorders>
              <w:bottom w:val="single" w:sz="8" w:color="D4D4D4"/>
            </w:tcBorders>
          </w:tcPr>
          <w:p>
            <w:pPr>
              <w:spacing w:after="0"/>
              <w:rPr>
                <w:sz w:val="18"/>
                <w:szCs w:val="18"/>
                <w:color w:val="auto"/>
              </w:rPr>
            </w:pPr>
          </w:p>
        </w:tc>
        <w:tc>
          <w:tcPr>
            <w:tcW w:w="320" w:type="dxa"/>
            <w:vAlign w:val="bottom"/>
            <w:tcBorders>
              <w:bottom w:val="single" w:sz="8" w:color="D4D4D4"/>
            </w:tcBorders>
          </w:tcPr>
          <w:p>
            <w:pPr>
              <w:spacing w:after="0"/>
              <w:rPr>
                <w:sz w:val="18"/>
                <w:szCs w:val="18"/>
                <w:color w:val="auto"/>
              </w:rPr>
            </w:pPr>
          </w:p>
        </w:tc>
        <w:tc>
          <w:tcPr>
            <w:tcW w:w="1140" w:type="dxa"/>
            <w:vAlign w:val="bottom"/>
            <w:tcBorders>
              <w:bottom w:val="single" w:sz="8" w:color="D4D4D4"/>
            </w:tcBorders>
          </w:tcPr>
          <w:p>
            <w:pPr>
              <w:spacing w:after="0"/>
              <w:rPr>
                <w:sz w:val="18"/>
                <w:szCs w:val="18"/>
                <w:color w:val="auto"/>
              </w:rPr>
            </w:pPr>
          </w:p>
        </w:tc>
        <w:tc>
          <w:tcPr>
            <w:tcW w:w="360" w:type="dxa"/>
            <w:vAlign w:val="bottom"/>
            <w:tcBorders>
              <w:bottom w:val="single" w:sz="8" w:color="D4D4D4"/>
            </w:tcBorders>
          </w:tcPr>
          <w:p>
            <w:pPr>
              <w:spacing w:after="0"/>
              <w:rPr>
                <w:sz w:val="18"/>
                <w:szCs w:val="18"/>
                <w:color w:val="auto"/>
              </w:rPr>
            </w:pPr>
          </w:p>
        </w:tc>
        <w:tc>
          <w:tcPr>
            <w:tcW w:w="900" w:type="dxa"/>
            <w:vAlign w:val="bottom"/>
            <w:tcBorders>
              <w:bottom w:val="single" w:sz="8" w:color="D4D4D4"/>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D4D4D4"/>
            </w:tcBorders>
            <w:shd w:val="clear" w:color="auto" w:fill="D4D4D4"/>
          </w:tcPr>
          <w:p>
            <w:pPr>
              <w:ind w:left="140"/>
              <w:spacing w:after="0"/>
              <w:rPr>
                <w:sz w:val="20"/>
                <w:szCs w:val="20"/>
                <w:color w:val="auto"/>
              </w:rPr>
            </w:pPr>
            <w:r>
              <w:rPr>
                <w:rFonts w:ascii="Arial" w:cs="Arial" w:eastAsia="Arial" w:hAnsi="Arial"/>
                <w:sz w:val="16"/>
                <w:szCs w:val="16"/>
                <w:color w:val="auto"/>
              </w:rPr>
              <w:t>Noncurrent investments</w:t>
            </w:r>
          </w:p>
        </w:tc>
        <w:tc>
          <w:tcPr>
            <w:tcW w:w="220" w:type="dxa"/>
            <w:vAlign w:val="bottom"/>
            <w:tcBorders>
              <w:bottom w:val="single" w:sz="8" w:color="auto"/>
            </w:tcBorders>
            <w:shd w:val="clear" w:color="auto" w:fill="D4D4D4"/>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D4D4D4"/>
          </w:tcPr>
          <w:p>
            <w:pPr>
              <w:jc w:val="right"/>
              <w:ind w:right="100"/>
              <w:spacing w:after="0"/>
              <w:rPr>
                <w:sz w:val="20"/>
                <w:szCs w:val="20"/>
                <w:color w:val="auto"/>
              </w:rPr>
            </w:pPr>
            <w:r>
              <w:rPr>
                <w:rFonts w:ascii="Arial" w:cs="Arial" w:eastAsia="Arial" w:hAnsi="Arial"/>
                <w:sz w:val="16"/>
                <w:szCs w:val="16"/>
                <w:color w:val="auto"/>
              </w:rPr>
              <w:t>2,966.8</w:t>
            </w:r>
          </w:p>
        </w:tc>
        <w:tc>
          <w:tcPr>
            <w:tcW w:w="240" w:type="dxa"/>
            <w:vAlign w:val="bottom"/>
            <w:tcBorders>
              <w:bottom w:val="single" w:sz="8" w:color="D4D4D4"/>
            </w:tcBorders>
            <w:shd w:val="clear" w:color="auto" w:fill="D4D4D4"/>
          </w:tcPr>
          <w:p>
            <w:pPr>
              <w:spacing w:after="0"/>
              <w:rPr>
                <w:sz w:val="18"/>
                <w:szCs w:val="18"/>
                <w:color w:val="auto"/>
              </w:rPr>
            </w:pPr>
          </w:p>
        </w:tc>
        <w:tc>
          <w:tcPr>
            <w:tcW w:w="1020" w:type="dxa"/>
            <w:vAlign w:val="bottom"/>
            <w:tcBorders>
              <w:bottom w:val="single" w:sz="8" w:color="D4D4D4"/>
            </w:tcBorders>
            <w:shd w:val="clear" w:color="auto" w:fill="D4D4D4"/>
          </w:tcPr>
          <w:p>
            <w:pPr>
              <w:spacing w:after="0"/>
              <w:rPr>
                <w:sz w:val="18"/>
                <w:szCs w:val="18"/>
                <w:color w:val="auto"/>
              </w:rPr>
            </w:pPr>
          </w:p>
        </w:tc>
        <w:tc>
          <w:tcPr>
            <w:tcW w:w="100" w:type="dxa"/>
            <w:vAlign w:val="bottom"/>
            <w:tcBorders>
              <w:bottom w:val="single" w:sz="8" w:color="D4D4D4"/>
            </w:tcBorders>
            <w:shd w:val="clear" w:color="auto" w:fill="D4D4D4"/>
          </w:tcPr>
          <w:p>
            <w:pPr>
              <w:spacing w:after="0"/>
              <w:rPr>
                <w:sz w:val="18"/>
                <w:szCs w:val="18"/>
                <w:color w:val="auto"/>
              </w:rPr>
            </w:pPr>
          </w:p>
        </w:tc>
        <w:tc>
          <w:tcPr>
            <w:tcW w:w="1240" w:type="dxa"/>
            <w:vAlign w:val="bottom"/>
            <w:tcBorders>
              <w:bottom w:val="single" w:sz="8" w:color="D4D4D4"/>
            </w:tcBorders>
            <w:shd w:val="clear" w:color="auto" w:fill="D4D4D4"/>
          </w:tcPr>
          <w:p>
            <w:pPr>
              <w:spacing w:after="0"/>
              <w:rPr>
                <w:sz w:val="18"/>
                <w:szCs w:val="18"/>
                <w:color w:val="auto"/>
              </w:rPr>
            </w:pPr>
          </w:p>
        </w:tc>
        <w:tc>
          <w:tcPr>
            <w:tcW w:w="280" w:type="dxa"/>
            <w:vAlign w:val="bottom"/>
            <w:tcBorders>
              <w:bottom w:val="single" w:sz="8" w:color="D4D4D4"/>
            </w:tcBorders>
            <w:shd w:val="clear" w:color="auto" w:fill="D4D4D4"/>
          </w:tcPr>
          <w:p>
            <w:pPr>
              <w:spacing w:after="0"/>
              <w:rPr>
                <w:sz w:val="18"/>
                <w:szCs w:val="18"/>
                <w:color w:val="auto"/>
              </w:rPr>
            </w:pPr>
          </w:p>
        </w:tc>
        <w:tc>
          <w:tcPr>
            <w:tcW w:w="1100" w:type="dxa"/>
            <w:vAlign w:val="bottom"/>
            <w:tcBorders>
              <w:bottom w:val="single" w:sz="8" w:color="D4D4D4"/>
            </w:tcBorders>
            <w:shd w:val="clear" w:color="auto" w:fill="D4D4D4"/>
          </w:tcPr>
          <w:p>
            <w:pPr>
              <w:spacing w:after="0"/>
              <w:rPr>
                <w:sz w:val="18"/>
                <w:szCs w:val="18"/>
                <w:color w:val="auto"/>
              </w:rPr>
            </w:pPr>
          </w:p>
        </w:tc>
        <w:tc>
          <w:tcPr>
            <w:tcW w:w="320" w:type="dxa"/>
            <w:vAlign w:val="bottom"/>
            <w:tcBorders>
              <w:bottom w:val="single" w:sz="8" w:color="D4D4D4"/>
            </w:tcBorders>
            <w:shd w:val="clear" w:color="auto" w:fill="D4D4D4"/>
          </w:tcPr>
          <w:p>
            <w:pPr>
              <w:spacing w:after="0"/>
              <w:rPr>
                <w:sz w:val="18"/>
                <w:szCs w:val="18"/>
                <w:color w:val="auto"/>
              </w:rPr>
            </w:pPr>
          </w:p>
        </w:tc>
        <w:tc>
          <w:tcPr>
            <w:tcW w:w="1140" w:type="dxa"/>
            <w:vAlign w:val="bottom"/>
            <w:tcBorders>
              <w:bottom w:val="single" w:sz="8" w:color="D4D4D4"/>
            </w:tcBorders>
            <w:shd w:val="clear" w:color="auto" w:fill="D4D4D4"/>
          </w:tcPr>
          <w:p>
            <w:pPr>
              <w:spacing w:after="0"/>
              <w:rPr>
                <w:sz w:val="18"/>
                <w:szCs w:val="18"/>
                <w:color w:val="auto"/>
              </w:rPr>
            </w:pPr>
          </w:p>
        </w:tc>
        <w:tc>
          <w:tcPr>
            <w:tcW w:w="360" w:type="dxa"/>
            <w:vAlign w:val="bottom"/>
            <w:tcBorders>
              <w:bottom w:val="single" w:sz="8" w:color="D4D4D4"/>
            </w:tcBorders>
            <w:shd w:val="clear" w:color="auto" w:fill="D4D4D4"/>
          </w:tcPr>
          <w:p>
            <w:pPr>
              <w:spacing w:after="0"/>
              <w:rPr>
                <w:sz w:val="18"/>
                <w:szCs w:val="18"/>
                <w:color w:val="auto"/>
              </w:rPr>
            </w:pPr>
          </w:p>
        </w:tc>
        <w:tc>
          <w:tcPr>
            <w:tcW w:w="900" w:type="dxa"/>
            <w:vAlign w:val="bottom"/>
            <w:tcBorders>
              <w:bottom w:val="single" w:sz="8" w:color="D4D4D4"/>
            </w:tcBorders>
            <w:shd w:val="clear" w:color="auto" w:fill="D4D4D4"/>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9"/>
          <w:szCs w:val="9"/>
          <w:color w:val="auto"/>
        </w:rPr>
      </w:pPr>
      <w:r>
        <w:rPr>
          <w:rFonts w:ascii="Arial" w:cs="Arial" w:eastAsia="Arial" w:hAnsi="Arial"/>
          <w:sz w:val="14"/>
          <w:szCs w:val="14"/>
          <w:color w:val="auto"/>
        </w:rPr>
        <w:t>For available-for-sale debt securities, amounts disclosed represent the securities' amortized cost.</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9"/>
        </w:numPr>
        <w:rPr>
          <w:rFonts w:ascii="Arial" w:cs="Arial" w:eastAsia="Arial" w:hAnsi="Arial"/>
          <w:sz w:val="9"/>
          <w:szCs w:val="9"/>
          <w:color w:val="auto"/>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7"/>
        </w:trPr>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4"/>
          </w:tcPr>
          <w:p>
            <w:pPr>
              <w:ind w:left="840"/>
              <w:spacing w:after="0"/>
              <w:rPr>
                <w:sz w:val="20"/>
                <w:szCs w:val="20"/>
                <w:color w:val="auto"/>
              </w:rPr>
            </w:pPr>
            <w:r>
              <w:rPr>
                <w:rFonts w:ascii="Arial" w:cs="Arial" w:eastAsia="Arial" w:hAnsi="Arial"/>
                <w:sz w:val="13"/>
                <w:szCs w:val="13"/>
                <w:b w:val="1"/>
                <w:bCs w:val="1"/>
                <w:color w:val="auto"/>
              </w:rPr>
              <w:t>Fair Value Measurements Using</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60" w:type="dxa"/>
            <w:vAlign w:val="bottom"/>
            <w:gridSpan w:val="2"/>
          </w:tcPr>
          <w:p>
            <w:pPr>
              <w:jc w:val="center"/>
              <w:ind w:right="248"/>
              <w:spacing w:after="0" w:line="122" w:lineRule="exact"/>
              <w:rPr>
                <w:sz w:val="20"/>
                <w:szCs w:val="20"/>
                <w:color w:val="auto"/>
              </w:rPr>
            </w:pPr>
            <w:r>
              <w:rPr>
                <w:rFonts w:ascii="Arial" w:cs="Arial" w:eastAsia="Arial" w:hAnsi="Arial"/>
                <w:sz w:val="13"/>
                <w:szCs w:val="13"/>
                <w:b w:val="1"/>
                <w:bCs w:val="1"/>
                <w:color w:val="auto"/>
                <w:w w:val="96"/>
              </w:rPr>
              <w:t>Quoted Prices in</w:t>
            </w:r>
          </w:p>
        </w:tc>
        <w:tc>
          <w:tcPr>
            <w:tcW w:w="1160" w:type="dxa"/>
            <w:vAlign w:val="bottom"/>
          </w:tcPr>
          <w:p>
            <w:pPr>
              <w:jc w:val="center"/>
              <w:ind w:right="189"/>
              <w:spacing w:after="0" w:line="122"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500" w:type="dxa"/>
            <w:vAlign w:val="bottom"/>
            <w:gridSpan w:val="2"/>
            <w:vMerge w:val="restart"/>
          </w:tcPr>
          <w:p>
            <w:pPr>
              <w:jc w:val="center"/>
              <w:ind w:right="580"/>
              <w:spacing w:after="0"/>
              <w:rPr>
                <w:sz w:val="20"/>
                <w:szCs w:val="20"/>
                <w:color w:val="auto"/>
              </w:rPr>
            </w:pPr>
            <w:r>
              <w:rPr>
                <w:rFonts w:ascii="Arial" w:cs="Arial" w:eastAsia="Arial" w:hAnsi="Arial"/>
                <w:sz w:val="13"/>
                <w:szCs w:val="13"/>
                <w:b w:val="1"/>
                <w:bCs w:val="1"/>
                <w:color w:val="auto"/>
                <w:w w:val="96"/>
              </w:rPr>
              <w:t>Significant</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60" w:type="dxa"/>
            <w:vAlign w:val="bottom"/>
            <w:gridSpan w:val="2"/>
          </w:tcPr>
          <w:p>
            <w:pPr>
              <w:jc w:val="center"/>
              <w:ind w:right="248"/>
              <w:spacing w:after="0" w:line="122" w:lineRule="exact"/>
              <w:rPr>
                <w:sz w:val="20"/>
                <w:szCs w:val="20"/>
                <w:color w:val="auto"/>
              </w:rPr>
            </w:pPr>
            <w:r>
              <w:rPr>
                <w:rFonts w:ascii="Arial" w:cs="Arial" w:eastAsia="Arial" w:hAnsi="Arial"/>
                <w:sz w:val="13"/>
                <w:szCs w:val="13"/>
                <w:b w:val="1"/>
                <w:bCs w:val="1"/>
                <w:color w:val="auto"/>
                <w:w w:val="95"/>
              </w:rPr>
              <w:t>Active Markets</w:t>
            </w:r>
          </w:p>
        </w:tc>
        <w:tc>
          <w:tcPr>
            <w:tcW w:w="1160" w:type="dxa"/>
            <w:vAlign w:val="bottom"/>
          </w:tcPr>
          <w:p>
            <w:pPr>
              <w:jc w:val="center"/>
              <w:ind w:right="189"/>
              <w:spacing w:after="0" w:line="122"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vMerge w:val="restart"/>
          </w:tcPr>
          <w:p>
            <w:pPr>
              <w:jc w:val="right"/>
              <w:ind w:right="444"/>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1220" w:type="dxa"/>
            <w:vAlign w:val="bottom"/>
          </w:tcPr>
          <w:p>
            <w:pPr>
              <w:jc w:val="center"/>
              <w:ind w:right="388"/>
              <w:spacing w:after="0" w:line="122" w:lineRule="exact"/>
              <w:rPr>
                <w:sz w:val="20"/>
                <w:szCs w:val="20"/>
                <w:color w:val="auto"/>
              </w:rPr>
            </w:pPr>
            <w:r>
              <w:rPr>
                <w:rFonts w:ascii="Arial" w:cs="Arial" w:eastAsia="Arial" w:hAnsi="Arial"/>
                <w:sz w:val="13"/>
                <w:szCs w:val="13"/>
                <w:b w:val="1"/>
                <w:bCs w:val="1"/>
                <w:color w:val="auto"/>
                <w:w w:val="97"/>
              </w:rPr>
              <w:t>for Identical</w:t>
            </w:r>
          </w:p>
        </w:tc>
        <w:tc>
          <w:tcPr>
            <w:tcW w:w="1160" w:type="dxa"/>
            <w:vAlign w:val="bottom"/>
          </w:tcPr>
          <w:p>
            <w:pPr>
              <w:jc w:val="center"/>
              <w:ind w:right="189"/>
              <w:spacing w:after="0" w:line="122" w:lineRule="exact"/>
              <w:rPr>
                <w:sz w:val="20"/>
                <w:szCs w:val="20"/>
                <w:color w:val="auto"/>
              </w:rPr>
            </w:pPr>
            <w:r>
              <w:rPr>
                <w:rFonts w:ascii="Arial" w:cs="Arial" w:eastAsia="Arial" w:hAnsi="Arial"/>
                <w:sz w:val="13"/>
                <w:szCs w:val="13"/>
                <w:b w:val="1"/>
                <w:bCs w:val="1"/>
                <w:color w:val="auto"/>
                <w:w w:val="98"/>
              </w:rPr>
              <w:t>Observable</w:t>
            </w:r>
          </w:p>
        </w:tc>
        <w:tc>
          <w:tcPr>
            <w:tcW w:w="220" w:type="dxa"/>
            <w:vAlign w:val="bottom"/>
          </w:tcPr>
          <w:p>
            <w:pPr>
              <w:spacing w:after="0"/>
              <w:rPr>
                <w:sz w:val="10"/>
                <w:szCs w:val="10"/>
                <w:color w:val="auto"/>
              </w:rPr>
            </w:pPr>
          </w:p>
        </w:tc>
        <w:tc>
          <w:tcPr>
            <w:tcW w:w="1500" w:type="dxa"/>
            <w:vAlign w:val="bottom"/>
            <w:gridSpan w:val="2"/>
          </w:tcPr>
          <w:p>
            <w:pPr>
              <w:jc w:val="center"/>
              <w:ind w:right="560"/>
              <w:spacing w:after="0" w:line="122" w:lineRule="exact"/>
              <w:rPr>
                <w:sz w:val="20"/>
                <w:szCs w:val="20"/>
                <w:color w:val="auto"/>
              </w:rPr>
            </w:pPr>
            <w:r>
              <w:rPr>
                <w:rFonts w:ascii="Arial" w:cs="Arial" w:eastAsia="Arial" w:hAnsi="Arial"/>
                <w:sz w:val="13"/>
                <w:szCs w:val="13"/>
                <w:b w:val="1"/>
                <w:bCs w:val="1"/>
                <w:color w:val="auto"/>
                <w:w w:val="95"/>
              </w:rPr>
              <w:t>Unobservable</w:t>
            </w:r>
          </w:p>
        </w:tc>
        <w:tc>
          <w:tcPr>
            <w:tcW w:w="104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1"/>
        </w:trPr>
        <w:tc>
          <w:tcPr>
            <w:tcW w:w="40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7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388"/>
              <w:spacing w:after="0" w:line="122" w:lineRule="exact"/>
              <w:rPr>
                <w:sz w:val="20"/>
                <w:szCs w:val="20"/>
                <w:color w:val="auto"/>
              </w:rPr>
            </w:pPr>
            <w:r>
              <w:rPr>
                <w:rFonts w:ascii="Arial" w:cs="Arial" w:eastAsia="Arial" w:hAnsi="Arial"/>
                <w:sz w:val="13"/>
                <w:szCs w:val="13"/>
                <w:b w:val="1"/>
                <w:bCs w:val="1"/>
                <w:color w:val="auto"/>
                <w:w w:val="93"/>
              </w:rPr>
              <w:t>Assets</w:t>
            </w:r>
          </w:p>
        </w:tc>
        <w:tc>
          <w:tcPr>
            <w:tcW w:w="1160" w:type="dxa"/>
            <w:vAlign w:val="bottom"/>
          </w:tcPr>
          <w:p>
            <w:pPr>
              <w:jc w:val="center"/>
              <w:ind w:right="189"/>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500" w:type="dxa"/>
            <w:vAlign w:val="bottom"/>
            <w:gridSpan w:val="2"/>
          </w:tcPr>
          <w:p>
            <w:pPr>
              <w:jc w:val="center"/>
              <w:ind w:right="560"/>
              <w:spacing w:after="0" w:line="122" w:lineRule="exact"/>
              <w:rPr>
                <w:sz w:val="20"/>
                <w:szCs w:val="20"/>
                <w:color w:val="auto"/>
              </w:rPr>
            </w:pPr>
            <w:r>
              <w:rPr>
                <w:rFonts w:ascii="Arial" w:cs="Arial" w:eastAsia="Arial" w:hAnsi="Arial"/>
                <w:sz w:val="13"/>
                <w:szCs w:val="13"/>
                <w:b w:val="1"/>
                <w:bCs w:val="1"/>
                <w:color w:val="auto"/>
                <w:w w:val="97"/>
              </w:rPr>
              <w:t>Inputs</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0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88"/>
              <w:spacing w:after="0"/>
              <w:rPr>
                <w:sz w:val="20"/>
                <w:szCs w:val="20"/>
                <w:color w:val="auto"/>
              </w:rPr>
            </w:pPr>
            <w:r>
              <w:rPr>
                <w:rFonts w:ascii="Arial" w:cs="Arial" w:eastAsia="Arial" w:hAnsi="Arial"/>
                <w:sz w:val="13"/>
                <w:szCs w:val="13"/>
                <w:b w:val="1"/>
                <w:bCs w:val="1"/>
                <w:color w:val="auto"/>
                <w:w w:val="98"/>
              </w:rPr>
              <w:t>(Level 1)</w:t>
            </w:r>
          </w:p>
        </w:tc>
        <w:tc>
          <w:tcPr>
            <w:tcW w:w="116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3"/>
                <w:szCs w:val="13"/>
                <w:b w:val="1"/>
                <w:bCs w:val="1"/>
                <w:color w:val="auto"/>
                <w:w w:val="94"/>
              </w:rPr>
              <w:t>(Level 3)</w:t>
            </w: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7"/>
        </w:trPr>
        <w:tc>
          <w:tcPr>
            <w:tcW w:w="406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Long-term debt, including current portion</w:t>
            </w:r>
          </w:p>
        </w:tc>
        <w:tc>
          <w:tcPr>
            <w:tcW w:w="7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4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64"/>
              <w:spacing w:after="0"/>
              <w:rPr>
                <w:sz w:val="20"/>
                <w:szCs w:val="20"/>
                <w:color w:val="auto"/>
              </w:rPr>
            </w:pPr>
            <w:r>
              <w:rPr>
                <w:rFonts w:ascii="Arial" w:cs="Arial" w:eastAsia="Arial" w:hAnsi="Arial"/>
                <w:sz w:val="18"/>
                <w:szCs w:val="18"/>
                <w:b w:val="1"/>
                <w:bCs w:val="1"/>
                <w:color w:val="auto"/>
              </w:rPr>
              <w:t>(16,884.7)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ind w:left="640"/>
              <w:spacing w:after="0"/>
              <w:rPr>
                <w:sz w:val="20"/>
                <w:szCs w:val="20"/>
                <w:color w:val="auto"/>
              </w:rPr>
            </w:pPr>
            <w:r>
              <w:rPr>
                <w:rFonts w:ascii="Arial" w:cs="Arial" w:eastAsia="Arial" w:hAnsi="Arial"/>
                <w:sz w:val="18"/>
                <w:szCs w:val="18"/>
                <w:b w:val="1"/>
                <w:bCs w:val="1"/>
                <w:color w:val="auto"/>
              </w:rPr>
              <w:t>—  $</w:t>
            </w:r>
          </w:p>
        </w:tc>
        <w:tc>
          <w:tcPr>
            <w:tcW w:w="1160" w:type="dxa"/>
            <w:vAlign w:val="bottom"/>
          </w:tcPr>
          <w:p>
            <w:pPr>
              <w:jc w:val="right"/>
              <w:ind w:right="9"/>
              <w:spacing w:after="0"/>
              <w:rPr>
                <w:sz w:val="20"/>
                <w:szCs w:val="20"/>
                <w:color w:val="auto"/>
              </w:rPr>
            </w:pPr>
            <w:r>
              <w:rPr>
                <w:rFonts w:ascii="Arial" w:cs="Arial" w:eastAsia="Arial" w:hAnsi="Arial"/>
                <w:sz w:val="18"/>
                <w:szCs w:val="18"/>
                <w:b w:val="1"/>
                <w:bCs w:val="1"/>
                <w:color w:val="auto"/>
              </w:rPr>
              <w:t>(18,157.7)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ind w:left="840"/>
              <w:spacing w:after="0"/>
              <w:rPr>
                <w:sz w:val="20"/>
                <w:szCs w:val="20"/>
                <w:color w:val="auto"/>
              </w:rPr>
            </w:pPr>
            <w:r>
              <w:rPr>
                <w:rFonts w:ascii="Arial" w:cs="Arial" w:eastAsia="Arial" w:hAnsi="Arial"/>
                <w:sz w:val="18"/>
                <w:szCs w:val="18"/>
                <w:b w:val="1"/>
                <w:bCs w:val="1"/>
                <w:color w:val="auto"/>
              </w:rPr>
              <w:t>—  $</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w w:val="99"/>
              </w:rPr>
              <w:t>(18,157.7)</w:t>
            </w:r>
          </w:p>
        </w:tc>
        <w:tc>
          <w:tcPr>
            <w:tcW w:w="0" w:type="dxa"/>
            <w:vAlign w:val="bottom"/>
          </w:tcPr>
          <w:p>
            <w:pPr>
              <w:spacing w:after="0"/>
              <w:rPr>
                <w:sz w:val="1"/>
                <w:szCs w:val="1"/>
                <w:color w:val="auto"/>
              </w:rPr>
            </w:pPr>
          </w:p>
        </w:tc>
      </w:tr>
      <w:tr>
        <w:trPr>
          <w:trHeight w:val="229"/>
        </w:trPr>
        <w:tc>
          <w:tcPr>
            <w:tcW w:w="40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December 31, 2020</w:t>
            </w:r>
          </w:p>
        </w:tc>
        <w:tc>
          <w:tcPr>
            <w:tcW w:w="720" w:type="dxa"/>
            <w:vAlign w:val="bottom"/>
            <w:shd w:val="clear" w:color="auto" w:fill="D8D8D8"/>
          </w:tcPr>
          <w:p>
            <w:pPr>
              <w:spacing w:after="0"/>
              <w:rPr>
                <w:sz w:val="19"/>
                <w:szCs w:val="19"/>
                <w:color w:val="auto"/>
              </w:rPr>
            </w:pPr>
          </w:p>
        </w:tc>
        <w:tc>
          <w:tcPr>
            <w:tcW w:w="1180" w:type="dxa"/>
            <w:vAlign w:val="bottom"/>
            <w:shd w:val="clear" w:color="auto" w:fill="D8D8D8"/>
          </w:tcPr>
          <w:p>
            <w:pPr>
              <w:jc w:val="right"/>
              <w:ind w:right="64"/>
              <w:spacing w:after="0"/>
              <w:rPr>
                <w:sz w:val="20"/>
                <w:szCs w:val="20"/>
                <w:color w:val="auto"/>
              </w:rPr>
            </w:pPr>
            <w:r>
              <w:rPr>
                <w:rFonts w:ascii="Arial" w:cs="Arial" w:eastAsia="Arial" w:hAnsi="Arial"/>
                <w:sz w:val="18"/>
                <w:szCs w:val="18"/>
                <w:color w:val="auto"/>
              </w:rPr>
              <w:t>(16,595.3)</w:t>
            </w:r>
          </w:p>
        </w:tc>
        <w:tc>
          <w:tcPr>
            <w:tcW w:w="140" w:type="dxa"/>
            <w:vAlign w:val="bottom"/>
            <w:shd w:val="clear" w:color="auto" w:fill="D8D8D8"/>
          </w:tcPr>
          <w:p>
            <w:pPr>
              <w:spacing w:after="0"/>
              <w:rPr>
                <w:sz w:val="19"/>
                <w:szCs w:val="19"/>
                <w:color w:val="auto"/>
              </w:rPr>
            </w:pPr>
          </w:p>
        </w:tc>
        <w:tc>
          <w:tcPr>
            <w:tcW w:w="1220" w:type="dxa"/>
            <w:vAlign w:val="bottom"/>
            <w:shd w:val="clear" w:color="auto" w:fill="D8D8D8"/>
          </w:tcPr>
          <w:p>
            <w:pPr>
              <w:ind w:left="6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9"/>
              <w:spacing w:after="0"/>
              <w:rPr>
                <w:sz w:val="20"/>
                <w:szCs w:val="20"/>
                <w:color w:val="auto"/>
              </w:rPr>
            </w:pPr>
            <w:r>
              <w:rPr>
                <w:rFonts w:ascii="Arial" w:cs="Arial" w:eastAsia="Arial" w:hAnsi="Arial"/>
                <w:sz w:val="18"/>
                <w:szCs w:val="18"/>
                <w:color w:val="auto"/>
              </w:rPr>
              <w:t>(19,038.9)</w:t>
            </w:r>
          </w:p>
        </w:tc>
        <w:tc>
          <w:tcPr>
            <w:tcW w:w="220" w:type="dxa"/>
            <w:vAlign w:val="bottom"/>
            <w:shd w:val="clear" w:color="auto" w:fill="D8D8D8"/>
          </w:tcPr>
          <w:p>
            <w:pPr>
              <w:spacing w:after="0"/>
              <w:rPr>
                <w:sz w:val="19"/>
                <w:szCs w:val="19"/>
                <w:color w:val="auto"/>
              </w:rPr>
            </w:pPr>
          </w:p>
        </w:tc>
        <w:tc>
          <w:tcPr>
            <w:tcW w:w="1500" w:type="dxa"/>
            <w:vAlign w:val="bottom"/>
            <w:gridSpan w:val="2"/>
            <w:shd w:val="clear" w:color="auto" w:fill="D8D8D8"/>
          </w:tcPr>
          <w:p>
            <w:pPr>
              <w:ind w:left="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ind w:left="200"/>
              <w:spacing w:after="0"/>
              <w:rPr>
                <w:sz w:val="20"/>
                <w:szCs w:val="20"/>
                <w:color w:val="auto"/>
              </w:rPr>
            </w:pPr>
            <w:r>
              <w:rPr>
                <w:rFonts w:ascii="Arial" w:cs="Arial" w:eastAsia="Arial" w:hAnsi="Arial"/>
                <w:sz w:val="18"/>
                <w:szCs w:val="18"/>
                <w:color w:val="auto"/>
                <w:w w:val="99"/>
              </w:rPr>
              <w:t>(19,038.9)</w:t>
            </w:r>
          </w:p>
        </w:tc>
        <w:tc>
          <w:tcPr>
            <w:tcW w:w="0" w:type="dxa"/>
            <w:vAlign w:val="bottom"/>
          </w:tcPr>
          <w:p>
            <w:pPr>
              <w:spacing w:after="0"/>
              <w:rPr>
                <w:sz w:val="1"/>
                <w:szCs w:val="1"/>
                <w:color w:val="auto"/>
              </w:rPr>
            </w:pPr>
          </w:p>
        </w:tc>
      </w:tr>
      <w:tr>
        <w:trPr>
          <w:trHeight w:val="891"/>
        </w:trPr>
        <w:tc>
          <w:tcPr>
            <w:tcW w:w="4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ind w:left="860"/>
              <w:spacing w:after="0"/>
              <w:rPr>
                <w:sz w:val="20"/>
                <w:szCs w:val="20"/>
                <w:color w:val="auto"/>
              </w:rPr>
            </w:pPr>
            <w:r>
              <w:rPr>
                <w:rFonts w:ascii="Arial" w:cs="Arial" w:eastAsia="Arial" w:hAnsi="Arial"/>
                <w:sz w:val="18"/>
                <w:szCs w:val="18"/>
                <w:b w:val="1"/>
                <w:bCs w:val="1"/>
                <w:i w:val="1"/>
                <w:iCs w:val="1"/>
                <w:color w:val="auto"/>
                <w:w w:val="79"/>
              </w:rPr>
              <w:t>79</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7"/>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5"/>
          </w:tcPr>
          <w:p>
            <w:pPr>
              <w:jc w:val="center"/>
              <w:ind w:right="34"/>
              <w:spacing w:after="0"/>
              <w:rPr>
                <w:sz w:val="20"/>
                <w:szCs w:val="20"/>
                <w:color w:val="auto"/>
              </w:rPr>
            </w:pPr>
            <w:r>
              <w:rPr>
                <w:rFonts w:ascii="Arial" w:cs="Arial" w:eastAsia="Arial" w:hAnsi="Arial"/>
                <w:sz w:val="13"/>
                <w:szCs w:val="13"/>
                <w:b w:val="1"/>
                <w:bCs w:val="1"/>
                <w:color w:val="auto"/>
                <w:w w:val="96"/>
              </w:rPr>
              <w:t>Fair Value Measurements Using</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6"/>
              </w:rPr>
              <w:t>Quoted Prices in</w:t>
            </w:r>
          </w:p>
        </w:tc>
        <w:tc>
          <w:tcPr>
            <w:tcW w:w="280" w:type="dxa"/>
            <w:vAlign w:val="bottom"/>
          </w:tcPr>
          <w:p>
            <w:pPr>
              <w:spacing w:after="0"/>
              <w:rPr>
                <w:sz w:val="10"/>
                <w:szCs w:val="10"/>
                <w:color w:val="auto"/>
              </w:rPr>
            </w:pPr>
          </w:p>
        </w:tc>
        <w:tc>
          <w:tcPr>
            <w:tcW w:w="1100" w:type="dxa"/>
            <w:vAlign w:val="bottom"/>
          </w:tcPr>
          <w:p>
            <w:pPr>
              <w:jc w:val="center"/>
              <w:ind w:right="175"/>
              <w:spacing w:after="0" w:line="122"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10"/>
                <w:szCs w:val="10"/>
                <w:color w:val="auto"/>
              </w:rPr>
            </w:pPr>
          </w:p>
        </w:tc>
        <w:tc>
          <w:tcPr>
            <w:tcW w:w="1480" w:type="dxa"/>
            <w:vAlign w:val="bottom"/>
            <w:gridSpan w:val="2"/>
            <w:vMerge w:val="restart"/>
          </w:tcPr>
          <w:p>
            <w:pPr>
              <w:jc w:val="center"/>
              <w:ind w:right="560"/>
              <w:spacing w:after="0"/>
              <w:rPr>
                <w:sz w:val="20"/>
                <w:szCs w:val="20"/>
                <w:color w:val="auto"/>
              </w:rPr>
            </w:pPr>
            <w:r>
              <w:rPr>
                <w:rFonts w:ascii="Arial" w:cs="Arial" w:eastAsia="Arial" w:hAnsi="Arial"/>
                <w:sz w:val="13"/>
                <w:szCs w:val="13"/>
                <w:b w:val="1"/>
                <w:bCs w:val="1"/>
                <w:color w:val="auto"/>
                <w:w w:val="96"/>
              </w:rPr>
              <w:t>Significant</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372"/>
              <w:spacing w:after="0"/>
              <w:rPr>
                <w:sz w:val="20"/>
                <w:szCs w:val="20"/>
                <w:color w:val="auto"/>
              </w:rPr>
            </w:pPr>
            <w:r>
              <w:rPr>
                <w:rFonts w:ascii="Arial" w:cs="Arial" w:eastAsia="Arial" w:hAnsi="Arial"/>
                <w:sz w:val="13"/>
                <w:szCs w:val="13"/>
                <w:b w:val="1"/>
                <w:bCs w:val="1"/>
                <w:color w:val="auto"/>
              </w:rPr>
              <w:t>Carrying</w:t>
            </w:r>
          </w:p>
        </w:tc>
        <w:tc>
          <w:tcPr>
            <w:tcW w:w="1260" w:type="dxa"/>
            <w:vAlign w:val="bottom"/>
            <w:gridSpan w:val="2"/>
          </w:tcPr>
          <w:p>
            <w:pPr>
              <w:jc w:val="right"/>
              <w:ind w:right="14"/>
              <w:spacing w:after="0" w:line="122" w:lineRule="exact"/>
              <w:rPr>
                <w:sz w:val="20"/>
                <w:szCs w:val="20"/>
                <w:color w:val="auto"/>
              </w:rPr>
            </w:pPr>
            <w:r>
              <w:rPr>
                <w:rFonts w:ascii="Arial" w:cs="Arial" w:eastAsia="Arial" w:hAnsi="Arial"/>
                <w:sz w:val="13"/>
                <w:szCs w:val="13"/>
                <w:b w:val="1"/>
                <w:bCs w:val="1"/>
                <w:color w:val="auto"/>
              </w:rPr>
              <w:t>Active Markets for</w:t>
            </w:r>
          </w:p>
        </w:tc>
        <w:tc>
          <w:tcPr>
            <w:tcW w:w="280" w:type="dxa"/>
            <w:vAlign w:val="bottom"/>
          </w:tcPr>
          <w:p>
            <w:pPr>
              <w:spacing w:after="0"/>
              <w:rPr>
                <w:sz w:val="10"/>
                <w:szCs w:val="10"/>
                <w:color w:val="auto"/>
              </w:rPr>
            </w:pPr>
          </w:p>
        </w:tc>
        <w:tc>
          <w:tcPr>
            <w:tcW w:w="1100" w:type="dxa"/>
            <w:vAlign w:val="bottom"/>
          </w:tcPr>
          <w:p>
            <w:pPr>
              <w:jc w:val="center"/>
              <w:ind w:right="175"/>
              <w:spacing w:after="0" w:line="122" w:lineRule="exact"/>
              <w:rPr>
                <w:sz w:val="20"/>
                <w:szCs w:val="20"/>
                <w:color w:val="auto"/>
              </w:rPr>
            </w:pPr>
            <w:r>
              <w:rPr>
                <w:rFonts w:ascii="Arial" w:cs="Arial" w:eastAsia="Arial" w:hAnsi="Arial"/>
                <w:sz w:val="13"/>
                <w:szCs w:val="13"/>
                <w:b w:val="1"/>
                <w:bCs w:val="1"/>
                <w:color w:val="auto"/>
                <w:w w:val="95"/>
              </w:rPr>
              <w:t>Observable</w:t>
            </w:r>
          </w:p>
        </w:tc>
        <w:tc>
          <w:tcPr>
            <w:tcW w:w="220" w:type="dxa"/>
            <w:vAlign w:val="bottom"/>
          </w:tcPr>
          <w:p>
            <w:pPr>
              <w:spacing w:after="0"/>
              <w:rPr>
                <w:sz w:val="10"/>
                <w:szCs w:val="10"/>
                <w:color w:val="auto"/>
              </w:rPr>
            </w:pPr>
          </w:p>
        </w:tc>
        <w:tc>
          <w:tcPr>
            <w:tcW w:w="1480" w:type="dxa"/>
            <w:vAlign w:val="bottom"/>
            <w:gridSpan w:val="2"/>
          </w:tcPr>
          <w:p>
            <w:pPr>
              <w:jc w:val="center"/>
              <w:ind w:right="560"/>
              <w:spacing w:after="0" w:line="122" w:lineRule="exact"/>
              <w:rPr>
                <w:sz w:val="20"/>
                <w:szCs w:val="20"/>
                <w:color w:val="auto"/>
              </w:rPr>
            </w:pPr>
            <w:r>
              <w:rPr>
                <w:rFonts w:ascii="Arial" w:cs="Arial" w:eastAsia="Arial" w:hAnsi="Arial"/>
                <w:sz w:val="13"/>
                <w:szCs w:val="13"/>
                <w:b w:val="1"/>
                <w:bCs w:val="1"/>
                <w:color w:val="auto"/>
                <w:w w:val="97"/>
              </w:rPr>
              <w:t>Unobservable</w:t>
            </w:r>
          </w:p>
        </w:tc>
        <w:tc>
          <w:tcPr>
            <w:tcW w:w="960" w:type="dxa"/>
            <w:vAlign w:val="bottom"/>
            <w:vMerge w:val="restart"/>
          </w:tcPr>
          <w:p>
            <w:pPr>
              <w:jc w:val="right"/>
              <w:ind w:right="412"/>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2"/>
        </w:trPr>
        <w:tc>
          <w:tcPr>
            <w:tcW w:w="46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54"/>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280" w:type="dxa"/>
            <w:vAlign w:val="bottom"/>
          </w:tcPr>
          <w:p>
            <w:pPr>
              <w:spacing w:after="0"/>
              <w:rPr>
                <w:sz w:val="10"/>
                <w:szCs w:val="10"/>
                <w:color w:val="auto"/>
              </w:rPr>
            </w:pPr>
          </w:p>
        </w:tc>
        <w:tc>
          <w:tcPr>
            <w:tcW w:w="110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7"/>
              </w:rPr>
              <w:t>Inputs</w:t>
            </w:r>
          </w:p>
        </w:tc>
        <w:tc>
          <w:tcPr>
            <w:tcW w:w="220" w:type="dxa"/>
            <w:vAlign w:val="bottom"/>
          </w:tcPr>
          <w:p>
            <w:pPr>
              <w:spacing w:after="0"/>
              <w:rPr>
                <w:sz w:val="10"/>
                <w:szCs w:val="10"/>
                <w:color w:val="auto"/>
              </w:rPr>
            </w:pPr>
          </w:p>
        </w:tc>
        <w:tc>
          <w:tcPr>
            <w:tcW w:w="1480" w:type="dxa"/>
            <w:vAlign w:val="bottom"/>
            <w:gridSpan w:val="2"/>
          </w:tcPr>
          <w:p>
            <w:pPr>
              <w:jc w:val="center"/>
              <w:ind w:right="540"/>
              <w:spacing w:after="0" w:line="122" w:lineRule="exact"/>
              <w:rPr>
                <w:sz w:val="20"/>
                <w:szCs w:val="20"/>
                <w:color w:val="auto"/>
              </w:rPr>
            </w:pPr>
            <w:r>
              <w:rPr>
                <w:rFonts w:ascii="Arial" w:cs="Arial" w:eastAsia="Arial" w:hAnsi="Arial"/>
                <w:sz w:val="13"/>
                <w:szCs w:val="13"/>
                <w:b w:val="1"/>
                <w:bCs w:val="1"/>
                <w:color w:val="auto"/>
                <w:w w:val="97"/>
              </w:rPr>
              <w:t>Inputs</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6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8"/>
              </w:rPr>
              <w:t>(Level 1)</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3"/>
                <w:szCs w:val="13"/>
                <w:b w:val="1"/>
                <w:bCs w:val="1"/>
                <w:color w:val="auto"/>
                <w:w w:val="94"/>
              </w:rPr>
              <w:t>(Level 2)</w:t>
            </w: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3"/>
                <w:szCs w:val="13"/>
                <w:b w:val="1"/>
                <w:bCs w:val="1"/>
                <w:color w:val="auto"/>
                <w:w w:val="98"/>
              </w:rPr>
              <w:t>(Level 3)</w:t>
            </w: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7"/>
        </w:trPr>
        <w:tc>
          <w:tcPr>
            <w:tcW w:w="4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Risk-management instruments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Interest rate contracts designated as fair value hedges: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29"/>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78.3</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b w:val="1"/>
                <w:bCs w:val="1"/>
                <w:color w:val="auto"/>
              </w:rPr>
              <w:t>78.3</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78.3</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188"/>
        </w:trPr>
        <w:tc>
          <w:tcPr>
            <w:tcW w:w="460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Interest rate contracts designated as cash flow</w:t>
            </w:r>
          </w:p>
        </w:tc>
        <w:tc>
          <w:tcPr>
            <w:tcW w:w="2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hedges: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49.2</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49.2</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(31.7)</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(31.7)</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(31.7)</w:t>
            </w:r>
          </w:p>
        </w:tc>
        <w:tc>
          <w:tcPr>
            <w:tcW w:w="0" w:type="dxa"/>
            <w:vAlign w:val="bottom"/>
          </w:tcPr>
          <w:p>
            <w:pPr>
              <w:spacing w:after="0"/>
              <w:rPr>
                <w:sz w:val="1"/>
                <w:szCs w:val="1"/>
                <w:color w:val="auto"/>
              </w:rPr>
            </w:pPr>
          </w:p>
        </w:tc>
      </w:tr>
      <w:tr>
        <w:trPr>
          <w:trHeight w:val="188"/>
        </w:trPr>
        <w:tc>
          <w:tcPr>
            <w:tcW w:w="4600" w:type="dxa"/>
            <w:vAlign w:val="bottom"/>
          </w:tcPr>
          <w:p>
            <w:pPr>
              <w:ind w:left="180"/>
              <w:spacing w:after="0" w:line="189"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180"/>
              <w:spacing w:after="0"/>
              <w:rPr>
                <w:sz w:val="20"/>
                <w:szCs w:val="20"/>
                <w:color w:val="auto"/>
              </w:rPr>
            </w:pPr>
            <w:r>
              <w:rPr>
                <w:rFonts w:ascii="Arial" w:cs="Arial" w:eastAsia="Arial" w:hAnsi="Arial"/>
                <w:sz w:val="18"/>
                <w:szCs w:val="18"/>
                <w:color w:val="auto"/>
              </w:rPr>
              <w:t>net investment hedges: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31.3</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b w:val="1"/>
                <w:bCs w:val="1"/>
                <w:color w:val="auto"/>
              </w:rPr>
              <w:t>31.3</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29"/>
        </w:trPr>
        <w:tc>
          <w:tcPr>
            <w:tcW w:w="460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188"/>
        </w:trPr>
        <w:tc>
          <w:tcPr>
            <w:tcW w:w="460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33.2</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0" w:type="dxa"/>
            <w:vAlign w:val="bottom"/>
          </w:tcPr>
          <w:p>
            <w:pPr>
              <w:spacing w:after="0"/>
              <w:rPr>
                <w:sz w:val="1"/>
                <w:szCs w:val="1"/>
                <w:color w:val="auto"/>
              </w:rPr>
            </w:pPr>
          </w:p>
        </w:tc>
      </w:tr>
      <w:tr>
        <w:trPr>
          <w:trHeight w:val="229"/>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88"/>
        </w:trPr>
        <w:tc>
          <w:tcPr>
            <w:tcW w:w="4600" w:type="dxa"/>
            <w:vAlign w:val="bottom"/>
          </w:tcPr>
          <w:p>
            <w:pPr>
              <w:ind w:left="180"/>
              <w:spacing w:after="0" w:line="189" w:lineRule="exact"/>
              <w:rPr>
                <w:sz w:val="20"/>
                <w:szCs w:val="20"/>
                <w:color w:val="auto"/>
              </w:rPr>
            </w:pPr>
            <w:r>
              <w:rPr>
                <w:rFonts w:ascii="Arial" w:cs="Arial" w:eastAsia="Arial" w:hAnsi="Arial"/>
                <w:sz w:val="18"/>
                <w:szCs w:val="18"/>
                <w:color w:val="auto"/>
              </w:rPr>
              <w:t>Foreign exchange contracts not designated as hedging</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b w:val="1"/>
                <w:bCs w:val="1"/>
                <w:color w:val="auto"/>
              </w:rPr>
              <w:t>9.9</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(35.3)</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Contingent consideration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(70.5)</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80" w:type="dxa"/>
            <w:vAlign w:val="bottom"/>
          </w:tcPr>
          <w:p>
            <w:pPr>
              <w:ind w:left="600"/>
              <w:spacing w:after="0"/>
              <w:rPr>
                <w:sz w:val="20"/>
                <w:szCs w:val="20"/>
                <w:color w:val="auto"/>
              </w:rPr>
            </w:pPr>
            <w:r>
              <w:rPr>
                <w:rFonts w:ascii="Arial" w:cs="Arial" w:eastAsia="Arial" w:hAnsi="Arial"/>
                <w:sz w:val="18"/>
                <w:szCs w:val="18"/>
                <w:b w:val="1"/>
                <w:bCs w:val="1"/>
                <w:color w:val="auto"/>
                <w:w w:val="97"/>
              </w:rPr>
              <w:t>(70.5)</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(70.5)</w:t>
            </w:r>
          </w:p>
        </w:tc>
        <w:tc>
          <w:tcPr>
            <w:tcW w:w="0" w:type="dxa"/>
            <w:vAlign w:val="bottom"/>
          </w:tcPr>
          <w:p>
            <w:pPr>
              <w:spacing w:after="0"/>
              <w:rPr>
                <w:sz w:val="1"/>
                <w:szCs w:val="1"/>
                <w:color w:val="auto"/>
              </w:rPr>
            </w:pPr>
          </w:p>
        </w:tc>
      </w:tr>
      <w:tr>
        <w:trPr>
          <w:trHeight w:val="216"/>
        </w:trPr>
        <w:tc>
          <w:tcPr>
            <w:tcW w:w="46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Risk-management instruments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Interest rate contracts designated as fair value hedges: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158.9</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188"/>
        </w:trPr>
        <w:tc>
          <w:tcPr>
            <w:tcW w:w="4600" w:type="dxa"/>
            <w:vAlign w:val="bottom"/>
          </w:tcPr>
          <w:p>
            <w:pPr>
              <w:ind w:left="180"/>
              <w:spacing w:after="0" w:line="189" w:lineRule="exact"/>
              <w:rPr>
                <w:sz w:val="20"/>
                <w:szCs w:val="20"/>
                <w:color w:val="auto"/>
              </w:rPr>
            </w:pPr>
            <w:r>
              <w:rPr>
                <w:rFonts w:ascii="Arial" w:cs="Arial" w:eastAsia="Arial" w:hAnsi="Arial"/>
                <w:sz w:val="18"/>
                <w:szCs w:val="18"/>
                <w:color w:val="auto"/>
              </w:rPr>
              <w:t>Interest rate contracts designated as cash flow</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180"/>
              <w:spacing w:after="0"/>
              <w:rPr>
                <w:sz w:val="20"/>
                <w:szCs w:val="20"/>
                <w:color w:val="auto"/>
              </w:rPr>
            </w:pPr>
            <w:r>
              <w:rPr>
                <w:rFonts w:ascii="Arial" w:cs="Arial" w:eastAsia="Arial" w:hAnsi="Arial"/>
                <w:sz w:val="18"/>
                <w:szCs w:val="18"/>
                <w:color w:val="auto"/>
              </w:rPr>
              <w:t>hedges: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88"/>
        </w:trPr>
        <w:tc>
          <w:tcPr>
            <w:tcW w:w="460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188"/>
        </w:trPr>
        <w:tc>
          <w:tcPr>
            <w:tcW w:w="4600" w:type="dxa"/>
            <w:vAlign w:val="bottom"/>
          </w:tcPr>
          <w:p>
            <w:pPr>
              <w:ind w:left="180"/>
              <w:spacing w:after="0" w:line="189" w:lineRule="exact"/>
              <w:rPr>
                <w:sz w:val="20"/>
                <w:szCs w:val="20"/>
                <w:color w:val="auto"/>
              </w:rPr>
            </w:pPr>
            <w:r>
              <w:rPr>
                <w:rFonts w:ascii="Arial" w:cs="Arial" w:eastAsia="Arial" w:hAnsi="Arial"/>
                <w:sz w:val="18"/>
                <w:szCs w:val="18"/>
                <w:color w:val="auto"/>
              </w:rPr>
              <w:t>Cross-currency interest rate contracts designated as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0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12"/>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5"/>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8"/>
        </w:trPr>
        <w:tc>
          <w:tcPr>
            <w:tcW w:w="460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Foreign exchange contracts not designated as hedging</w:t>
            </w:r>
          </w:p>
        </w:tc>
        <w:tc>
          <w:tcPr>
            <w:tcW w:w="2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46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2"/>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DBDBDB"/>
          </w:tcPr>
          <w:p>
            <w:pPr>
              <w:spacing w:after="0"/>
              <w:rPr>
                <w:sz w:val="19"/>
                <w:szCs w:val="19"/>
                <w:color w:val="auto"/>
              </w:rPr>
            </w:pPr>
          </w:p>
        </w:tc>
        <w:tc>
          <w:tcPr>
            <w:tcW w:w="1480" w:type="dxa"/>
            <w:vAlign w:val="bottom"/>
            <w:gridSpan w:val="2"/>
            <w:shd w:val="clear" w:color="auto" w:fill="DBDBDB"/>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904"/>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80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80" w:name="page81"/>
    <w:bookmarkEnd w:id="80"/>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 As of December 31, 2021, we had approximately $828 million of unfunded commitments to invest in venture capital funds, which we anticipate will be invested over a period of up to 10 years.</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Contingent consideration liability relates to our liability arising in connection with the CVR issued as a result of the Prevail acquisition. The fair value of the CVR liability was estimated using a discounted cash flow analysis and Level 3 inputs, including projections representative of a market participant's view of the expected cash payment associated with the first potential regulatory approval of a Prevail compound in the applicable countries based on probabilities of technical success, timing of the potential approval events for the compounds, and an estimated discount rate. See Note 3 for additional information related to the CVR arrangement.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980" w:type="dxa"/>
            <w:vAlign w:val="bottom"/>
          </w:tcPr>
          <w:p>
            <w:pPr>
              <w:jc w:val="center"/>
              <w:ind w:right="82"/>
              <w:spacing w:after="0" w:line="142" w:lineRule="exact"/>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2"/>
                <w:szCs w:val="12"/>
                <w:color w:val="auto"/>
              </w:rPr>
            </w:pPr>
          </w:p>
        </w:tc>
        <w:tc>
          <w:tcPr>
            <w:tcW w:w="110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rPr>
              <w:t>1-5 Years</w:t>
            </w:r>
          </w:p>
        </w:tc>
        <w:tc>
          <w:tcPr>
            <w:tcW w:w="180" w:type="dxa"/>
            <w:vAlign w:val="bottom"/>
          </w:tcPr>
          <w:p>
            <w:pPr>
              <w:spacing w:after="0"/>
              <w:rPr>
                <w:sz w:val="12"/>
                <w:szCs w:val="12"/>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6-10 Years</w:t>
            </w:r>
          </w:p>
        </w:tc>
        <w:tc>
          <w:tcPr>
            <w:tcW w:w="200" w:type="dxa"/>
            <w:vAlign w:val="bottom"/>
          </w:tcPr>
          <w:p>
            <w:pPr>
              <w:spacing w:after="0"/>
              <w:rPr>
                <w:sz w:val="12"/>
                <w:szCs w:val="12"/>
                <w:color w:val="auto"/>
              </w:rPr>
            </w:pPr>
          </w:p>
        </w:tc>
        <w:tc>
          <w:tcPr>
            <w:tcW w:w="108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rPr>
              <w:t>More Than 10</w:t>
            </w:r>
          </w:p>
        </w:tc>
        <w:tc>
          <w:tcPr>
            <w:tcW w:w="0" w:type="dxa"/>
            <w:vAlign w:val="bottom"/>
          </w:tcPr>
          <w:p>
            <w:pPr>
              <w:spacing w:after="0"/>
              <w:rPr>
                <w:sz w:val="1"/>
                <w:szCs w:val="1"/>
                <w:color w:val="auto"/>
              </w:rPr>
            </w:pPr>
          </w:p>
        </w:tc>
      </w:tr>
      <w:tr>
        <w:trPr>
          <w:trHeight w:val="175"/>
        </w:trPr>
        <w:tc>
          <w:tcPr>
            <w:tcW w:w="4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472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581.0</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75.9</w:t>
            </w:r>
          </w:p>
        </w:tc>
        <w:tc>
          <w:tcPr>
            <w:tcW w:w="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99"/>
              <w:spacing w:after="0"/>
              <w:rPr>
                <w:sz w:val="20"/>
                <w:szCs w:val="20"/>
                <w:color w:val="auto"/>
              </w:rPr>
            </w:pPr>
            <w:r>
              <w:rPr>
                <w:rFonts w:ascii="Arial" w:cs="Arial" w:eastAsia="Arial" w:hAnsi="Arial"/>
                <w:sz w:val="18"/>
                <w:szCs w:val="18"/>
                <w:color w:val="auto"/>
              </w:rPr>
              <w:t>216.5</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126.4</w:t>
            </w:r>
          </w:p>
        </w:tc>
        <w:tc>
          <w:tcPr>
            <w:tcW w:w="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net gains recognized in our consolidated statements of operations for equity securities were $176.9 million, $1.44 billion, and</w:t>
      </w:r>
    </w:p>
    <w:p>
      <w:pPr>
        <w:spacing w:after="0" w:line="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$401.2 million for the years ended December 31, 2021, 2020, and 2019, respectively. The net gains/losses recognized for the years ended December 31, 2021, 2020, and 2019 on equity securities sold during the respective periods were not material.</w:t>
      </w:r>
    </w:p>
    <w:p>
      <w:pPr>
        <w:spacing w:after="0" w:line="9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for the years ended December 31, 2021, 2020, and 2019 were not material.</w:t>
      </w:r>
    </w:p>
    <w:p>
      <w:pPr>
        <w:spacing w:after="0" w:line="9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3"/>
        </w:trPr>
        <w:tc>
          <w:tcPr>
            <w:tcW w:w="6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Unrealized gross gains</w:t>
            </w:r>
          </w:p>
        </w:tc>
        <w:tc>
          <w:tcPr>
            <w:tcW w:w="290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9.7</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290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290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250.7</w:t>
            </w:r>
          </w:p>
        </w:tc>
        <w:tc>
          <w:tcPr>
            <w:tcW w:w="40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348.9</w:t>
            </w:r>
          </w:p>
        </w:tc>
      </w:tr>
      <w:tr>
        <w:trPr>
          <w:trHeight w:val="239"/>
        </w:trPr>
        <w:tc>
          <w:tcPr>
            <w:tcW w:w="62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29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290.2</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periodically assess our investment in available-for-sale securities for impairment losses and credit losses.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years ended December 31, 2021, 2020, and 2019.</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1" w:name="page82"/>
    <w:bookmarkEnd w:id="81"/>
    <w:p>
      <w:pPr>
        <w:ind w:right="40"/>
        <w:spacing w:after="0" w:line="253" w:lineRule="auto"/>
        <w:rPr>
          <w:sz w:val="20"/>
          <w:szCs w:val="20"/>
          <w:color w:val="auto"/>
        </w:rPr>
      </w:pPr>
      <w:r>
        <w:rPr>
          <w:rFonts w:ascii="Arial" w:cs="Arial" w:eastAsia="Arial" w:hAnsi="Arial"/>
          <w:sz w:val="18"/>
          <w:szCs w:val="18"/>
          <w:color w:val="auto"/>
        </w:rPr>
        <w:t>As of December 31, 2021, the available-for-sale securities in an unrealized loss position include primarily fixed-rate debt securities of varying maturities, which are sensitive to changes in the yield curve and other market conditions. Approximately 97 percent of the fixed-rate debt securities in a loss position are investment-grade debt securities. As of December 31, 2021,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available-for-sale securities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23"/>
        </w:trPr>
        <w:tc>
          <w:tcPr>
            <w:tcW w:w="464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Proceeds from sales</w:t>
            </w:r>
          </w:p>
        </w:tc>
        <w:tc>
          <w:tcPr>
            <w:tcW w:w="302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174.7</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264.8</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431.6</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Realized gross gains on sales</w:t>
            </w:r>
          </w:p>
        </w:tc>
        <w:tc>
          <w:tcPr>
            <w:tcW w:w="302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64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Realized gross losses on sales</w:t>
            </w:r>
          </w:p>
        </w:tc>
        <w:tc>
          <w:tcPr>
            <w:tcW w:w="3020" w:type="dxa"/>
            <w:vAlign w:val="bottom"/>
            <w:shd w:val="clear" w:color="auto" w:fill="D8D8D8"/>
          </w:tcPr>
          <w:p>
            <w:pPr>
              <w:spacing w:after="0"/>
              <w:rPr>
                <w:sz w:val="19"/>
                <w:szCs w:val="19"/>
                <w:color w:val="auto"/>
              </w:rPr>
            </w:pP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8.2</w:t>
            </w:r>
          </w:p>
        </w:tc>
        <w:tc>
          <w:tcPr>
            <w:tcW w:w="42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w:t>
            </w:r>
          </w:p>
        </w:tc>
      </w:tr>
    </w:tbl>
    <w:p>
      <w:pPr>
        <w:spacing w:after="0" w:line="16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are accounted for as sales and result in a reduction in accounts receivable because the agreements transfer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control over and risk related to the receivables to the buyers. Our factoring agreements do not allow for recourse in the event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uncollectibility, and we do not retain any interest in the underlying accounts receivable once sold. We derecognized $550.5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$754.9 million of accounts receivable as of December 31, 2021 and 2020, respectively, under these factoring arrangements. The costs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factoring such accounts receivable on our consolidated results of operations for the years ended December 31, 2021, 2020, and 2019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material.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or more frequently if impairment indicators are present, by first assessing qualitative factors to determine whether it is more likely than not that the fair value is less than its carrying amount. If we conclude it is more likely than not that the fair value is less than the carrying amount, a quantitative test that compares the fair value to its carrying value is performed to determine the amount of any impairment. The changes in goodwill during 2021 and 2020 were primarily related to our acquisitions of Prevail and Dermira, respectively. See Note 3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2021, 2020, and 2019.</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Other Intangibles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57"/>
              <w:spacing w:after="0" w:line="142"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060" w:type="dxa"/>
            <w:vAlign w:val="bottom"/>
          </w:tcPr>
          <w:p>
            <w:pPr>
              <w:jc w:val="center"/>
              <w:ind w:right="137"/>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1040" w:type="dxa"/>
            <w:vAlign w:val="bottom"/>
          </w:tcPr>
          <w:p>
            <w:pPr>
              <w:jc w:val="center"/>
              <w:ind w:right="137"/>
              <w:spacing w:after="0" w:line="142"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06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106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Gross</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3"/>
        </w:trPr>
        <w:tc>
          <w:tcPr>
            <w:tcW w:w="3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7,987.2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(2,229.2)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5,758.0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7,984.0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(1,659.5)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6,324.5</w:t>
            </w:r>
          </w:p>
        </w:tc>
        <w:tc>
          <w:tcPr>
            <w:tcW w:w="0" w:type="dxa"/>
            <w:vAlign w:val="bottom"/>
          </w:tcPr>
          <w:p>
            <w:pPr>
              <w:spacing w:after="0"/>
              <w:rPr>
                <w:sz w:val="1"/>
                <w:szCs w:val="1"/>
                <w:color w:val="auto"/>
              </w:rPr>
            </w:pPr>
          </w:p>
        </w:tc>
      </w:tr>
      <w:tr>
        <w:trPr>
          <w:trHeight w:val="230"/>
        </w:trPr>
        <w:tc>
          <w:tcPr>
            <w:tcW w:w="30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69.4</w:t>
            </w:r>
          </w:p>
        </w:tc>
        <w:tc>
          <w:tcPr>
            <w:tcW w:w="2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(60.5)</w:t>
            </w:r>
          </w:p>
        </w:tc>
        <w:tc>
          <w:tcPr>
            <w:tcW w:w="28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auto"/>
            </w:tcBorders>
            <w:shd w:val="clear" w:color="auto" w:fill="D8D8D8"/>
          </w:tcPr>
          <w:p>
            <w:pPr>
              <w:spacing w:after="0"/>
              <w:rPr>
                <w:sz w:val="19"/>
                <w:szCs w:val="19"/>
                <w:color w:val="auto"/>
              </w:rPr>
            </w:pPr>
          </w:p>
        </w:tc>
        <w:tc>
          <w:tcPr>
            <w:tcW w:w="22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92.8</w:t>
            </w:r>
          </w:p>
        </w:tc>
        <w:tc>
          <w:tcPr>
            <w:tcW w:w="260" w:type="dxa"/>
            <w:vAlign w:val="bottom"/>
            <w:tcBorders>
              <w:bottom w:val="single" w:sz="8" w:color="auto"/>
            </w:tcBorders>
            <w:shd w:val="clear" w:color="auto" w:fill="D8D8D8"/>
          </w:tcPr>
          <w:p>
            <w:pPr>
              <w:spacing w:after="0"/>
              <w:rPr>
                <w:sz w:val="19"/>
                <w:szCs w:val="19"/>
                <w:color w:val="auto"/>
              </w:rPr>
            </w:pPr>
          </w:p>
        </w:tc>
        <w:tc>
          <w:tcPr>
            <w:tcW w:w="1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Borders>
              <w:bottom w:val="single" w:sz="8" w:color="auto"/>
            </w:tcBorders>
            <w:shd w:val="clear" w:color="auto" w:fill="D8D8D8"/>
          </w:tcPr>
          <w:p>
            <w:pPr>
              <w:spacing w:after="0"/>
              <w:rPr>
                <w:sz w:val="19"/>
                <w:szCs w:val="19"/>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8,056.6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(2,289.7)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5,766.9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8,076.8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(1,727.8)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6,349.0</w:t>
            </w:r>
          </w:p>
        </w:tc>
        <w:tc>
          <w:tcPr>
            <w:tcW w:w="0" w:type="dxa"/>
            <w:vAlign w:val="bottom"/>
          </w:tcPr>
          <w:p>
            <w:pPr>
              <w:spacing w:after="0"/>
              <w:rPr>
                <w:sz w:val="1"/>
                <w:szCs w:val="1"/>
                <w:color w:val="auto"/>
              </w:rPr>
            </w:pPr>
          </w:p>
        </w:tc>
      </w:tr>
      <w:tr>
        <w:trPr>
          <w:trHeight w:val="230"/>
        </w:trPr>
        <w:tc>
          <w:tcPr>
            <w:tcW w:w="300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Acquired IPR&amp;D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1,925.0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1,101.0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Other intangibles</w:t>
            </w:r>
          </w:p>
        </w:tc>
        <w:tc>
          <w:tcPr>
            <w:tcW w:w="2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9,981.6</w:t>
            </w:r>
          </w:p>
        </w:tc>
        <w:tc>
          <w:tcPr>
            <w:tcW w:w="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(2,289.7)</w:t>
            </w:r>
          </w:p>
        </w:tc>
        <w:tc>
          <w:tcPr>
            <w:tcW w:w="2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7,691.9</w:t>
            </w:r>
          </w:p>
        </w:tc>
        <w:tc>
          <w:tcPr>
            <w:tcW w:w="100" w:type="dxa"/>
            <w:vAlign w:val="bottom"/>
            <w:tcBorders>
              <w:bottom w:val="single" w:sz="8" w:color="auto"/>
            </w:tcBorders>
            <w:shd w:val="clear" w:color="auto" w:fill="D8D8D8"/>
          </w:tcPr>
          <w:p>
            <w:pPr>
              <w:spacing w:after="0"/>
              <w:rPr>
                <w:sz w:val="20"/>
                <w:szCs w:val="20"/>
                <w:color w:val="auto"/>
              </w:rPr>
            </w:pPr>
          </w:p>
        </w:tc>
        <w:tc>
          <w:tcPr>
            <w:tcW w:w="2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9,177.8</w:t>
            </w:r>
          </w:p>
        </w:tc>
        <w:tc>
          <w:tcPr>
            <w:tcW w:w="2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(1,727.8)</w:t>
            </w:r>
          </w:p>
        </w:tc>
        <w:tc>
          <w:tcPr>
            <w:tcW w:w="2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 finite-lived intangible assets consist primarily of the amortized cost of licensed platform technologies that have alternative future uses in research and development, manufacturing technologies, and customer relationships from business combinations.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Acquired IPR&amp;D consists of the fair values of acquired IPR&amp;D projects acquired in business combination, adjusted for subsequent impairments, if any. The costs of acquired IPR&amp;D projects acquired directly in a transaction other than a business combination are capitalized as other intangible assets if the projects have an alternative future use; otherwise, they are expensed immediately. See Note 3 for acquired IPR&amp;D projects that had no alternative future use.</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analyst expectations,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change in marketed products in 2021 primarily related to the sale of rights to Qbrexza in 2021 as well as the impairment of a Phase I molecule related to a contract-based intangible. See Note 5 for additional information. These decreases were more than offset by the recognition of several milestones related to the COVID-19 therapies that occurred in 2021. The increase in the acquired IPR&amp;D in 2021 is due to the acquisition of Prevail. See Note 3 for additional information regarding intangible assets acquired in a recent business combination and Note 4 for additional information regarding capitalized milestone payments.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Indefinite-lived intangible assets are reviewed for impairment at least annually, or more frequently if impairment indicators are present, by first assessing qualitative factors to determine whether it is more likely than not that the fair value of the asset is less than its carrying amount. If we conclude it is more likely than not that the fair value is less than the carrying amount, a quantitative test that compares the fair value of the intangible asset to its carrying value is performed to determine the amount of any impairment.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3" w:name="page84"/>
    <w:bookmarkEnd w:id="83"/>
    <w:p>
      <w:pPr>
        <w:ind w:right="280"/>
        <w:spacing w:after="0" w:line="256" w:lineRule="auto"/>
        <w:rPr>
          <w:sz w:val="20"/>
          <w:szCs w:val="20"/>
          <w:color w:val="auto"/>
        </w:rPr>
      </w:pPr>
      <w:r>
        <w:rPr>
          <w:rFonts w:ascii="Arial" w:cs="Arial" w:eastAsia="Arial" w:hAnsi="Arial"/>
          <w:sz w:val="18"/>
          <w:szCs w:val="18"/>
          <w:color w:val="auto"/>
        </w:rPr>
        <w:t>Intangible assets with finite lives are capitalized and are amortized primarily to cost of sales over their estimated useful lives, ranging from one to 20 years. As of December 31, 2021, the remaining weighted-average amortization period for finite-lived intangible assets was approximately 14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23"/>
        </w:trPr>
        <w:tc>
          <w:tcPr>
            <w:tcW w:w="4280" w:type="dxa"/>
            <w:vAlign w:val="bottom"/>
            <w:shd w:val="clear" w:color="auto" w:fill="D8D8D8"/>
          </w:tcPr>
          <w:p>
            <w:pPr>
              <w:ind w:left="20"/>
              <w:spacing w:after="0"/>
              <w:rPr>
                <w:sz w:val="20"/>
                <w:szCs w:val="20"/>
                <w:color w:val="auto"/>
              </w:rPr>
            </w:pPr>
            <w:r>
              <w:rPr>
                <w:rFonts w:ascii="Arial" w:cs="Arial" w:eastAsia="Arial" w:hAnsi="Arial"/>
                <w:sz w:val="18"/>
                <w:szCs w:val="18"/>
                <w:color w:val="auto"/>
              </w:rPr>
              <w:t>Amortization expense</w:t>
            </w:r>
          </w:p>
        </w:tc>
        <w:tc>
          <w:tcPr>
            <w:tcW w:w="338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628.8</w:t>
            </w:r>
          </w:p>
        </w:tc>
        <w:tc>
          <w:tcPr>
            <w:tcW w:w="940" w:type="dxa"/>
            <w:vAlign w:val="bottom"/>
            <w:shd w:val="clear" w:color="auto" w:fill="D8D8D8"/>
          </w:tcPr>
          <w:p>
            <w:pPr>
              <w:jc w:val="right"/>
              <w:ind w:right="65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428.2</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225.8</w:t>
            </w:r>
          </w:p>
        </w:tc>
      </w:tr>
    </w:tbl>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2021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2026</w:t>
            </w:r>
          </w:p>
        </w:tc>
      </w:tr>
      <w:tr>
        <w:trPr>
          <w:trHeight w:val="223"/>
        </w:trPr>
        <w:tc>
          <w:tcPr>
            <w:tcW w:w="5520" w:type="dxa"/>
            <w:vAlign w:val="bottom"/>
            <w:shd w:val="clear" w:color="auto" w:fill="D8D8D8"/>
          </w:tcPr>
          <w:p>
            <w:pPr>
              <w:ind w:left="20"/>
              <w:spacing w:after="0"/>
              <w:rPr>
                <w:sz w:val="20"/>
                <w:szCs w:val="20"/>
                <w:color w:val="auto"/>
              </w:rPr>
            </w:pPr>
            <w:r>
              <w:rPr>
                <w:rFonts w:ascii="Arial" w:cs="Arial" w:eastAsia="Arial" w:hAnsi="Arial"/>
                <w:sz w:val="18"/>
                <w:szCs w:val="18"/>
                <w:color w:val="auto"/>
              </w:rPr>
              <w:t>Estimated amortization expense</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570.9</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483.5</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433.7</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DDDDD"/>
          </w:tcPr>
          <w:p>
            <w:pPr>
              <w:jc w:val="right"/>
              <w:ind w:right="19"/>
              <w:spacing w:after="0"/>
              <w:rPr>
                <w:sz w:val="20"/>
                <w:szCs w:val="20"/>
                <w:color w:val="auto"/>
              </w:rPr>
            </w:pPr>
            <w:r>
              <w:rPr>
                <w:rFonts w:ascii="Arial" w:cs="Arial" w:eastAsia="Arial" w:hAnsi="Arial"/>
                <w:sz w:val="18"/>
                <w:szCs w:val="18"/>
                <w:color w:val="auto"/>
              </w:rPr>
              <w:t>417.1</w:t>
            </w:r>
          </w:p>
        </w:tc>
        <w:tc>
          <w:tcPr>
            <w:tcW w:w="32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408.8</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three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240" w:lineRule="exact"/>
        <w:rPr>
          <w:sz w:val="20"/>
          <w:szCs w:val="20"/>
          <w:color w:val="auto"/>
        </w:rPr>
      </w:pPr>
    </w:p>
    <w:p>
      <w:pPr>
        <w:ind w:left="8820"/>
        <w:spacing w:after="0"/>
        <w:tabs>
          <w:tab w:leader="none" w:pos="10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0628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Construction in progress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 accumulated depreciation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258.7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226.8</w:t>
            </w:r>
          </w:p>
        </w:tc>
      </w:tr>
      <w:tr>
        <w:trPr>
          <w:trHeight w:val="229"/>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7,588.1</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7,326.1</w:t>
            </w:r>
          </w:p>
        </w:tc>
      </w:tr>
      <w:tr>
        <w:trPr>
          <w:trHeight w:val="230"/>
        </w:trPr>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8,937.2</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8,560.9</w:t>
            </w:r>
          </w:p>
        </w:tc>
      </w:tr>
      <w:tr>
        <w:trPr>
          <w:trHeight w:val="239"/>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2,177.8</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2,138.8</w:t>
            </w:r>
          </w:p>
        </w:tc>
      </w:tr>
      <w:tr>
        <w:trPr>
          <w:trHeight w:val="214"/>
        </w:trPr>
        <w:tc>
          <w:tcPr>
            <w:tcW w:w="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18,961.8</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18,252.6</w:t>
            </w:r>
          </w:p>
        </w:tc>
      </w:tr>
      <w:tr>
        <w:trPr>
          <w:trHeight w:val="239"/>
        </w:trPr>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(9,976.7)</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(9,570.7)</w:t>
            </w:r>
          </w:p>
        </w:tc>
      </w:tr>
      <w:tr>
        <w:trPr>
          <w:trHeight w:val="230"/>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8,985.1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-762000</wp:posOffset>
            </wp:positionV>
            <wp:extent cx="710628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-471170</wp:posOffset>
            </wp:positionV>
            <wp:extent cx="710628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-170815</wp:posOffset>
            </wp:positionV>
            <wp:extent cx="710628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40"/>
          </w:cols>
          <w:pgMar w:left="320" w:top="12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auto"/>
        </w:rPr>
        <w:t>Depreciation expense related to property and equipment was as follows:</w:t>
      </w:r>
    </w:p>
    <w:p>
      <w:pPr>
        <w:spacing w:after="0" w:line="240" w:lineRule="exact"/>
        <w:rPr>
          <w:sz w:val="20"/>
          <w:szCs w:val="20"/>
          <w:color w:val="auto"/>
        </w:rPr>
      </w:pPr>
    </w:p>
    <w:p>
      <w:pPr>
        <w:ind w:left="8200"/>
        <w:spacing w:after="0"/>
        <w:tabs>
          <w:tab w:leader="none" w:pos="9340" w:val="left"/>
          <w:tab w:leader="none" w:pos="105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7840" w:val="left"/>
          <w:tab w:leader="none" w:pos="8340" w:val="left"/>
          <w:tab w:leader="none" w:pos="9000" w:val="left"/>
          <w:tab w:leader="none" w:pos="9500" w:val="left"/>
          <w:tab w:leader="none" w:pos="10160" w:val="left"/>
          <w:tab w:leader="none" w:pos="1066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787.0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765.2</w:t>
        <w:tab/>
        <w:t>$</w:t>
      </w:r>
      <w:r>
        <w:rPr>
          <w:sz w:val="20"/>
          <w:szCs w:val="20"/>
          <w:color w:val="auto"/>
        </w:rPr>
        <w:tab/>
      </w:r>
      <w:r>
        <w:rPr>
          <w:rFonts w:ascii="Arial" w:cs="Arial" w:eastAsia="Arial" w:hAnsi="Arial"/>
          <w:sz w:val="18"/>
          <w:szCs w:val="18"/>
          <w:color w:val="auto"/>
        </w:rPr>
        <w:t>814.7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costs were not material for the years ended December 31, 2021,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long-lived assets by geographical area: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3"/>
        </w:trPr>
        <w:tc>
          <w:tcPr>
            <w:tcW w:w="8440" w:type="dxa"/>
            <w:vAlign w:val="bottom"/>
            <w:shd w:val="clear" w:color="auto" w:fill="D8D8D8"/>
          </w:tcPr>
          <w:p>
            <w:pPr>
              <w:ind w:left="20"/>
              <w:spacing w:after="0" w:line="223" w:lineRule="exact"/>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U.S. and Puerto Rico</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b w:val="1"/>
                <w:bCs w:val="1"/>
                <w:color w:val="auto"/>
              </w:rPr>
              <w:t>6,620.0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6,113.6</w:t>
            </w:r>
          </w:p>
        </w:tc>
      </w:tr>
      <w:tr>
        <w:trPr>
          <w:trHeight w:val="230"/>
        </w:trPr>
        <w:tc>
          <w:tcPr>
            <w:tcW w:w="84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Ireland</w:t>
            </w:r>
          </w:p>
        </w:tc>
        <w:tc>
          <w:tcPr>
            <w:tcW w:w="300" w:type="dxa"/>
            <w:vAlign w:val="bottom"/>
            <w:shd w:val="clear" w:color="auto" w:fill="D8D8D8"/>
          </w:tcPr>
          <w:p>
            <w:pPr>
              <w:spacing w:after="0"/>
              <w:rPr>
                <w:sz w:val="19"/>
                <w:szCs w:val="19"/>
                <w:color w:val="auto"/>
              </w:rPr>
            </w:pP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1,702.3</w:t>
            </w:r>
          </w:p>
        </w:tc>
        <w:tc>
          <w:tcPr>
            <w:tcW w:w="38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1,786.9</w:t>
            </w:r>
          </w:p>
        </w:tc>
      </w:tr>
      <w:tr>
        <w:trPr>
          <w:trHeight w:val="229"/>
        </w:trPr>
        <w:tc>
          <w:tcPr>
            <w:tcW w:w="844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1,691.0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1,747.7</w:t>
            </w:r>
          </w:p>
        </w:tc>
      </w:tr>
      <w:tr>
        <w:trPr>
          <w:trHeight w:val="230"/>
        </w:trPr>
        <w:tc>
          <w:tcPr>
            <w:tcW w:w="844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Long-lived assets</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10,013.3</w:t>
            </w:r>
          </w:p>
        </w:tc>
        <w:tc>
          <w:tcPr>
            <w:tcW w:w="38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9,648.2</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Long-lived assets consist of property and equipment, net, operating lease assets, and certain other noncurrent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3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determine if an arrangement is a lease at inception. We have leases with terms up to 14 years primarily for corporate offices, research and development facilities, vehicles, and equipment, including some of which have options to extend and/or early-terminate the leases. We determine the lease term by assuming the exercise of any renewal and/or early-termination options that are reasonably assured.</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lease right-of-use assets are presented as other noncurrent assets in our consolidated balance sheets, and the current and long-term portions of operating lease liabilities are included in other current liabilities and other noncurrent liabilities, respectively, in our consolidated balance sheets. Short-term leases, which are deemed at inception to have a lease term of 12 months or less, are not recorded on the consolidated balance sheets.</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Operating lease assets represent our right to use an underlying asset for the lease term and operating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w:t>
      </w:r>
    </w:p>
    <w:p>
      <w:pPr>
        <w:spacing w:after="0" w:line="96"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Lease expense for operating lease assets, which is recognized on a straight-line basis over the lease term, was $159.4 million, $154.6 million, and $172.8 million during the years ended December 31, 2021, 2020, and 2019, respectively. Variable lease payments, which represent non-lease components such as maintenance, insurance and taxes, and which vary due to changes in facts or circumstances occurring after the commencement date other than the passage of time, are expensed in the period in which the payment obligation is incurred and were not material during the years ended December 31, 2021, 2020, and 2019. Short-term lease expense was not material during the years ended December 31, 2021, 2020, and 2019.</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Supplemental balance sheet information related to operating leases as of December 31, 2021 and 2020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2020</w:t>
            </w:r>
          </w:p>
        </w:tc>
      </w:tr>
      <w:tr>
        <w:trPr>
          <w:trHeight w:val="223"/>
        </w:trPr>
        <w:tc>
          <w:tcPr>
            <w:tcW w:w="8580" w:type="dxa"/>
            <w:vAlign w:val="bottom"/>
            <w:shd w:val="clear" w:color="auto" w:fill="D8D8D8"/>
          </w:tcPr>
          <w:p>
            <w:pPr>
              <w:ind w:left="20"/>
              <w:spacing w:after="0"/>
              <w:rPr>
                <w:sz w:val="20"/>
                <w:szCs w:val="20"/>
                <w:color w:val="auto"/>
              </w:rPr>
            </w:pPr>
            <w:r>
              <w:rPr>
                <w:rFonts w:ascii="Arial" w:cs="Arial" w:eastAsia="Arial" w:hAnsi="Arial"/>
                <w:sz w:val="18"/>
                <w:szCs w:val="18"/>
                <w:color w:val="auto"/>
              </w:rPr>
              <w:t>Weighted-average remaining lease term</w:t>
            </w:r>
          </w:p>
        </w:tc>
        <w:tc>
          <w:tcPr>
            <w:tcW w:w="1120" w:type="dxa"/>
            <w:vAlign w:val="bottom"/>
            <w:shd w:val="clear" w:color="auto" w:fill="D8D8D8"/>
          </w:tcPr>
          <w:p>
            <w:pPr>
              <w:jc w:val="right"/>
              <w:ind w:right="310"/>
              <w:spacing w:after="0"/>
              <w:rPr>
                <w:sz w:val="20"/>
                <w:szCs w:val="20"/>
                <w:color w:val="auto"/>
              </w:rPr>
            </w:pPr>
            <w:r>
              <w:rPr>
                <w:rFonts w:ascii="Arial" w:cs="Arial" w:eastAsia="Arial" w:hAnsi="Arial"/>
                <w:sz w:val="18"/>
                <w:szCs w:val="18"/>
                <w:b w:val="1"/>
                <w:bCs w:val="1"/>
                <w:color w:val="auto"/>
              </w:rPr>
              <w:t>7 years</w:t>
            </w:r>
          </w:p>
        </w:tc>
        <w:tc>
          <w:tcPr>
            <w:tcW w:w="15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 years</w:t>
            </w:r>
          </w:p>
        </w:tc>
      </w:tr>
      <w:tr>
        <w:trPr>
          <w:trHeight w:val="239"/>
        </w:trPr>
        <w:tc>
          <w:tcPr>
            <w:tcW w:w="85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3.0 %</w:t>
            </w:r>
          </w:p>
        </w:tc>
        <w:tc>
          <w:tcPr>
            <w:tcW w:w="1540" w:type="dxa"/>
            <w:vAlign w:val="bottom"/>
          </w:tcPr>
          <w:p>
            <w:pPr>
              <w:jc w:val="right"/>
              <w:spacing w:after="0"/>
              <w:rPr>
                <w:sz w:val="20"/>
                <w:szCs w:val="20"/>
                <w:color w:val="auto"/>
              </w:rPr>
            </w:pPr>
            <w:r>
              <w:rPr>
                <w:rFonts w:ascii="Arial" w:cs="Arial" w:eastAsia="Arial" w:hAnsi="Arial"/>
                <w:sz w:val="18"/>
                <w:szCs w:val="18"/>
                <w:color w:val="auto"/>
              </w:rPr>
              <w:t>3.3 %</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during the years ended December 31, 2021, 2020, and 2019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156.7</w:t>
            </w:r>
          </w:p>
        </w:tc>
        <w:tc>
          <w:tcPr>
            <w:tcW w:w="420" w:type="dxa"/>
            <w:vAlign w:val="bottom"/>
            <w:shd w:val="clear" w:color="auto" w:fill="D8D8D8"/>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160.9</w:t>
            </w:r>
          </w:p>
        </w:tc>
        <w:tc>
          <w:tcPr>
            <w:tcW w:w="44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188"/>
        </w:trPr>
        <w:tc>
          <w:tcPr>
            <w:tcW w:w="5780" w:type="dxa"/>
            <w:vAlign w:val="bottom"/>
          </w:tcPr>
          <w:p>
            <w:pPr>
              <w:ind w:left="20"/>
              <w:spacing w:after="0" w:line="189" w:lineRule="exact"/>
              <w:rPr>
                <w:sz w:val="20"/>
                <w:szCs w:val="20"/>
                <w:color w:val="auto"/>
              </w:rPr>
            </w:pPr>
            <w:r>
              <w:rPr>
                <w:rFonts w:ascii="Arial" w:cs="Arial" w:eastAsia="Arial" w:hAnsi="Arial"/>
                <w:sz w:val="18"/>
                <w:szCs w:val="18"/>
                <w:color w:val="auto"/>
              </w:rPr>
              <w:t>Right-of-use assets obtained in exchange for new operating lease</w:t>
            </w:r>
          </w:p>
        </w:tc>
        <w:tc>
          <w:tcPr>
            <w:tcW w:w="11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163.5</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136.7</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annual minimum lease payments of our operating lease liabilities as of December 31, 2021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6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2022</w:t>
            </w:r>
          </w:p>
        </w:tc>
        <w:tc>
          <w:tcPr>
            <w:tcW w:w="1080" w:type="dxa"/>
            <w:vAlign w:val="bottom"/>
            <w:tcBorders>
              <w:top w:val="single" w:sz="8" w:color="auto"/>
            </w:tcBorders>
            <w:shd w:val="clear" w:color="auto" w:fill="D8D8D8"/>
          </w:tcPr>
          <w:p>
            <w:pPr>
              <w:jc w:val="right"/>
              <w:ind w:right="8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148.4</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95.4</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30"/>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2026</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86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After 2026</w:t>
            </w: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r>
      <w:tr>
        <w:trPr>
          <w:trHeight w:val="223"/>
        </w:trPr>
        <w:tc>
          <w:tcPr>
            <w:tcW w:w="8660" w:type="dxa"/>
            <w:vAlign w:val="bottom"/>
            <w:shd w:val="clear" w:color="auto" w:fill="D8D8D8"/>
          </w:tcPr>
          <w:p>
            <w:pPr>
              <w:ind w:left="20"/>
              <w:spacing w:after="0"/>
              <w:rPr>
                <w:sz w:val="20"/>
                <w:szCs w:val="20"/>
                <w:color w:val="auto"/>
              </w:rPr>
            </w:pPr>
            <w:r>
              <w:rPr>
                <w:rFonts w:ascii="Arial" w:cs="Arial" w:eastAsia="Arial" w:hAnsi="Arial"/>
                <w:sz w:val="18"/>
                <w:szCs w:val="18"/>
                <w:color w:val="auto"/>
              </w:rPr>
              <w:t>Total lease payments</w:t>
            </w:r>
          </w:p>
        </w:tc>
        <w:tc>
          <w:tcPr>
            <w:tcW w:w="1080" w:type="dxa"/>
            <w:vAlign w:val="bottom"/>
            <w:shd w:val="clear" w:color="auto" w:fill="D8D8D8"/>
          </w:tcPr>
          <w:p>
            <w:pPr>
              <w:spacing w:after="0"/>
              <w:rPr>
                <w:sz w:val="19"/>
                <w:szCs w:val="19"/>
                <w:color w:val="auto"/>
              </w:rPr>
            </w:pPr>
          </w:p>
        </w:tc>
        <w:tc>
          <w:tcPr>
            <w:tcW w:w="15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775.8</w:t>
            </w:r>
          </w:p>
        </w:tc>
      </w:tr>
      <w:tr>
        <w:trPr>
          <w:trHeight w:val="229"/>
        </w:trPr>
        <w:tc>
          <w:tcPr>
            <w:tcW w:w="86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30"/>
        </w:trPr>
        <w:tc>
          <w:tcPr>
            <w:tcW w:w="86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D8D8D8"/>
          </w:tcPr>
          <w:p>
            <w:pPr>
              <w:jc w:val="right"/>
              <w:ind w:right="8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685.7</w:t>
            </w: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Finance leases are included in property and equipment, short-term borrowings and current maturities of long-term debt, and long-term debt in our consolidated balance sheets. Finance leases are not material to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Borrowings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3"/>
        </w:trPr>
        <w:tc>
          <w:tcPr>
            <w:tcW w:w="8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notes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16,741.2</w:t>
            </w:r>
          </w:p>
        </w:tc>
        <w:tc>
          <w:tcPr>
            <w:tcW w:w="38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16,348.7</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Other long-term debt</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8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Unamortized debt issuance costs</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(84.2)</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(89.1)</w:t>
            </w:r>
          </w:p>
        </w:tc>
      </w:tr>
      <w:tr>
        <w:trPr>
          <w:trHeight w:val="229"/>
        </w:trPr>
        <w:tc>
          <w:tcPr>
            <w:tcW w:w="8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Fair value adjustment on hedged long-term notes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216.9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r>
      <w:tr>
        <w:trPr>
          <w:trHeight w:val="223"/>
        </w:trPr>
        <w:tc>
          <w:tcPr>
            <w:tcW w:w="8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16,884.7</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16,595.3</w:t>
            </w:r>
          </w:p>
        </w:tc>
      </w:tr>
      <w:tr>
        <w:trPr>
          <w:trHeight w:val="230"/>
        </w:trPr>
        <w:tc>
          <w:tcPr>
            <w:tcW w:w="8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18"/>
                <w:szCs w:val="18"/>
                <w:b w:val="1"/>
                <w:bCs w:val="1"/>
                <w:color w:val="auto"/>
              </w:rPr>
              <w:t>15,346.4</w:t>
            </w:r>
          </w:p>
        </w:tc>
        <w:tc>
          <w:tcPr>
            <w:tcW w:w="38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16,586.6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following table summarizes long-term notes at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r>
      <w:tr>
        <w:trPr>
          <w:trHeight w:val="256"/>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2.35% notes due 2022</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750.0</w:t>
            </w:r>
          </w:p>
        </w:tc>
        <w:tc>
          <w:tcPr>
            <w:tcW w:w="4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750.0</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color w:val="auto"/>
              </w:rPr>
              <w:t>3.00% notes due 2022</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99.2</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57"/>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1.00% euro denominated notes due 2022</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678.2</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737.9</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0.15% Swiss franc denominated notes due 2024</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654.7</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679.7</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7.125% notes due 2025</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217.5</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229.7</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2.75% notes due 2025</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560.6</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560.6</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1.625% euro denominated notes due 2026</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847.7</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922.4</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5.5% notes due 2027</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364.3</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377.5</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3.1% notes due 2027</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401.5</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401.5</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0.45% Swiss franc denominated notes due 2028</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436.4</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453.2</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3.375% notes due 2029</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930.6</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1,150.0</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0.42% Japanese yen denominated notes due 2029</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199.0</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2.125% euro denominated notes due 2030</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847.7</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922.4</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0.625% euro denominated notes due 2031</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678.2</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737.9</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0.50% euro denominated notes due 2033</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678.2</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0.56% Japanese yen denominated notes due 2034</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80.5</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63"/>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6.77% notes due 2036</w:t>
            </w:r>
          </w:p>
        </w:tc>
        <w:tc>
          <w:tcPr>
            <w:tcW w:w="440" w:type="dxa"/>
            <w:vAlign w:val="bottom"/>
            <w:shd w:val="clear" w:color="auto" w:fill="D4D4D4"/>
          </w:tcPr>
          <w:p>
            <w:pPr>
              <w:spacing w:after="0"/>
              <w:rPr>
                <w:sz w:val="22"/>
                <w:szCs w:val="22"/>
                <w:color w:val="auto"/>
              </w:rPr>
            </w:pPr>
          </w:p>
        </w:tc>
        <w:tc>
          <w:tcPr>
            <w:tcW w:w="13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158.6</w:t>
            </w:r>
          </w:p>
        </w:tc>
        <w:tc>
          <w:tcPr>
            <w:tcW w:w="40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174.4</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5.55% notes due 2037</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444.7</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476.2</w:t>
            </w:r>
          </w:p>
        </w:tc>
      </w:tr>
      <w:tr>
        <w:trPr>
          <w:trHeight w:val="263"/>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5.95% notes due 2037</w:t>
            </w:r>
          </w:p>
        </w:tc>
        <w:tc>
          <w:tcPr>
            <w:tcW w:w="440" w:type="dxa"/>
            <w:vAlign w:val="bottom"/>
            <w:shd w:val="clear" w:color="auto" w:fill="D4D4D4"/>
          </w:tcPr>
          <w:p>
            <w:pPr>
              <w:spacing w:after="0"/>
              <w:rPr>
                <w:sz w:val="22"/>
                <w:szCs w:val="22"/>
                <w:color w:val="auto"/>
              </w:rPr>
            </w:pPr>
          </w:p>
        </w:tc>
        <w:tc>
          <w:tcPr>
            <w:tcW w:w="13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266.8</w:t>
            </w:r>
          </w:p>
        </w:tc>
        <w:tc>
          <w:tcPr>
            <w:tcW w:w="40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284.1</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3.875% notes due 2039</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240.3</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360.7</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1.625% British pound denominated notes due 2043</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337.1</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4.65% notes due 2044</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3.7% notes due 2045</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386.8</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412.5</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3.95% notes due 2047</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347.0</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436.1</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3.95% notes due 2049</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958.2</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1,500.0</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1.70% euro denominated notes due 2049</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1,130.3</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1,229.9</w:t>
            </w:r>
          </w:p>
        </w:tc>
      </w:tr>
      <w:tr>
        <w:trPr>
          <w:trHeight w:val="26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0.97% Japanese yen denominated notes due 2049</w:t>
            </w:r>
          </w:p>
        </w:tc>
        <w:tc>
          <w:tcPr>
            <w:tcW w:w="440" w:type="dxa"/>
            <w:vAlign w:val="bottom"/>
            <w:shd w:val="clear" w:color="auto" w:fill="DBDBDB"/>
          </w:tcPr>
          <w:p>
            <w:pPr>
              <w:spacing w:after="0"/>
              <w:rPr>
                <w:sz w:val="22"/>
                <w:szCs w:val="22"/>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66.3</w:t>
            </w:r>
          </w:p>
        </w:tc>
        <w:tc>
          <w:tcPr>
            <w:tcW w:w="40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74.1</w:t>
            </w: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2.25% notes due 2050</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1,250.0</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57"/>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1.125% euro denominated notes due 2051</w:t>
            </w:r>
          </w:p>
        </w:tc>
        <w:tc>
          <w:tcPr>
            <w:tcW w:w="440" w:type="dxa"/>
            <w:vAlign w:val="bottom"/>
            <w:shd w:val="clear" w:color="auto" w:fill="D4D4D4"/>
          </w:tcPr>
          <w:p>
            <w:pPr>
              <w:spacing w:after="0"/>
              <w:rPr>
                <w:sz w:val="22"/>
                <w:szCs w:val="22"/>
                <w:color w:val="auto"/>
              </w:rPr>
            </w:pPr>
          </w:p>
        </w:tc>
        <w:tc>
          <w:tcPr>
            <w:tcW w:w="13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565.2</w:t>
            </w:r>
          </w:p>
        </w:tc>
        <w:tc>
          <w:tcPr>
            <w:tcW w:w="40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4.15% notes due 2059</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591.3</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7720" w:type="dxa"/>
            <w:vAlign w:val="bottom"/>
            <w:shd w:val="clear" w:color="auto" w:fill="D4D4D4"/>
          </w:tcPr>
          <w:p>
            <w:pPr>
              <w:ind w:left="20"/>
              <w:spacing w:after="0"/>
              <w:rPr>
                <w:sz w:val="20"/>
                <w:szCs w:val="20"/>
                <w:color w:val="auto"/>
              </w:rPr>
            </w:pPr>
            <w:r>
              <w:rPr>
                <w:rFonts w:ascii="Arial" w:cs="Arial" w:eastAsia="Arial" w:hAnsi="Arial"/>
                <w:sz w:val="18"/>
                <w:szCs w:val="18"/>
                <w:color w:val="auto"/>
              </w:rPr>
              <w:t>2.50% notes due 2060</w:t>
            </w:r>
          </w:p>
        </w:tc>
        <w:tc>
          <w:tcPr>
            <w:tcW w:w="440" w:type="dxa"/>
            <w:vAlign w:val="bottom"/>
            <w:shd w:val="clear" w:color="auto" w:fill="D4D4D4"/>
          </w:tcPr>
          <w:p>
            <w:pPr>
              <w:spacing w:after="0"/>
              <w:rPr>
                <w:sz w:val="22"/>
                <w:szCs w:val="22"/>
                <w:color w:val="auto"/>
              </w:rPr>
            </w:pPr>
          </w:p>
        </w:tc>
        <w:tc>
          <w:tcPr>
            <w:tcW w:w="136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850.0</w:t>
            </w:r>
          </w:p>
        </w:tc>
        <w:tc>
          <w:tcPr>
            <w:tcW w:w="400" w:type="dxa"/>
            <w:vAlign w:val="bottom"/>
            <w:shd w:val="clear" w:color="auto" w:fill="D4D4D4"/>
          </w:tcPr>
          <w:p>
            <w:pPr>
              <w:spacing w:after="0"/>
              <w:rPr>
                <w:sz w:val="22"/>
                <w:szCs w:val="22"/>
                <w:color w:val="auto"/>
              </w:rPr>
            </w:pPr>
          </w:p>
        </w:tc>
        <w:tc>
          <w:tcPr>
            <w:tcW w:w="13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850.0</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1.375% euro denominated notes due 2061</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791.2</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7720" w:type="dxa"/>
            <w:vAlign w:val="bottom"/>
            <w:shd w:val="clear" w:color="auto" w:fill="DDDDDD"/>
          </w:tcPr>
          <w:p>
            <w:pPr>
              <w:ind w:left="20"/>
              <w:spacing w:after="0"/>
              <w:rPr>
                <w:sz w:val="20"/>
                <w:szCs w:val="20"/>
                <w:color w:val="auto"/>
              </w:rPr>
            </w:pPr>
            <w:r>
              <w:rPr>
                <w:rFonts w:ascii="Arial" w:cs="Arial" w:eastAsia="Arial" w:hAnsi="Arial"/>
                <w:sz w:val="18"/>
                <w:szCs w:val="18"/>
                <w:color w:val="auto"/>
              </w:rPr>
              <w:t>Unamortized note discounts</w:t>
            </w:r>
          </w:p>
        </w:tc>
        <w:tc>
          <w:tcPr>
            <w:tcW w:w="440" w:type="dxa"/>
            <w:vAlign w:val="bottom"/>
            <w:tcBorders>
              <w:bottom w:val="single" w:sz="8" w:color="auto"/>
            </w:tcBorders>
            <w:shd w:val="clear" w:color="auto" w:fill="DDDDDD"/>
          </w:tcPr>
          <w:p>
            <w:pPr>
              <w:spacing w:after="0"/>
              <w:rPr>
                <w:sz w:val="22"/>
                <w:szCs w:val="22"/>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(105.2)</w:t>
            </w:r>
          </w:p>
        </w:tc>
        <w:tc>
          <w:tcPr>
            <w:tcW w:w="40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(76.7)</w:t>
            </w:r>
          </w:p>
        </w:tc>
      </w:tr>
      <w:tr>
        <w:trPr>
          <w:trHeight w:val="264"/>
        </w:trPr>
        <w:tc>
          <w:tcPr>
            <w:tcW w:w="7720" w:type="dxa"/>
            <w:vAlign w:val="bottom"/>
          </w:tcPr>
          <w:p>
            <w:pPr>
              <w:ind w:left="20"/>
              <w:spacing w:after="0"/>
              <w:rPr>
                <w:sz w:val="20"/>
                <w:szCs w:val="20"/>
                <w:color w:val="auto"/>
              </w:rPr>
            </w:pPr>
            <w:r>
              <w:rPr>
                <w:rFonts w:ascii="Arial" w:cs="Arial" w:eastAsia="Arial" w:hAnsi="Arial"/>
                <w:sz w:val="18"/>
                <w:szCs w:val="18"/>
                <w:color w:val="auto"/>
              </w:rPr>
              <w:t>Total long-term notes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16,741.2</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16,348.7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effective borrowing rate for each issuance of the long term-notes approximates the stated interest rate.</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December 31, 2021, we had a total of $5.26 billion of unused committed bank credit facilities, which consisted primarily of a $3.00 billion credit facility that expires in December 2026 and a $2.00 billion 364-day facility that expires in November 2022, both of which are available to support our commercial paper program. We have not drawn against the $3.00 billion and $2.00 billion facilities as of December 31, 2021. Of the remaining committed bank credit facilities, the outstanding balances as of December 31, 2021 and 2020 were not material. Compensating balances and commitment fees are not material, and there are no conditions that are probable of occurring under which the lines may be withdrawn.</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7" w:name="page88"/>
    <w:bookmarkEnd w:id="87"/>
    <w:p>
      <w:pPr>
        <w:ind w:right="80"/>
        <w:spacing w:after="0" w:line="256" w:lineRule="auto"/>
        <w:rPr>
          <w:sz w:val="20"/>
          <w:szCs w:val="20"/>
          <w:color w:val="auto"/>
        </w:rPr>
      </w:pPr>
      <w:r>
        <w:rPr>
          <w:rFonts w:ascii="Arial" w:cs="Arial" w:eastAsia="Arial" w:hAnsi="Arial"/>
          <w:sz w:val="18"/>
          <w:szCs w:val="18"/>
          <w:color w:val="auto"/>
        </w:rPr>
        <w:t>In September 2021, we issued euro-denominated notes consisting of €600.0 million of 0.50 percent fixed-rate notes due in September 2033, with interest to be paid annually. The net proceeds from the offering have been, and will continue to be, used to fund, in whole or in part, eligible projects designed to advance one or more of our environmental, social, and governance objectives.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2021, we issued euro-denominated notes consisting of €500.0 million of 1.125 percent fixed-rate notes due in September 2051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€700.0 million of 1.375 percent fixed-rate notes due in September 2061, with interest to be paid annually, and British pound-denominated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 consisting of £250.0 million of 1.625 percent fixed-rate notes due in September 2043, with interest to be paid annually. We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 billion of the net cash proceeds from the offering to purchase and redeem certain higher interest rate U.S. dollar-denominated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an aggregate principal amount of $1.50 billion, resulting in a debt extinguishment loss of $405.2 million. This loss was included in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expense in our consolidated statement of operations for the year ended December 31, 2021. The $1.50 billion principal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higher interest rate U.S. dollar-denominated notes that were redeemed primarily included $541.8 million of 3.95 percent notes due 2049,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$408.7 million of 4.15 percent notes due 2059, and $219.4 million of 3.375 percent notes due 2029. We used the remaining net proceeds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the offering to prefund certain 2022 debt maturities and for general corporate purposes.</w:t>
      </w:r>
    </w:p>
    <w:p>
      <w:pPr>
        <w:spacing w:after="0" w:line="11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May 2020, we issued $1.00 billion of 2.25 percent fixed-rate notes due in May 2050, with interest to be paid semi-annually. We used the net cash proceeds from the offering of $988.6 million for general corporate purposes, including the repayment of outstanding commercial paper.</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August 2020, we issued $ 850.0 million of 2.50 percent fixed-rate notes due in September 2060 and an additional $250.0 million of our 2.25 percent fixed-rate notes due in May 2050, with interest to be paid semi-annually. We used the net cash proceeds from the offering of $1.07 billion for general corporate purposes, including the repayment of outstanding commercial paper.</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February 2019, we issued $1.15 billion of 3.375 percent fixed-rate notes due in March 2029, $850.0 million of 3.875 percent fixed-rate notes due in March 2039, $1.50 billion of 3.95 percent fixed-rate notes due in March 2049, and $1.00 billion of 4.15 percent fixed-rate notes due in March 2059, with interest to be paid semi-annually. We used the net cash proceeds of $4.45 billion from the offering to repay commercial paper that was issued in connection with the acquisition of Loxo and for general corporate purposes.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November 2019, we issued euro-denominated notes consisting of €600.0 million of 0.625 percent fixed-notes due November 2031 and €1.00 billion of 1.70 percent fixed-rate notes due in November 2049 with interest to be paid annually. We paid $2.27 billion, comprised of $1.75 billion of net cash proceeds from the offering and proceeds from commercial paper, to purchase and redeem certain higher interest rate U.S. dollar denominated notes with an aggregate principal amount of $2.00 billion and a net carrying value of $2.01 billion, resulting in a debt extinguishment loss of $252.5 million. This loss was included in other-net, (income) expense in our consolidated statement of operations during the year ended December 31, 2019.</w:t>
      </w:r>
    </w:p>
    <w:p>
      <w:pPr>
        <w:spacing w:after="0" w:line="14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November 2019, we issued Japanese Yen-denominated notes consisting of ¥22.92 billion of 0.42 percent fixed-rate notes due in November 2029, ¥9.28 billion of 0.56 percent fixed-rate notes due in November 2034, and ¥7.64 billion of 0.97 percent fixed-rate notes due in November 2049, with interest to be paid semi-annually. We used the net cash proceeds from the offering of $356.6 million for general corporate purposes, including the repayment of outstanding commercial paper.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2026</w:t>
            </w:r>
          </w:p>
        </w:tc>
      </w:tr>
      <w:tr>
        <w:trPr>
          <w:trHeight w:val="223"/>
        </w:trPr>
        <w:tc>
          <w:tcPr>
            <w:tcW w:w="5520" w:type="dxa"/>
            <w:vAlign w:val="bottom"/>
            <w:shd w:val="clear" w:color="auto" w:fill="D8D8D8"/>
          </w:tcPr>
          <w:p>
            <w:pPr>
              <w:ind w:left="20"/>
              <w:spacing w:after="0"/>
              <w:rPr>
                <w:sz w:val="20"/>
                <w:szCs w:val="20"/>
                <w:color w:val="auto"/>
              </w:rPr>
            </w:pPr>
            <w:r>
              <w:rPr>
                <w:rFonts w:ascii="Arial" w:cs="Arial" w:eastAsia="Arial" w:hAnsi="Arial"/>
                <w:sz w:val="18"/>
                <w:szCs w:val="18"/>
                <w:color w:val="auto"/>
              </w:rPr>
              <w:t>Maturities on long-term debt</w:t>
            </w:r>
          </w:p>
        </w:tc>
        <w:tc>
          <w:tcPr>
            <w:tcW w:w="108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   1,531.5</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3.3</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657.1</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ind w:right="19"/>
              <w:spacing w:after="0"/>
              <w:rPr>
                <w:sz w:val="20"/>
                <w:szCs w:val="20"/>
                <w:color w:val="auto"/>
              </w:rPr>
            </w:pPr>
            <w:r>
              <w:rPr>
                <w:rFonts w:ascii="Arial" w:cs="Arial" w:eastAsia="Arial" w:hAnsi="Arial"/>
                <w:sz w:val="18"/>
                <w:szCs w:val="18"/>
                <w:color w:val="auto"/>
              </w:rPr>
              <w:t>778.9</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847.9</w:t>
            </w:r>
          </w:p>
        </w:tc>
      </w:tr>
    </w:tbl>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converted approximately 13 percent of our long-term fixed-rate notes to floating rates through the use of interest rate swaps. The weighted-average effective borrowing rates based on long-term debt obligations and interest rates at December 31, 2021 and 2020, including the effects of interest rate swaps for hedged debt obligations, were 2.27 percent and 2.61 percent,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23"/>
        </w:trPr>
        <w:tc>
          <w:tcPr>
            <w:tcW w:w="68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payments for interest on borrowings</w:t>
            </w:r>
          </w:p>
        </w:tc>
        <w:tc>
          <w:tcPr>
            <w:tcW w:w="860" w:type="dxa"/>
            <w:vAlign w:val="bottom"/>
            <w:shd w:val="clear" w:color="auto" w:fill="DBDBDB"/>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7"/>
              </w:rPr>
              <w:t>338.0</w:t>
            </w:r>
          </w:p>
        </w:tc>
        <w:tc>
          <w:tcPr>
            <w:tcW w:w="98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w w:val="97"/>
              </w:rPr>
              <w:t>345.8</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305.5</w:t>
            </w:r>
          </w:p>
        </w:tc>
      </w:tr>
    </w:tbl>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3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relative value awards (RVAs),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RVA, and RSU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23"/>
        </w:trPr>
        <w:tc>
          <w:tcPr>
            <w:tcW w:w="4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Stock-based compensation expense</w:t>
            </w:r>
          </w:p>
        </w:tc>
        <w:tc>
          <w:tcPr>
            <w:tcW w:w="280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w w:val="97"/>
              </w:rPr>
              <w:t>342.8</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308.1</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306.8</w:t>
            </w:r>
          </w:p>
        </w:tc>
      </w:tr>
      <w:tr>
        <w:trPr>
          <w:trHeight w:val="239"/>
        </w:trPr>
        <w:tc>
          <w:tcPr>
            <w:tcW w:w="486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8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72.0</w:t>
            </w:r>
          </w:p>
        </w:tc>
        <w:tc>
          <w:tcPr>
            <w:tcW w:w="40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64.7</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w:t>
            </w:r>
          </w:p>
        </w:tc>
      </w:tr>
    </w:tbl>
    <w:p>
      <w:pPr>
        <w:spacing w:after="0" w:line="9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At December 31, 2021, stock-based compensation awards may be granted under the 2002 Lilly Stock Plan for not more than 50.6 million additional shares.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 Program</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2021, 2020, and 2019 were $198.57, $137.33, and $112.09, respectively. The number of shares ultimately issued for the PA program is dependent upon the EPS achieved during the vesting period. Pursuant to this program, approximately 0.7 million shares, 1.1 million shares, and 1.2 million shares were issued during the years ended December 31, 2021, 2020, and 2019, respectively. Approximately 0.7 million shares are expected to be issued in 2022. As of December 31, 2021, the total remaining unrecognized compensation cost related to nonvested PAs was $66.1 million, which will be amortized over the weighted-average remaining requisite service period of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2021, 2020, and 2019 were $230.19, $139.14, and $95.01, respectively, determined using the following assumptions: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(Percents)</w:t>
            </w:r>
          </w:p>
        </w:tc>
        <w:tc>
          <w:tcPr>
            <w:tcW w:w="3800" w:type="dxa"/>
            <w:vAlign w:val="bottom"/>
            <w:tcBorders>
              <w:bottom w:val="single" w:sz="8" w:color="auto"/>
            </w:tcBorders>
          </w:tcPr>
          <w:p>
            <w:pPr>
              <w:jc w:val="right"/>
              <w:ind w:right="935"/>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bottom w:val="single" w:sz="8" w:color="auto"/>
            </w:tcBorders>
          </w:tcPr>
          <w:p>
            <w:pPr>
              <w:jc w:val="right"/>
              <w:ind w:right="935"/>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3"/>
        </w:trPr>
        <w:tc>
          <w:tcPr>
            <w:tcW w:w="4360" w:type="dxa"/>
            <w:vAlign w:val="bottom"/>
            <w:shd w:val="clear" w:color="auto" w:fill="D8D8D8"/>
          </w:tcPr>
          <w:p>
            <w:pPr>
              <w:ind w:left="20"/>
              <w:spacing w:after="0"/>
              <w:rPr>
                <w:sz w:val="20"/>
                <w:szCs w:val="20"/>
                <w:color w:val="auto"/>
              </w:rPr>
            </w:pPr>
            <w:r>
              <w:rPr>
                <w:rFonts w:ascii="Arial" w:cs="Arial" w:eastAsia="Arial" w:hAnsi="Arial"/>
                <w:sz w:val="18"/>
                <w:szCs w:val="18"/>
                <w:color w:val="auto"/>
              </w:rPr>
              <w:t>Expected dividend yield</w:t>
            </w:r>
          </w:p>
        </w:tc>
        <w:tc>
          <w:tcPr>
            <w:tcW w:w="3800" w:type="dxa"/>
            <w:vAlign w:val="bottom"/>
            <w:shd w:val="clear" w:color="auto" w:fill="D8D8D8"/>
          </w:tcPr>
          <w:p>
            <w:pPr>
              <w:jc w:val="right"/>
              <w:ind w:right="315"/>
              <w:spacing w:after="0"/>
              <w:rPr>
                <w:sz w:val="20"/>
                <w:szCs w:val="20"/>
                <w:color w:val="auto"/>
              </w:rPr>
            </w:pPr>
            <w:r>
              <w:rPr>
                <w:rFonts w:ascii="Arial" w:cs="Arial" w:eastAsia="Arial" w:hAnsi="Arial"/>
                <w:sz w:val="18"/>
                <w:szCs w:val="18"/>
                <w:b w:val="1"/>
                <w:bCs w:val="1"/>
                <w:color w:val="auto"/>
              </w:rPr>
              <w:t>2.50 %</w:t>
            </w:r>
          </w:p>
        </w:tc>
        <w:tc>
          <w:tcPr>
            <w:tcW w:w="1720" w:type="dxa"/>
            <w:vAlign w:val="bottom"/>
            <w:shd w:val="clear" w:color="auto" w:fill="D8D8D8"/>
          </w:tcPr>
          <w:p>
            <w:pPr>
              <w:jc w:val="right"/>
              <w:ind w:right="295"/>
              <w:spacing w:after="0"/>
              <w:rPr>
                <w:sz w:val="20"/>
                <w:szCs w:val="20"/>
                <w:color w:val="auto"/>
              </w:rPr>
            </w:pPr>
            <w:r>
              <w:rPr>
                <w:rFonts w:ascii="Arial" w:cs="Arial" w:eastAsia="Arial" w:hAnsi="Arial"/>
                <w:sz w:val="18"/>
                <w:szCs w:val="18"/>
                <w:color w:val="auto"/>
              </w:rPr>
              <w:t>2.50 %</w:t>
            </w:r>
          </w:p>
        </w:tc>
        <w:tc>
          <w:tcPr>
            <w:tcW w:w="13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00" w:type="dxa"/>
            <w:vAlign w:val="bottom"/>
          </w:tcPr>
          <w:p>
            <w:pPr>
              <w:jc w:val="right"/>
              <w:ind w:right="535"/>
              <w:spacing w:after="0"/>
              <w:rPr>
                <w:sz w:val="20"/>
                <w:szCs w:val="20"/>
                <w:color w:val="auto"/>
              </w:rPr>
            </w:pPr>
            <w:r>
              <w:rPr>
                <w:rFonts w:ascii="Arial" w:cs="Arial" w:eastAsia="Arial" w:hAnsi="Arial"/>
                <w:sz w:val="18"/>
                <w:szCs w:val="18"/>
                <w:b w:val="1"/>
                <w:bCs w:val="1"/>
                <w:color w:val="auto"/>
              </w:rPr>
              <w:t>0.19</w:t>
            </w:r>
          </w:p>
        </w:tc>
        <w:tc>
          <w:tcPr>
            <w:tcW w:w="1720" w:type="dxa"/>
            <w:vAlign w:val="bottom"/>
          </w:tcPr>
          <w:p>
            <w:pPr>
              <w:jc w:val="right"/>
              <w:ind w:right="515"/>
              <w:spacing w:after="0"/>
              <w:rPr>
                <w:sz w:val="20"/>
                <w:szCs w:val="20"/>
                <w:color w:val="auto"/>
              </w:rPr>
            </w:pPr>
            <w:r>
              <w:rPr>
                <w:rFonts w:ascii="Arial" w:cs="Arial" w:eastAsia="Arial" w:hAnsi="Arial"/>
                <w:sz w:val="18"/>
                <w:szCs w:val="18"/>
                <w:color w:val="auto"/>
              </w:rPr>
              <w:t>1.38</w:t>
            </w: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2.46</w:t>
            </w:r>
          </w:p>
        </w:tc>
      </w:tr>
      <w:tr>
        <w:trPr>
          <w:trHeight w:val="229"/>
        </w:trPr>
        <w:tc>
          <w:tcPr>
            <w:tcW w:w="436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Volatility</w:t>
            </w:r>
          </w:p>
        </w:tc>
        <w:tc>
          <w:tcPr>
            <w:tcW w:w="3800" w:type="dxa"/>
            <w:vAlign w:val="bottom"/>
            <w:shd w:val="clear" w:color="auto" w:fill="D8D8D8"/>
          </w:tcPr>
          <w:p>
            <w:pPr>
              <w:jc w:val="right"/>
              <w:ind w:right="535"/>
              <w:spacing w:after="0"/>
              <w:rPr>
                <w:sz w:val="20"/>
                <w:szCs w:val="20"/>
                <w:color w:val="auto"/>
              </w:rPr>
            </w:pPr>
            <w:r>
              <w:rPr>
                <w:rFonts w:ascii="Arial" w:cs="Arial" w:eastAsia="Arial" w:hAnsi="Arial"/>
                <w:sz w:val="18"/>
                <w:szCs w:val="18"/>
                <w:b w:val="1"/>
                <w:bCs w:val="1"/>
                <w:color w:val="auto"/>
              </w:rPr>
              <w:t>31.42</w:t>
            </w:r>
          </w:p>
        </w:tc>
        <w:tc>
          <w:tcPr>
            <w:tcW w:w="1720" w:type="dxa"/>
            <w:vAlign w:val="bottom"/>
            <w:shd w:val="clear" w:color="auto" w:fill="D8D8D8"/>
          </w:tcPr>
          <w:p>
            <w:pPr>
              <w:jc w:val="right"/>
              <w:ind w:right="515"/>
              <w:spacing w:after="0"/>
              <w:rPr>
                <w:sz w:val="20"/>
                <w:szCs w:val="20"/>
                <w:color w:val="auto"/>
              </w:rPr>
            </w:pPr>
            <w:r>
              <w:rPr>
                <w:rFonts w:ascii="Arial" w:cs="Arial" w:eastAsia="Arial" w:hAnsi="Arial"/>
                <w:sz w:val="18"/>
                <w:szCs w:val="18"/>
                <w:color w:val="auto"/>
              </w:rPr>
              <w:t>20.90</w:t>
            </w:r>
          </w:p>
        </w:tc>
        <w:tc>
          <w:tcPr>
            <w:tcW w:w="136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21.00</w:t>
            </w:r>
          </w:p>
        </w:tc>
      </w:tr>
    </w:tbl>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Pursuant to this program, approximately 1.0 million shares, 0.8 million shares, and 1.0 million shares were issued during the years ended December 31, 2021, 2020, and 2019, respectively. Approximately 0.5 million shares are expected to be issued in 2022. As of December 31, 2021, the total remaining unrecognized compensation cost related to nonvested SVAs was $47.0 million, which will be amortized over the weighted-average remaining requisite service period of 21 months.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Value Award Program</w:t>
      </w:r>
    </w:p>
    <w:p>
      <w:pPr>
        <w:spacing w:after="0" w:line="13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Beginning in 2020, we granted RVAs to officers and management that are payable in shares of our common stock. The number of shares actually issued, if any, varies depending on the growth of our stock price at the end of the three-year vesting period compared to our peers. We measure the fair value of the RVA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our peers' stock price, and other factors. Similarly, the dividend yield is based on historical experience and our estimate of future dividend yields. The risk-free interest rate is derived from the U.S. Treasury yield curve in effect at the time of grant. The weighted-average fair value of the RVA units granted during the years ended December 31, 2021 and 2020 were $286.71 and $179.90, respectively, determined using the following assumptions: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(Percents)</w:t>
            </w:r>
          </w:p>
        </w:tc>
        <w:tc>
          <w:tcPr>
            <w:tcW w:w="466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23"/>
        </w:trPr>
        <w:tc>
          <w:tcPr>
            <w:tcW w:w="5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Expected dividend yield</w:t>
            </w:r>
          </w:p>
        </w:tc>
        <w:tc>
          <w:tcPr>
            <w:tcW w:w="4660" w:type="dxa"/>
            <w:vAlign w:val="bottom"/>
            <w:shd w:val="clear" w:color="auto" w:fill="D8D8D8"/>
          </w:tcPr>
          <w:p>
            <w:pPr>
              <w:jc w:val="right"/>
              <w:ind w:right="255"/>
              <w:spacing w:after="0"/>
              <w:rPr>
                <w:sz w:val="20"/>
                <w:szCs w:val="20"/>
                <w:color w:val="auto"/>
              </w:rPr>
            </w:pPr>
            <w:r>
              <w:rPr>
                <w:rFonts w:ascii="Arial" w:cs="Arial" w:eastAsia="Arial" w:hAnsi="Arial"/>
                <w:sz w:val="18"/>
                <w:szCs w:val="18"/>
                <w:b w:val="1"/>
                <w:bCs w:val="1"/>
                <w:color w:val="auto"/>
              </w:rPr>
              <w:t>2.50 %</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2.50 %</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ind w:right="475"/>
              <w:spacing w:after="0"/>
              <w:rPr>
                <w:sz w:val="20"/>
                <w:szCs w:val="20"/>
                <w:color w:val="auto"/>
              </w:rPr>
            </w:pPr>
            <w:r>
              <w:rPr>
                <w:rFonts w:ascii="Arial" w:cs="Arial" w:eastAsia="Arial" w:hAnsi="Arial"/>
                <w:sz w:val="18"/>
                <w:szCs w:val="18"/>
                <w:b w:val="1"/>
                <w:bCs w:val="1"/>
                <w:color w:val="auto"/>
              </w:rPr>
              <w:t>0.19</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1.38</w:t>
            </w:r>
          </w:p>
        </w:tc>
      </w:tr>
      <w:tr>
        <w:trPr>
          <w:trHeight w:val="229"/>
        </w:trPr>
        <w:tc>
          <w:tcPr>
            <w:tcW w:w="5260" w:type="dxa"/>
            <w:vAlign w:val="bottom"/>
            <w:shd w:val="clear" w:color="auto" w:fill="D8D8D8"/>
          </w:tcPr>
          <w:p>
            <w:pPr>
              <w:ind w:left="2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D8D8D8"/>
          </w:tcPr>
          <w:p>
            <w:pPr>
              <w:jc w:val="right"/>
              <w:ind w:right="475"/>
              <w:spacing w:after="0"/>
              <w:rPr>
                <w:sz w:val="20"/>
                <w:szCs w:val="20"/>
                <w:color w:val="auto"/>
              </w:rPr>
            </w:pPr>
            <w:r>
              <w:rPr>
                <w:rFonts w:ascii="Arial" w:cs="Arial" w:eastAsia="Arial" w:hAnsi="Arial"/>
                <w:sz w:val="18"/>
                <w:szCs w:val="18"/>
                <w:b w:val="1"/>
                <w:bCs w:val="1"/>
                <w:color w:val="auto"/>
              </w:rPr>
              <w:t>30.95</w:t>
            </w:r>
          </w:p>
        </w:tc>
        <w:tc>
          <w:tcPr>
            <w:tcW w:w="1320" w:type="dxa"/>
            <w:vAlign w:val="bottom"/>
            <w:shd w:val="clear" w:color="auto" w:fill="D8D8D8"/>
          </w:tcPr>
          <w:p>
            <w:pPr>
              <w:jc w:val="right"/>
              <w:ind w:right="155"/>
              <w:spacing w:after="0"/>
              <w:rPr>
                <w:sz w:val="20"/>
                <w:szCs w:val="20"/>
                <w:color w:val="auto"/>
              </w:rPr>
            </w:pPr>
            <w:r>
              <w:rPr>
                <w:rFonts w:ascii="Arial" w:cs="Arial" w:eastAsia="Arial" w:hAnsi="Arial"/>
                <w:sz w:val="18"/>
                <w:szCs w:val="18"/>
                <w:color w:val="auto"/>
              </w:rPr>
              <w:t>19.89</w:t>
            </w:r>
          </w:p>
        </w:tc>
      </w:tr>
    </w:tbl>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December 31, 2021, the total remaining unrecognized compensation cost related to nonvested RVAs was $18.6 million, which will be amortized over the weighted-average remaining requisite service period of 21 months.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Restricted Stock Units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fair values of RSU awards granted during the years ended December 31, 2021, 2020, and 2019 were $196.30, $135.42, and $108.43, respectively. The number of shares ultimately issued for the RSU program remains constant with the exception of forfeitures. Pursuant to this program, 0.7 million, 1.1 million, and 1.5 million shares were granted and approximately 0.6 million, 0.6 million, and 0.8 million shares were issued during the years ended December 31, 2021, 2020, and 2019, respectively. Approximately 0.9 million shares are expected to be issued in 2022. As of December 31, 2021, the total remaining unrecognized compensation cost related to nonvested RSUs was $161.4 million, which will be amortized over the weighted-average remaining requisite service period of 25 months.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Shareholders' Equity</w:t>
      </w:r>
    </w:p>
    <w:p>
      <w:pPr>
        <w:spacing w:after="0" w:line="13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2021, 2020, and 2019, we repurchased $1.25 billion, $500.0 million, and $4.40 billion, respectively, of shares associated with our share repurchase programs.</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2021, we repurchased $1.00 billion of shares, which completed our $8.00 billion share repurchase program authorized in June 2018. Additionally, our board authorized a $5.00 billion share repurchase program in May 2021. In 2021, we repurchased $250.0 million of shares under the $ 5.00 billion share repurchase program. As of December 31, 2021, we had $4.75 billion remaining under the $5.00 billion share repurchase program.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2021 and 2020, no preferred stock was issued.</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2021 and 2020, to provide a source of funds to assist us in meeting our obligations under various employee benefit plans. The cost basis of the shares held in the trust was $3.01 billion at both December 31, 2021 and 2020,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2021, 2020, and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 Deferred taxes related to global intangible low-taxed income (GILTI) are also recognized for the future tax effects of temporary differences.</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based on its technical merits, will be sustained upon examination by the taxing authority. The tax benefits recognized in the financial statements from such a position are measured based on the largest benefit that has a greater than 50 percent likelihood of being realized upon ultimate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r>
      <w:tr>
        <w:trPr>
          <w:trHeight w:val="229"/>
        </w:trPr>
        <w:tc>
          <w:tcPr>
            <w:tcW w:w="6780" w:type="dxa"/>
            <w:vAlign w:val="bottom"/>
          </w:tcPr>
          <w:p>
            <w:pPr>
              <w:ind w:left="140"/>
              <w:spacing w:after="0" w:line="230" w:lineRule="exact"/>
              <w:rPr>
                <w:sz w:val="20"/>
                <w:szCs w:val="20"/>
                <w:color w:val="auto"/>
              </w:rPr>
            </w:pPr>
            <w:r>
              <w:rPr>
                <w:rFonts w:ascii="Arial" w:cs="Arial" w:eastAsia="Arial" w:hAnsi="Arial"/>
                <w:sz w:val="18"/>
                <w:szCs w:val="18"/>
                <w:color w:val="auto"/>
              </w:rPr>
              <w:t>Federal</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938.5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567.6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280.2</w:t>
            </w:r>
          </w:p>
        </w:tc>
      </w:tr>
      <w:tr>
        <w:trPr>
          <w:trHeight w:val="229"/>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466.0</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650.4</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299.8</w:t>
            </w:r>
          </w:p>
        </w:tc>
      </w:tr>
      <w:tr>
        <w:trPr>
          <w:trHeight w:val="230"/>
        </w:trPr>
        <w:tc>
          <w:tcPr>
            <w:tcW w:w="67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6780" w:type="dxa"/>
            <w:vAlign w:val="bottom"/>
            <w:shd w:val="clear" w:color="auto" w:fill="D8D8D8"/>
          </w:tcPr>
          <w:p>
            <w:pPr>
              <w:ind w:left="360"/>
              <w:spacing w:after="0"/>
              <w:rPr>
                <w:sz w:val="20"/>
                <w:szCs w:val="20"/>
                <w:color w:val="auto"/>
              </w:rPr>
            </w:pPr>
            <w:r>
              <w:rPr>
                <w:rFonts w:ascii="Arial" w:cs="Arial" w:eastAsia="Arial" w:hAnsi="Arial"/>
                <w:sz w:val="18"/>
                <w:szCs w:val="18"/>
                <w:color w:val="auto"/>
              </w:rPr>
              <w:t>Total current tax expense</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1,376.1</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1,170.7</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565.6</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(977.5)</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(97.4)</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141.3</w:t>
            </w: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174.6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0.6</w:t>
            </w:r>
          </w:p>
        </w:tc>
        <w:tc>
          <w:tcPr>
            <w:tcW w:w="38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(54.8)</w:t>
            </w:r>
          </w:p>
        </w:tc>
      </w:tr>
      <w:tr>
        <w:trPr>
          <w:trHeight w:val="223"/>
        </w:trPr>
        <w:tc>
          <w:tcPr>
            <w:tcW w:w="6780" w:type="dxa"/>
            <w:vAlign w:val="bottom"/>
            <w:tcBorders>
              <w:bottom w:val="single" w:sz="8" w:color="D8D8D8"/>
            </w:tcBorders>
          </w:tcPr>
          <w:p>
            <w:pPr>
              <w:ind w:left="360"/>
              <w:spacing w:after="0"/>
              <w:rPr>
                <w:sz w:val="20"/>
                <w:szCs w:val="20"/>
                <w:color w:val="auto"/>
              </w:rPr>
            </w:pPr>
            <w:r>
              <w:rPr>
                <w:rFonts w:ascii="Arial" w:cs="Arial" w:eastAsia="Arial" w:hAnsi="Arial"/>
                <w:sz w:val="18"/>
                <w:szCs w:val="18"/>
                <w:color w:val="auto"/>
              </w:rPr>
              <w:t>Total deferred tax (benefit)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67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573.8</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1,036.2</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628.0</w:t>
            </w:r>
          </w:p>
        </w:tc>
      </w:tr>
    </w:tbl>
    <w:p>
      <w:pPr>
        <w:spacing w:after="0" w:line="113" w:lineRule="exact"/>
        <w:rPr>
          <w:sz w:val="20"/>
          <w:szCs w:val="20"/>
          <w:color w:val="auto"/>
        </w:rPr>
      </w:pPr>
    </w:p>
    <w:p>
      <w:pPr>
        <w:ind w:left="180" w:right="120" w:hanging="172"/>
        <w:spacing w:after="0" w:line="211" w:lineRule="auto"/>
        <w:tabs>
          <w:tab w:leader="none" w:pos="172"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The 2021, 2020, and 2019 current tax expense includes $64.7 million, $144.4 million, and $153.1 million of tax benefit, respectively, from utilization of net operating loss and tax credit carryforwards.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assets and liabilities as of December 31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23"/>
        </w:trPr>
        <w:tc>
          <w:tcPr>
            <w:tcW w:w="8280" w:type="dxa"/>
            <w:vAlign w:val="bottom"/>
            <w:shd w:val="clear" w:color="auto" w:fill="D4D4D4"/>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Purchases of intangible assets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2,347.4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2,560.6</w:t>
            </w:r>
          </w:p>
        </w:tc>
      </w:tr>
      <w:tr>
        <w:trPr>
          <w:trHeight w:val="229"/>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634.7</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1,045.6</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Tax credit carryforwards and carrybacks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463.7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523.5</w:t>
            </w:r>
          </w:p>
        </w:tc>
      </w:tr>
      <w:tr>
        <w:trPr>
          <w:trHeight w:val="229"/>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Tax loss and other tax carryforwards and carrybacks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645.4</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488.3</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Sales rebates and discounts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832.3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461.3</w:t>
            </w:r>
          </w:p>
        </w:tc>
      </w:tr>
      <w:tr>
        <w:trPr>
          <w:trHeight w:val="230"/>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Correlative tax adjustments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560.8</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404.2</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Foreign tax redeterminations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274.9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242.8</w:t>
            </w:r>
          </w:p>
        </w:tc>
      </w:tr>
      <w:tr>
        <w:trPr>
          <w:trHeight w:val="229"/>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150.0</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150.7</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Capitalized research and development</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275.1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30"/>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4D4D4"/>
          </w:tcPr>
          <w:p>
            <w:pPr>
              <w:spacing w:after="0"/>
              <w:rPr>
                <w:sz w:val="19"/>
                <w:szCs w:val="19"/>
                <w:color w:val="auto"/>
              </w:rPr>
            </w:pPr>
          </w:p>
        </w:tc>
        <w:tc>
          <w:tcPr>
            <w:tcW w:w="1120" w:type="dxa"/>
            <w:vAlign w:val="bottom"/>
            <w:tcBorders>
              <w:bottom w:val="single" w:sz="8" w:color="auto"/>
            </w:tcBorders>
            <w:shd w:val="clear" w:color="auto" w:fill="D4D4D4"/>
          </w:tcPr>
          <w:p>
            <w:pPr>
              <w:jc w:val="right"/>
              <w:ind w:right="31"/>
              <w:spacing w:after="0"/>
              <w:rPr>
                <w:sz w:val="20"/>
                <w:szCs w:val="20"/>
                <w:color w:val="auto"/>
              </w:rPr>
            </w:pPr>
            <w:r>
              <w:rPr>
                <w:rFonts w:ascii="Arial" w:cs="Arial" w:eastAsia="Arial" w:hAnsi="Arial"/>
                <w:sz w:val="18"/>
                <w:szCs w:val="18"/>
                <w:b w:val="1"/>
                <w:bCs w:val="1"/>
                <w:color w:val="auto"/>
              </w:rPr>
              <w:t>477.9</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605.8</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gross deferred tax assets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6,662.2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6,618.0</w:t>
            </w:r>
          </w:p>
        </w:tc>
      </w:tr>
      <w:tr>
        <w:trPr>
          <w:trHeight w:val="230"/>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shd w:val="clear" w:color="auto" w:fill="D4D4D4"/>
          </w:tcPr>
          <w:p>
            <w:pPr>
              <w:spacing w:after="0"/>
              <w:rPr>
                <w:sz w:val="19"/>
                <w:szCs w:val="19"/>
                <w:color w:val="auto"/>
              </w:rPr>
            </w:pPr>
          </w:p>
        </w:tc>
        <w:tc>
          <w:tcPr>
            <w:tcW w:w="11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(875.6)</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(816.3)</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5,786.6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5,801.7</w:t>
            </w:r>
          </w:p>
        </w:tc>
      </w:tr>
      <w:tr>
        <w:trPr>
          <w:trHeight w:val="230"/>
        </w:trPr>
        <w:tc>
          <w:tcPr>
            <w:tcW w:w="8280" w:type="dxa"/>
            <w:vAlign w:val="bottom"/>
            <w:shd w:val="clear" w:color="auto" w:fill="D4D4D4"/>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Earnings of foreign subsidiaries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(1,583.3)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(1,905.3)</w:t>
            </w:r>
          </w:p>
        </w:tc>
      </w:tr>
      <w:tr>
        <w:trPr>
          <w:trHeight w:val="230"/>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(1,516.1)</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(1,465.7)</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(596.4)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(623.7)</w:t>
            </w:r>
          </w:p>
        </w:tc>
      </w:tr>
      <w:tr>
        <w:trPr>
          <w:trHeight w:val="230"/>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Prepaid employee benefits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(560.6)</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(410.1)</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(338.7)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(315.2)</w:t>
            </w:r>
          </w:p>
        </w:tc>
      </w:tr>
      <w:tr>
        <w:trPr>
          <w:trHeight w:val="230"/>
        </w:trPr>
        <w:tc>
          <w:tcPr>
            <w:tcW w:w="8280" w:type="dxa"/>
            <w:vAlign w:val="bottom"/>
            <w:shd w:val="clear" w:color="auto" w:fill="D4D4D4"/>
          </w:tcPr>
          <w:p>
            <w:pPr>
              <w:ind w:left="140"/>
              <w:spacing w:after="0"/>
              <w:rPr>
                <w:sz w:val="20"/>
                <w:szCs w:val="20"/>
                <w:color w:val="auto"/>
              </w:rPr>
            </w:pPr>
            <w:r>
              <w:rPr>
                <w:rFonts w:ascii="Arial" w:cs="Arial" w:eastAsia="Arial" w:hAnsi="Arial"/>
                <w:sz w:val="18"/>
                <w:szCs w:val="18"/>
                <w:color w:val="auto"/>
              </w:rPr>
              <w:t>Financial instruments</w:t>
            </w:r>
          </w:p>
        </w:tc>
        <w:tc>
          <w:tcPr>
            <w:tcW w:w="340" w:type="dxa"/>
            <w:vAlign w:val="bottom"/>
            <w:shd w:val="clear" w:color="auto" w:fill="D4D4D4"/>
          </w:tcPr>
          <w:p>
            <w:pPr>
              <w:spacing w:after="0"/>
              <w:rPr>
                <w:sz w:val="19"/>
                <w:szCs w:val="19"/>
                <w:color w:val="auto"/>
              </w:rPr>
            </w:pPr>
          </w:p>
        </w:tc>
        <w:tc>
          <w:tcPr>
            <w:tcW w:w="1120" w:type="dxa"/>
            <w:vAlign w:val="bottom"/>
            <w:shd w:val="clear" w:color="auto" w:fill="D4D4D4"/>
          </w:tcPr>
          <w:p>
            <w:pPr>
              <w:jc w:val="right"/>
              <w:spacing w:after="0"/>
              <w:rPr>
                <w:sz w:val="20"/>
                <w:szCs w:val="20"/>
                <w:color w:val="auto"/>
              </w:rPr>
            </w:pPr>
            <w:r>
              <w:rPr>
                <w:rFonts w:ascii="Arial" w:cs="Arial" w:eastAsia="Arial" w:hAnsi="Arial"/>
                <w:sz w:val="18"/>
                <w:szCs w:val="18"/>
                <w:b w:val="1"/>
                <w:bCs w:val="1"/>
                <w:color w:val="auto"/>
              </w:rPr>
              <w:t>(303.0)</w:t>
            </w:r>
          </w:p>
        </w:tc>
        <w:tc>
          <w:tcPr>
            <w:tcW w:w="380" w:type="dxa"/>
            <w:vAlign w:val="bottom"/>
            <w:shd w:val="clear" w:color="auto" w:fill="D4D4D4"/>
          </w:tcPr>
          <w:p>
            <w:pPr>
              <w:spacing w:after="0"/>
              <w:rPr>
                <w:sz w:val="19"/>
                <w:szCs w:val="19"/>
                <w:color w:val="auto"/>
              </w:rPr>
            </w:pPr>
          </w:p>
        </w:tc>
        <w:tc>
          <w:tcPr>
            <w:tcW w:w="1080" w:type="dxa"/>
            <w:vAlign w:val="bottom"/>
            <w:shd w:val="clear" w:color="auto" w:fill="D4D4D4"/>
          </w:tcPr>
          <w:p>
            <w:pPr>
              <w:jc w:val="right"/>
              <w:spacing w:after="0"/>
              <w:rPr>
                <w:sz w:val="20"/>
                <w:szCs w:val="20"/>
                <w:color w:val="auto"/>
              </w:rPr>
            </w:pPr>
            <w:r>
              <w:rPr>
                <w:rFonts w:ascii="Arial" w:cs="Arial" w:eastAsia="Arial" w:hAnsi="Arial"/>
                <w:sz w:val="18"/>
                <w:szCs w:val="18"/>
                <w:color w:val="auto"/>
              </w:rPr>
              <w:t>(216.9)</w:t>
            </w:r>
          </w:p>
        </w:tc>
      </w:tr>
      <w:tr>
        <w:trPr>
          <w:trHeight w:val="230"/>
        </w:trPr>
        <w:tc>
          <w:tcPr>
            <w:tcW w:w="828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r>
      <w:tr>
        <w:trPr>
          <w:trHeight w:val="223"/>
        </w:trPr>
        <w:tc>
          <w:tcPr>
            <w:tcW w:w="8280" w:type="dxa"/>
            <w:vAlign w:val="bottom"/>
            <w:shd w:val="clear" w:color="auto" w:fill="D4D4D4"/>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4D4D4"/>
          </w:tcPr>
          <w:p>
            <w:pPr>
              <w:spacing w:after="0"/>
              <w:rPr>
                <w:sz w:val="19"/>
                <w:szCs w:val="19"/>
                <w:color w:val="auto"/>
              </w:rPr>
            </w:pPr>
          </w:p>
        </w:tc>
        <w:tc>
          <w:tcPr>
            <w:tcW w:w="11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(5,030.7)</w:t>
            </w:r>
          </w:p>
        </w:tc>
        <w:tc>
          <w:tcPr>
            <w:tcW w:w="380" w:type="dxa"/>
            <w:vAlign w:val="bottom"/>
            <w:tcBorders>
              <w:bottom w:val="single" w:sz="8" w:color="auto"/>
            </w:tcBorders>
            <w:shd w:val="clear" w:color="auto" w:fill="D4D4D4"/>
          </w:tcPr>
          <w:p>
            <w:pPr>
              <w:spacing w:after="0"/>
              <w:rPr>
                <w:sz w:val="19"/>
                <w:szCs w:val="19"/>
                <w:color w:val="auto"/>
              </w:rPr>
            </w:pPr>
          </w:p>
        </w:tc>
        <w:tc>
          <w:tcPr>
            <w:tcW w:w="108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(5,071.2)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Deferred tax assets -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755.9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r>
    </w:tbl>
    <w:p>
      <w:pPr>
        <w:spacing w:after="0" w:line="16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deferred tax asset and related valuation allowance amounts for U.S. federal, international, and state net operating losses and tax credits shown above have been reduced for differences between financial reporting and tax return filings.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92" w:name="page93"/>
    <w:bookmarkEnd w:id="92"/>
    <w:p>
      <w:pPr>
        <w:spacing w:after="0" w:line="254" w:lineRule="auto"/>
        <w:rPr>
          <w:sz w:val="20"/>
          <w:szCs w:val="20"/>
          <w:color w:val="auto"/>
        </w:rPr>
      </w:pPr>
      <w:r>
        <w:rPr>
          <w:rFonts w:ascii="Arial" w:cs="Arial" w:eastAsia="Arial" w:hAnsi="Arial"/>
          <w:sz w:val="18"/>
          <w:szCs w:val="18"/>
          <w:color w:val="auto"/>
        </w:rPr>
        <w:t>At December 31, 2021, based on filed tax returns we have tax credit carryforwards and carrybacks of $859.9 million available to reduce future income taxes; $148.8 million, if unused, will expire by 2026, and $21.5 million, if unused, will expire between 2030 and 2040. The remaining portion of the tax credit carryforwards is related to federal tax credits of $76.2 million, international tax credits of $115.3 million, and state tax credits of $498.1 million, all of which are fully reserved.</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December 31, 2021, based on filed tax returns we had net operating losses and other carryforwards for international and U.S. federal income tax purposes of $2.21 billion: $832.6 million will expire by 2026; $818.2 million will expire between 2027 and 2041; and $ 561.5 million of the carryforwards will never expire. Net operating losses and other carryforwards for international and U.S. federal income tax purposes are partially reserved. Deferred tax assets related to state net operating losses and other carryforwards of $230.0 million are fully reserved as of December 31, 2021.</w:t>
      </w:r>
    </w:p>
    <w:p>
      <w:pPr>
        <w:spacing w:after="0" w:line="9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Domestic and Puerto Rican companies contributed approximately 28 percent, 39 percent, and 44 percent for the years ended December 31, 2021, 2020, and 2019, respectively, to consolidated income before income taxes. We have a subsidiary operating in Puerto Rico under a tax incentive grant effective through the end of 2031.</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Substantially all of the unremitted earnings of our foreign subsidiaries are considered not to be indefinitely reinvested for continued use in our foreign operations. At December 31, 2021 and December 31, 2020, we accrued an immaterial amount of foreign withholding taxes and state income taxes that would be owed upon future distributions of unremitted earnings of our foreign subsidiaries that are not indefinitely reinvested. For the amount considered to be indefinitely reinvested, it is not practicable to determine the amount of the related deferred income tax liability due to the complexities in the tax laws and assumptions we would have to make.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Cash payments of U.S. federal, state, and foreign income taxes, net of refunds,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23"/>
        </w:trPr>
        <w:tc>
          <w:tcPr>
            <w:tcW w:w="4700" w:type="dxa"/>
            <w:vAlign w:val="bottom"/>
            <w:shd w:val="clear" w:color="auto" w:fill="D8D8D8"/>
          </w:tcPr>
          <w:p>
            <w:pPr>
              <w:ind w:left="20"/>
              <w:spacing w:after="0"/>
              <w:rPr>
                <w:sz w:val="20"/>
                <w:szCs w:val="20"/>
                <w:color w:val="auto"/>
              </w:rPr>
            </w:pPr>
            <w:r>
              <w:rPr>
                <w:rFonts w:ascii="Arial" w:cs="Arial" w:eastAsia="Arial" w:hAnsi="Arial"/>
                <w:sz w:val="18"/>
                <w:szCs w:val="18"/>
                <w:color w:val="auto"/>
              </w:rPr>
              <w:t>Cash payments of income taxes</w:t>
            </w:r>
          </w:p>
        </w:tc>
        <w:tc>
          <w:tcPr>
            <w:tcW w:w="242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b w:val="1"/>
                <w:bCs w:val="1"/>
                <w:color w:val="auto"/>
              </w:rPr>
              <w:t>1,598.8</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954.6</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1,180.5</w:t>
            </w:r>
          </w:p>
        </w:tc>
      </w:tr>
    </w:tbl>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December 2017, the Tax Cuts and Job Act (2017 Tax Act) was signed into law. The 2017 Tax Act included significant changes to the U.S. corporate income tax system, including a one-time repatriation transition tax (also known as the 'Toll Tax') on unremitted foreign earnings. The 2017 Tax Act provided an election to taxpayers subject to the Toll Tax to make payments over an eight-year period beginning in 2018 through 2025. Having made this election, our future cash payments relating to the Toll Tax as of December 31, 2021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Less than 1 Year</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1-3 Years</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3-5 Years</w:t>
            </w:r>
          </w:p>
        </w:tc>
      </w:tr>
      <w:tr>
        <w:trPr>
          <w:trHeight w:val="223"/>
        </w:trPr>
        <w:tc>
          <w:tcPr>
            <w:tcW w:w="3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2017 Tax Act Toll Tax</w:t>
            </w:r>
          </w:p>
        </w:tc>
        <w:tc>
          <w:tcPr>
            <w:tcW w:w="184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2,149.5</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253.7</w:t>
            </w:r>
          </w:p>
        </w:tc>
        <w:tc>
          <w:tcPr>
            <w:tcW w:w="34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1,109.9</w:t>
            </w:r>
          </w:p>
        </w:tc>
        <w:tc>
          <w:tcPr>
            <w:tcW w:w="34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785.9</w:t>
            </w:r>
          </w:p>
        </w:tc>
      </w:tr>
    </w:tbl>
    <w:p>
      <w:pPr>
        <w:spacing w:after="0" w:line="16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have additional noncurrent income tax payables of $2.02 billion unrelated to the Toll Tax; we cannot reasonably estimate the timing of future cash outflows associated with these liabilities.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Following is a reconciliation of the consolidated income tax expense applying the U.S. federal statutory rate to income before income taxes to reported consolidated income tax expense: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tax at the U.S. federal statutory tax rate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1,292.6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1,518.3</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1,105.8</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80" w:type="dxa"/>
            <w:vAlign w:val="bottom"/>
            <w:shd w:val="clear" w:color="auto" w:fill="D8D8D8"/>
          </w:tcPr>
          <w:p>
            <w:pPr>
              <w:ind w:left="140"/>
              <w:spacing w:after="0" w:line="230" w:lineRule="exact"/>
              <w:rPr>
                <w:sz w:val="20"/>
                <w:szCs w:val="20"/>
                <w:color w:val="auto"/>
              </w:rPr>
            </w:pPr>
            <w:r>
              <w:rPr>
                <w:rFonts w:ascii="Arial" w:cs="Arial" w:eastAsia="Arial" w:hAnsi="Arial"/>
                <w:sz w:val="18"/>
                <w:szCs w:val="18"/>
                <w:color w:val="auto"/>
              </w:rPr>
              <w:t>International operations, including Puerto Rico</w:t>
            </w:r>
            <w:r>
              <w:rPr>
                <w:rFonts w:ascii="Arial" w:cs="Arial" w:eastAsia="Arial" w:hAnsi="Arial"/>
                <w:sz w:val="23"/>
                <w:szCs w:val="23"/>
                <w:color w:val="auto"/>
                <w:vertAlign w:val="superscript"/>
              </w:rPr>
              <w:t>(1)</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(458.2)</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(297.2)</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(242.0)</w:t>
            </w: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General business credits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(100.5)</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67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Foreign-derived intangible income deduction</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(86.7)</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(71.5)</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7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67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b w:val="1"/>
                <w:bCs w:val="1"/>
                <w:color w:val="auto"/>
              </w:rPr>
              <w:t>573.8</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color w:val="auto"/>
              </w:rPr>
              <w:t>1,036.2</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628.0</w:t>
            </w:r>
          </w:p>
        </w:tc>
      </w:tr>
    </w:tbl>
    <w:p>
      <w:pPr>
        <w:spacing w:after="0" w:line="86"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9"/>
          <w:szCs w:val="9"/>
          <w:color w:val="auto"/>
        </w:rPr>
      </w:pPr>
      <w:r>
        <w:rPr>
          <w:rFonts w:ascii="Arial" w:cs="Arial" w:eastAsia="Arial" w:hAnsi="Arial"/>
          <w:sz w:val="14"/>
          <w:szCs w:val="14"/>
          <w:color w:val="auto"/>
        </w:rPr>
        <w:t>Includes the impact of Puerto Rico Excise Tax, GILTI tax, and other U.S. taxation of foreign income.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Beginning balance at January 1</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2,551.9</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2,108.6</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2,034.6</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310.3</w:t>
            </w:r>
          </w:p>
        </w:tc>
        <w:tc>
          <w:tcPr>
            <w:tcW w:w="3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225.6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30"/>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98.6</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310.8</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425.3</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29"/>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(38.5)</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(72.0)</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(260.5)</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Lapses of statutes of limitation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(49.7)</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29"/>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Changes related to the impact of foreign currency translation</w:t>
            </w:r>
          </w:p>
        </w:tc>
        <w:tc>
          <w:tcPr>
            <w:tcW w:w="34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(66.2)</w:t>
            </w:r>
          </w:p>
        </w:tc>
        <w:tc>
          <w:tcPr>
            <w:tcW w:w="38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73.0</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Ending balance at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2,798.3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2,551.9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2,108.6</w:t>
            </w:r>
          </w:p>
        </w:tc>
      </w:tr>
    </w:tbl>
    <w:p>
      <w:pPr>
        <w:spacing w:after="0" w:line="16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$1.70 billion and $1.67 billion at December 31, 2021 and 2020, respectively.</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file U.S. federal, foreign, and various state and local income tax returns. We are no longer subject to U.S. federal income tax examination for years before 2016. In most major foreign and state jurisdictions, we are no longer subject to income tax examination for years before 2012.</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U.S. examination of tax years 2016-2018 began in 2019 and remains ongoing; therefore, the resolution of this audit period will likely extend beyond the next 12 months. For tax years 2013-2015, all matters were effectively settled in 2019. As a result, our gross uncertain tax positions were reduced by approximately $200 million, we made a cash payment of approximately $125 million, and our consolidated results were benefited by an immaterial reduction in tax expense.</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recognize both accrued interest and penalties related to unrecognized tax benefits in income tax expense. We recognized income tax (benefit) expense related to interest and penalties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23"/>
        </w:trPr>
        <w:tc>
          <w:tcPr>
            <w:tcW w:w="458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Income tax (benefit) expense</w:t>
            </w:r>
          </w:p>
        </w:tc>
        <w:tc>
          <w:tcPr>
            <w:tcW w:w="3120" w:type="dxa"/>
            <w:vAlign w:val="bottom"/>
            <w:shd w:val="clear" w:color="auto" w:fill="D8D8D8"/>
          </w:tcPr>
          <w:p>
            <w:pPr>
              <w:jc w:val="right"/>
              <w:ind w:right="719"/>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20.5</w:t>
            </w:r>
          </w:p>
        </w:tc>
        <w:tc>
          <w:tcPr>
            <w:tcW w:w="1000" w:type="dxa"/>
            <w:vAlign w:val="bottom"/>
            <w:shd w:val="clear" w:color="auto" w:fill="D8D8D8"/>
          </w:tcPr>
          <w:p>
            <w:pPr>
              <w:jc w:val="right"/>
              <w:ind w:right="719"/>
              <w:spacing w:after="0"/>
              <w:rPr>
                <w:sz w:val="20"/>
                <w:szCs w:val="20"/>
                <w:color w:val="auto"/>
              </w:rPr>
            </w:pPr>
            <w:r>
              <w:rPr>
                <w:rFonts w:ascii="Arial" w:cs="Arial" w:eastAsia="Arial" w:hAnsi="Arial"/>
                <w:sz w:val="18"/>
                <w:szCs w:val="18"/>
                <w:color w:val="auto"/>
              </w:rPr>
              <w:t>$</w:t>
            </w:r>
          </w:p>
        </w:tc>
        <w:tc>
          <w:tcPr>
            <w:tcW w:w="50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(26.4)</w:t>
            </w:r>
          </w:p>
        </w:tc>
      </w:tr>
    </w:tbl>
    <w:p>
      <w:pPr>
        <w:spacing w:after="0" w:line="296"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At December 31, 2021 and 2020, our accruals for the payment of interest and penalties totaled $220.1 million and $196.7 million,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15: Retirement Benefits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258"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1880" w:type="dxa"/>
            <w:vAlign w:val="bottom"/>
          </w:tcPr>
          <w:p>
            <w:pPr>
              <w:jc w:val="center"/>
              <w:ind w:left="728"/>
              <w:spacing w:after="0"/>
              <w:rPr>
                <w:sz w:val="20"/>
                <w:szCs w:val="20"/>
                <w:color w:val="auto"/>
              </w:rPr>
            </w:pPr>
            <w:r>
              <w:rPr>
                <w:rFonts w:ascii="Arial" w:cs="Arial" w:eastAsia="Arial" w:hAnsi="Arial"/>
                <w:sz w:val="14"/>
                <w:szCs w:val="14"/>
                <w:b w:val="1"/>
                <w:bCs w:val="1"/>
                <w:color w:val="auto"/>
              </w:rPr>
              <w:t>Defined Benefit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tcPr>
          <w:p>
            <w:pPr>
              <w:jc w:val="center"/>
              <w:ind w:right="768"/>
              <w:spacing w:after="0"/>
              <w:rPr>
                <w:sz w:val="20"/>
                <w:szCs w:val="20"/>
                <w:color w:val="auto"/>
              </w:rPr>
            </w:pPr>
            <w:r>
              <w:rPr>
                <w:rFonts w:ascii="Arial" w:cs="Arial" w:eastAsia="Arial" w:hAnsi="Arial"/>
                <w:sz w:val="14"/>
                <w:szCs w:val="14"/>
                <w:b w:val="1"/>
                <w:bCs w:val="1"/>
                <w:color w:val="auto"/>
              </w:rPr>
              <w:t>Retiree Health</w:t>
            </w:r>
          </w:p>
        </w:tc>
      </w:tr>
      <w:tr>
        <w:trPr>
          <w:trHeight w:val="176"/>
        </w:trPr>
        <w:tc>
          <w:tcPr>
            <w:tcW w:w="188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Benefit Plans</w:t>
            </w:r>
          </w:p>
        </w:tc>
      </w:tr>
      <w:tr>
        <w:trPr>
          <w:trHeight w:val="184"/>
        </w:trPr>
        <w:tc>
          <w:tcPr>
            <w:tcW w:w="1880" w:type="dxa"/>
            <w:vAlign w:val="bottom"/>
          </w:tcPr>
          <w:p>
            <w:pPr>
              <w:jc w:val="right"/>
              <w:ind w:right="1008"/>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8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benefit obligation: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 obligation at beginning of year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Actuarial (gain)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Curtailment loss</w:t>
      </w:r>
    </w:p>
    <w:p>
      <w:pPr>
        <w:spacing w:after="0" w:line="23" w:lineRule="exact"/>
        <w:rPr>
          <w:sz w:val="20"/>
          <w:szCs w:val="20"/>
          <w:color w:val="auto"/>
        </w:rPr>
      </w:pPr>
    </w:p>
    <w:p>
      <w:pPr>
        <w:ind w:left="140" w:hanging="12"/>
        <w:spacing w:after="0" w:line="293" w:lineRule="auto"/>
        <w:rPr>
          <w:sz w:val="20"/>
          <w:szCs w:val="20"/>
          <w:color w:val="auto"/>
        </w:rPr>
      </w:pPr>
      <w:r>
        <w:rPr>
          <w:rFonts w:ascii="Arial" w:cs="Arial" w:eastAsia="Arial" w:hAnsi="Arial"/>
          <w:sz w:val="18"/>
          <w:szCs w:val="18"/>
          <w:color w:val="auto"/>
        </w:rPr>
        <w:t>Foreign currency exchange rate changes and other adjustments Benefit obligation at end of year</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plan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plan assets at beginning of year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Actual return on plan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Employer contribution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Benefits paid</w:t>
      </w:r>
    </w:p>
    <w:p>
      <w:pPr>
        <w:spacing w:after="0" w:line="23" w:lineRule="exact"/>
        <w:rPr>
          <w:sz w:val="20"/>
          <w:szCs w:val="20"/>
          <w:color w:val="auto"/>
        </w:rPr>
      </w:pPr>
    </w:p>
    <w:p>
      <w:pPr>
        <w:ind w:left="140" w:hanging="12"/>
        <w:spacing w:after="0" w:line="293" w:lineRule="auto"/>
        <w:rPr>
          <w:sz w:val="20"/>
          <w:szCs w:val="20"/>
          <w:color w:val="auto"/>
        </w:rPr>
      </w:pPr>
      <w:r>
        <w:rPr>
          <w:rFonts w:ascii="Arial" w:cs="Arial" w:eastAsia="Arial" w:hAnsi="Arial"/>
          <w:sz w:val="18"/>
          <w:szCs w:val="18"/>
          <w:color w:val="auto"/>
        </w:rPr>
        <w:t>Foreign currency exchange rate changes and other adjustments Fair value of plan assets at end of year</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Funded status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net actuarial (gain)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Unrecognized prior service (benefit) cost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18,225.5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16,251.0</w:t>
            </w: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1,753.7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1,601.4</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369.2</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325.5</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49.2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337.8</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425.8</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(564.3)</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1,563.1</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(630.1)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(173.1)</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245.1</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32"/>
        </w:trPr>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17,565.0</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18,225.5</w:t>
            </w:r>
          </w:p>
        </w:tc>
        <w:tc>
          <w:tcPr>
            <w:tcW w:w="4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1,663.8</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1,753.7</w:t>
            </w:r>
          </w:p>
        </w:tc>
      </w:tr>
      <w:tr>
        <w:trPr>
          <w:trHeight w:val="710"/>
        </w:trPr>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14,579.0</w:t>
            </w:r>
          </w:p>
        </w:tc>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12,858.0</w:t>
            </w:r>
          </w:p>
        </w:tc>
        <w:tc>
          <w:tcPr>
            <w:tcW w:w="4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3,227.0</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2,768.2</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2,458.1</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1,802.4</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539.0</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131.2</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318.8</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(630.1)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9"/>
        </w:trPr>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(122.2)</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187.0</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16,416.0</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14,579.0</w:t>
            </w:r>
          </w:p>
        </w:tc>
        <w:tc>
          <w:tcPr>
            <w:tcW w:w="4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3,361.4</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3,227.0</w:t>
            </w:r>
          </w:p>
        </w:tc>
      </w:tr>
      <w:tr>
        <w:trPr>
          <w:trHeight w:val="274"/>
        </w:trPr>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14"/>
        </w:trPr>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(1,149.0)</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(3,646.5)</w:t>
            </w:r>
          </w:p>
        </w:tc>
        <w:tc>
          <w:tcPr>
            <w:tcW w:w="4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1,697.6</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1,473.3</w:t>
            </w:r>
          </w:p>
        </w:tc>
      </w:tr>
      <w:tr>
        <w:trPr>
          <w:trHeight w:val="230"/>
        </w:trPr>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3,908.2</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6,515.5</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(497.2)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(349.1)</w:t>
            </w:r>
          </w:p>
        </w:tc>
      </w:tr>
      <w:tr>
        <w:trPr>
          <w:trHeight w:val="239"/>
        </w:trPr>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11.2</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(117.6)</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r>
      <w:tr>
        <w:trPr>
          <w:trHeight w:val="230"/>
        </w:trPr>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2,770.4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2,884.4</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1,082.8</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-3025140</wp:posOffset>
            </wp:positionV>
            <wp:extent cx="7106285"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-2733675</wp:posOffset>
            </wp:positionV>
            <wp:extent cx="7106285"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-2442845</wp:posOffset>
            </wp:positionV>
            <wp:extent cx="710628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-2150745</wp:posOffset>
            </wp:positionV>
            <wp:extent cx="710628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-1824990</wp:posOffset>
            </wp:positionV>
            <wp:extent cx="710628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-1534160</wp:posOffset>
            </wp:positionV>
            <wp:extent cx="710628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-1242695</wp:posOffset>
            </wp:positionV>
            <wp:extent cx="710628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-950595</wp:posOffset>
            </wp:positionV>
            <wp:extent cx="710628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-616585</wp:posOffset>
            </wp:positionV>
            <wp:extent cx="710628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-316865</wp:posOffset>
            </wp:positionV>
            <wp:extent cx="710628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500"/>
            <w:col w:w="5500"/>
          </w:cols>
          <w:pgMar w:left="320" w:top="1251" w:right="3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shd w:val="clear" w:color="auto" w:fill="D8D8D8"/>
          </w:tcPr>
          <w:p>
            <w:pPr>
              <w:ind w:left="20"/>
              <w:spacing w:after="0"/>
              <w:rPr>
                <w:sz w:val="20"/>
                <w:szCs w:val="20"/>
                <w:color w:val="auto"/>
              </w:rPr>
            </w:pPr>
            <w:r>
              <w:rPr>
                <w:rFonts w:ascii="Arial" w:cs="Arial" w:eastAsia="Arial" w:hAnsi="Arial"/>
                <w:sz w:val="18"/>
                <w:szCs w:val="18"/>
                <w:color w:val="auto"/>
              </w:rPr>
              <w:t>Amounts recognized in the consolidated balance sheet consisted of:</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38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420" w:type="dxa"/>
            <w:vAlign w:val="bottom"/>
            <w:shd w:val="clear" w:color="auto" w:fill="D8D8D8"/>
          </w:tcPr>
          <w:p>
            <w:pPr>
              <w:spacing w:after="0"/>
              <w:rPr>
                <w:sz w:val="19"/>
                <w:szCs w:val="19"/>
                <w:color w:val="auto"/>
              </w:rPr>
            </w:pPr>
          </w:p>
        </w:tc>
        <w:tc>
          <w:tcPr>
            <w:tcW w:w="980" w:type="dxa"/>
            <w:vAlign w:val="bottom"/>
            <w:shd w:val="clear" w:color="auto" w:fill="D8D8D8"/>
          </w:tcPr>
          <w:p>
            <w:pPr>
              <w:spacing w:after="0"/>
              <w:rPr>
                <w:sz w:val="19"/>
                <w:szCs w:val="19"/>
                <w:color w:val="auto"/>
              </w:rPr>
            </w:pPr>
          </w:p>
        </w:tc>
        <w:tc>
          <w:tcPr>
            <w:tcW w:w="420" w:type="dxa"/>
            <w:vAlign w:val="bottom"/>
            <w:shd w:val="clear" w:color="auto" w:fill="D8D8D8"/>
          </w:tcPr>
          <w:p>
            <w:pPr>
              <w:spacing w:after="0"/>
              <w:rPr>
                <w:sz w:val="19"/>
                <w:szCs w:val="19"/>
                <w:color w:val="auto"/>
              </w:rPr>
            </w:pPr>
          </w:p>
        </w:tc>
        <w:tc>
          <w:tcPr>
            <w:tcW w:w="920" w:type="dxa"/>
            <w:vAlign w:val="bottom"/>
            <w:shd w:val="clear" w:color="auto" w:fill="D8D8D8"/>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668.5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299.6</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1,910.2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1,697.0</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(68.3)</w:t>
            </w:r>
          </w:p>
        </w:tc>
        <w:tc>
          <w:tcPr>
            <w:tcW w:w="380" w:type="dxa"/>
            <w:vAlign w:val="bottom"/>
            <w:shd w:val="clear" w:color="auto" w:fill="D8D8D8"/>
          </w:tcPr>
          <w:p>
            <w:pPr>
              <w:spacing w:after="0"/>
              <w:rPr>
                <w:sz w:val="19"/>
                <w:szCs w:val="19"/>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(67.9)</w:t>
            </w:r>
          </w:p>
        </w:tc>
        <w:tc>
          <w:tcPr>
            <w:tcW w:w="420" w:type="dxa"/>
            <w:vAlign w:val="bottom"/>
            <w:shd w:val="clear" w:color="auto" w:fill="D8D8D8"/>
          </w:tcPr>
          <w:p>
            <w:pPr>
              <w:spacing w:after="0"/>
              <w:rPr>
                <w:sz w:val="19"/>
                <w:szCs w:val="19"/>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(7.9)</w:t>
            </w:r>
          </w:p>
        </w:tc>
        <w:tc>
          <w:tcPr>
            <w:tcW w:w="420" w:type="dxa"/>
            <w:vAlign w:val="bottom"/>
            <w:shd w:val="clear" w:color="auto" w:fill="D8D8D8"/>
          </w:tcPr>
          <w:p>
            <w:pPr>
              <w:spacing w:after="0"/>
              <w:rPr>
                <w:sz w:val="19"/>
                <w:szCs w:val="19"/>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Accrued retirement benefits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(1,749.3)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(3,878.2)</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(204.8)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30"/>
        </w:trPr>
        <w:tc>
          <w:tcPr>
            <w:tcW w:w="5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Accumulated other comprehensive (income) loss before income taxes</w:t>
            </w:r>
          </w:p>
        </w:tc>
        <w:tc>
          <w:tcPr>
            <w:tcW w:w="340" w:type="dxa"/>
            <w:vAlign w:val="bottom"/>
            <w:tcBorders>
              <w:bottom w:val="single" w:sz="8" w:color="auto"/>
            </w:tcBorders>
            <w:shd w:val="clear" w:color="auto" w:fill="D8D8D8"/>
          </w:tcPr>
          <w:p>
            <w:pPr>
              <w:spacing w:after="0"/>
              <w:rPr>
                <w:sz w:val="19"/>
                <w:szCs w:val="19"/>
                <w:color w:val="auto"/>
              </w:rPr>
            </w:pPr>
          </w:p>
        </w:tc>
        <w:tc>
          <w:tcPr>
            <w:tcW w:w="10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3,919.5</w:t>
            </w:r>
          </w:p>
        </w:tc>
        <w:tc>
          <w:tcPr>
            <w:tcW w:w="380" w:type="dxa"/>
            <w:vAlign w:val="bottom"/>
            <w:tcBorders>
              <w:bottom w:val="single" w:sz="8" w:color="auto"/>
            </w:tcBorders>
            <w:shd w:val="clear" w:color="auto" w:fill="D8D8D8"/>
          </w:tcPr>
          <w:p>
            <w:pPr>
              <w:spacing w:after="0"/>
              <w:rPr>
                <w:sz w:val="19"/>
                <w:szCs w:val="19"/>
                <w:color w:val="auto"/>
              </w:rPr>
            </w:pPr>
          </w:p>
        </w:tc>
        <w:tc>
          <w:tcPr>
            <w:tcW w:w="10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6,530.9</w:t>
            </w:r>
          </w:p>
        </w:tc>
        <w:tc>
          <w:tcPr>
            <w:tcW w:w="420" w:type="dxa"/>
            <w:vAlign w:val="bottom"/>
            <w:tcBorders>
              <w:bottom w:val="single" w:sz="8" w:color="auto"/>
            </w:tcBorders>
            <w:shd w:val="clear" w:color="auto" w:fill="D8D8D8"/>
          </w:tcPr>
          <w:p>
            <w:pPr>
              <w:spacing w:after="0"/>
              <w:rPr>
                <w:sz w:val="19"/>
                <w:szCs w:val="19"/>
                <w:color w:val="auto"/>
              </w:rPr>
            </w:pPr>
          </w:p>
        </w:tc>
        <w:tc>
          <w:tcPr>
            <w:tcW w:w="9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(614.7)</w:t>
            </w:r>
          </w:p>
        </w:tc>
        <w:tc>
          <w:tcPr>
            <w:tcW w:w="420" w:type="dxa"/>
            <w:vAlign w:val="bottom"/>
            <w:tcBorders>
              <w:bottom w:val="single" w:sz="8" w:color="auto"/>
            </w:tcBorders>
            <w:shd w:val="clear" w:color="auto" w:fill="D8D8D8"/>
          </w:tcPr>
          <w:p>
            <w:pPr>
              <w:spacing w:after="0"/>
              <w:rPr>
                <w:sz w:val="19"/>
                <w:szCs w:val="19"/>
                <w:color w:val="auto"/>
              </w:rPr>
            </w:pP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(526.7)</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2,770.4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2,884.4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1,082.8</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946.6</w:t>
            </w:r>
          </w:p>
        </w:tc>
      </w:tr>
    </w:tbl>
    <w:p>
      <w:pPr>
        <w:spacing w:after="0" w:line="16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unrecognized net actuarial (gain) loss and unrecognized prior service (benefit) cost have not yet been recognized in net periodic pension costs and were included in accumulated other comprehensive loss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95" w:name="page96"/>
    <w:bookmarkEnd w:id="95"/>
    <w:p>
      <w:pPr>
        <w:spacing w:after="0" w:line="13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$ 750.4 million decrease in benefit obligation in 2021 was driven primarily by an increase in the discount rate. The $2.13 billion increase in the benefit obligation in 2020 was driven by a decrease in the discount 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weighted-average assumptions as of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center"/>
              <w:ind w:right="37"/>
              <w:spacing w:after="0"/>
              <w:rPr>
                <w:sz w:val="20"/>
                <w:szCs w:val="20"/>
                <w:color w:val="auto"/>
              </w:rPr>
            </w:pPr>
            <w:r>
              <w:rPr>
                <w:rFonts w:ascii="Arial" w:cs="Arial" w:eastAsia="Arial" w:hAnsi="Arial"/>
                <w:sz w:val="14"/>
                <w:szCs w:val="14"/>
                <w:b w:val="1"/>
                <w:bCs w:val="1"/>
                <w:color w:val="auto"/>
              </w:rPr>
              <w:t>Defined Benefit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center"/>
              <w:ind w:right="39"/>
              <w:spacing w:after="0"/>
              <w:rPr>
                <w:sz w:val="20"/>
                <w:szCs w:val="20"/>
                <w:color w:val="auto"/>
              </w:rPr>
            </w:pPr>
            <w:r>
              <w:rPr>
                <w:rFonts w:ascii="Arial" w:cs="Arial" w:eastAsia="Arial" w:hAnsi="Arial"/>
                <w:sz w:val="14"/>
                <w:szCs w:val="14"/>
                <w:b w:val="1"/>
                <w:bCs w:val="1"/>
                <w:color w:val="auto"/>
              </w:rPr>
              <w:t>Retiree Health</w:t>
            </w:r>
          </w:p>
        </w:tc>
        <w:tc>
          <w:tcPr>
            <w:tcW w:w="760" w:type="dxa"/>
            <w:vAlign w:val="bottom"/>
          </w:tcPr>
          <w:p>
            <w:pPr>
              <w:spacing w:after="0"/>
              <w:rPr>
                <w:sz w:val="14"/>
                <w:szCs w:val="14"/>
                <w:color w:val="auto"/>
              </w:rPr>
            </w:pPr>
          </w:p>
        </w:tc>
      </w:tr>
      <w:tr>
        <w:trPr>
          <w:trHeight w:val="175"/>
        </w:trPr>
        <w:tc>
          <w:tcPr>
            <w:tcW w:w="55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Pension Plans</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Benefit Plans</w:t>
            </w:r>
          </w:p>
        </w:tc>
        <w:tc>
          <w:tcPr>
            <w:tcW w:w="760" w:type="dxa"/>
            <w:vAlign w:val="bottom"/>
            <w:tcBorders>
              <w:bottom w:val="single" w:sz="8" w:color="auto"/>
            </w:tcBorders>
          </w:tcPr>
          <w:p>
            <w:pPr>
              <w:spacing w:after="0"/>
              <w:rPr>
                <w:sz w:val="15"/>
                <w:szCs w:val="15"/>
                <w:color w:val="auto"/>
              </w:rPr>
            </w:pPr>
          </w:p>
        </w:tc>
      </w:tr>
      <w:tr>
        <w:trPr>
          <w:trHeight w:val="183"/>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(Percents)</w:t>
            </w: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r>
      <w:tr>
        <w:trPr>
          <w:trHeight w:val="223"/>
        </w:trPr>
        <w:tc>
          <w:tcPr>
            <w:tcW w:w="5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Discount rate for benefit obligation</w:t>
            </w:r>
          </w:p>
        </w:tc>
        <w:tc>
          <w:tcPr>
            <w:tcW w:w="86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w w:val="99"/>
              </w:rPr>
              <w:t>2.8 %</w:t>
            </w:r>
          </w:p>
        </w:tc>
        <w:tc>
          <w:tcPr>
            <w:tcW w:w="1220" w:type="dxa"/>
            <w:vAlign w:val="bottom"/>
            <w:shd w:val="clear" w:color="auto" w:fill="D8D8D8"/>
          </w:tcPr>
          <w:p>
            <w:pPr>
              <w:ind w:left="480"/>
              <w:spacing w:after="0"/>
              <w:rPr>
                <w:sz w:val="20"/>
                <w:szCs w:val="20"/>
                <w:color w:val="auto"/>
              </w:rPr>
            </w:pPr>
            <w:r>
              <w:rPr>
                <w:rFonts w:ascii="Arial" w:cs="Arial" w:eastAsia="Arial" w:hAnsi="Arial"/>
                <w:sz w:val="18"/>
                <w:szCs w:val="18"/>
                <w:color w:val="auto"/>
              </w:rPr>
              <w:t>2.4 %</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D8D8D8"/>
          </w:tcPr>
          <w:p>
            <w:pPr>
              <w:spacing w:after="0"/>
              <w:rPr>
                <w:sz w:val="19"/>
                <w:szCs w:val="19"/>
                <w:color w:val="auto"/>
              </w:rPr>
            </w:pPr>
          </w:p>
        </w:tc>
        <w:tc>
          <w:tcPr>
            <w:tcW w:w="88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3.0 %</w:t>
            </w:r>
          </w:p>
        </w:tc>
        <w:tc>
          <w:tcPr>
            <w:tcW w:w="1180" w:type="dxa"/>
            <w:vAlign w:val="bottom"/>
            <w:shd w:val="clear" w:color="auto" w:fill="D8D8D8"/>
          </w:tcPr>
          <w:p>
            <w:pPr>
              <w:ind w:left="460"/>
              <w:spacing w:after="0"/>
              <w:rPr>
                <w:sz w:val="20"/>
                <w:szCs w:val="20"/>
                <w:color w:val="auto"/>
              </w:rPr>
            </w:pPr>
            <w:r>
              <w:rPr>
                <w:rFonts w:ascii="Arial" w:cs="Arial" w:eastAsia="Arial" w:hAnsi="Arial"/>
                <w:sz w:val="18"/>
                <w:szCs w:val="18"/>
                <w:color w:val="auto"/>
              </w:rPr>
              <w:t>2.6 %</w:t>
            </w:r>
          </w:p>
        </w:tc>
        <w:tc>
          <w:tcPr>
            <w:tcW w:w="760" w:type="dxa"/>
            <w:vAlign w:val="bottom"/>
            <w:shd w:val="clear" w:color="auto" w:fill="D8D8D8"/>
          </w:tcPr>
          <w:p>
            <w:pPr>
              <w:ind w:left="280"/>
              <w:spacing w:after="0"/>
              <w:rPr>
                <w:sz w:val="20"/>
                <w:szCs w:val="20"/>
                <w:color w:val="auto"/>
              </w:rPr>
            </w:pPr>
            <w:r>
              <w:rPr>
                <w:rFonts w:ascii="Arial" w:cs="Arial" w:eastAsia="Arial" w:hAnsi="Arial"/>
                <w:sz w:val="18"/>
                <w:szCs w:val="18"/>
                <w:color w:val="auto"/>
                <w:w w:val="99"/>
              </w:rPr>
              <w:t>3.3 %</w:t>
            </w: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Discount rate for net benefit costs</w:t>
            </w:r>
          </w:p>
        </w:tc>
        <w:tc>
          <w:tcPr>
            <w:tcW w:w="860" w:type="dxa"/>
            <w:vAlign w:val="bottom"/>
          </w:tcPr>
          <w:p>
            <w:pPr>
              <w:ind w:left="380"/>
              <w:spacing w:after="0"/>
              <w:rPr>
                <w:sz w:val="20"/>
                <w:szCs w:val="20"/>
                <w:color w:val="auto"/>
              </w:rPr>
            </w:pPr>
            <w:r>
              <w:rPr>
                <w:rFonts w:ascii="Arial" w:cs="Arial" w:eastAsia="Arial" w:hAnsi="Arial"/>
                <w:sz w:val="18"/>
                <w:szCs w:val="18"/>
                <w:b w:val="1"/>
                <w:bCs w:val="1"/>
                <w:color w:val="auto"/>
              </w:rPr>
              <w:t>2.4</w:t>
            </w:r>
          </w:p>
        </w:tc>
        <w:tc>
          <w:tcPr>
            <w:tcW w:w="1220" w:type="dxa"/>
            <w:vAlign w:val="bottom"/>
          </w:tcPr>
          <w:p>
            <w:pPr>
              <w:ind w:left="480"/>
              <w:spacing w:after="0"/>
              <w:rPr>
                <w:sz w:val="20"/>
                <w:szCs w:val="20"/>
                <w:color w:val="auto"/>
              </w:rPr>
            </w:pPr>
            <w:r>
              <w:rPr>
                <w:rFonts w:ascii="Arial" w:cs="Arial" w:eastAsia="Arial" w:hAnsi="Arial"/>
                <w:sz w:val="18"/>
                <w:szCs w:val="18"/>
                <w:color w:val="auto"/>
              </w:rPr>
              <w:t>3.0</w:t>
            </w:r>
          </w:p>
        </w:tc>
        <w:tc>
          <w:tcPr>
            <w:tcW w:w="740" w:type="dxa"/>
            <w:vAlign w:val="bottom"/>
          </w:tcPr>
          <w:p>
            <w:pPr>
              <w:ind w:left="2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880" w:type="dxa"/>
            <w:vAlign w:val="bottom"/>
          </w:tcPr>
          <w:p>
            <w:pPr>
              <w:ind w:left="380"/>
              <w:spacing w:after="0"/>
              <w:rPr>
                <w:sz w:val="20"/>
                <w:szCs w:val="20"/>
                <w:color w:val="auto"/>
              </w:rPr>
            </w:pPr>
            <w:r>
              <w:rPr>
                <w:rFonts w:ascii="Arial" w:cs="Arial" w:eastAsia="Arial" w:hAnsi="Arial"/>
                <w:sz w:val="18"/>
                <w:szCs w:val="18"/>
                <w:b w:val="1"/>
                <w:bCs w:val="1"/>
                <w:color w:val="auto"/>
              </w:rPr>
              <w:t>2.6</w:t>
            </w:r>
          </w:p>
        </w:tc>
        <w:tc>
          <w:tcPr>
            <w:tcW w:w="1180" w:type="dxa"/>
            <w:vAlign w:val="bottom"/>
          </w:tcPr>
          <w:p>
            <w:pPr>
              <w:ind w:left="460"/>
              <w:spacing w:after="0"/>
              <w:rPr>
                <w:sz w:val="20"/>
                <w:szCs w:val="20"/>
                <w:color w:val="auto"/>
              </w:rPr>
            </w:pPr>
            <w:r>
              <w:rPr>
                <w:rFonts w:ascii="Arial" w:cs="Arial" w:eastAsia="Arial" w:hAnsi="Arial"/>
                <w:sz w:val="18"/>
                <w:szCs w:val="18"/>
                <w:color w:val="auto"/>
              </w:rPr>
              <w:t>3.3</w:t>
            </w:r>
          </w:p>
        </w:tc>
        <w:tc>
          <w:tcPr>
            <w:tcW w:w="760" w:type="dxa"/>
            <w:vAlign w:val="bottom"/>
          </w:tcPr>
          <w:p>
            <w:pPr>
              <w:ind w:left="280"/>
              <w:spacing w:after="0"/>
              <w:rPr>
                <w:sz w:val="20"/>
                <w:szCs w:val="20"/>
                <w:color w:val="auto"/>
              </w:rPr>
            </w:pPr>
            <w:r>
              <w:rPr>
                <w:rFonts w:ascii="Arial" w:cs="Arial" w:eastAsia="Arial" w:hAnsi="Arial"/>
                <w:sz w:val="18"/>
                <w:szCs w:val="18"/>
                <w:color w:val="auto"/>
              </w:rPr>
              <w:t>4.4</w:t>
            </w:r>
          </w:p>
        </w:tc>
      </w:tr>
      <w:tr>
        <w:trPr>
          <w:trHeight w:val="230"/>
        </w:trPr>
        <w:tc>
          <w:tcPr>
            <w:tcW w:w="5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Rate of compensation increase for benefit obligation</w:t>
            </w:r>
          </w:p>
        </w:tc>
        <w:tc>
          <w:tcPr>
            <w:tcW w:w="86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3.5</w:t>
            </w:r>
          </w:p>
        </w:tc>
        <w:tc>
          <w:tcPr>
            <w:tcW w:w="1220" w:type="dxa"/>
            <w:vAlign w:val="bottom"/>
            <w:shd w:val="clear" w:color="auto" w:fill="D8D8D8"/>
          </w:tcPr>
          <w:p>
            <w:pPr>
              <w:ind w:left="480"/>
              <w:spacing w:after="0"/>
              <w:rPr>
                <w:sz w:val="20"/>
                <w:szCs w:val="20"/>
                <w:color w:val="auto"/>
              </w:rPr>
            </w:pPr>
            <w:r>
              <w:rPr>
                <w:rFonts w:ascii="Arial" w:cs="Arial" w:eastAsia="Arial" w:hAnsi="Arial"/>
                <w:sz w:val="18"/>
                <w:szCs w:val="18"/>
                <w:color w:val="auto"/>
              </w:rPr>
              <w:t>3.3</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Rate of compensation increase for net benefit costs</w:t>
            </w:r>
          </w:p>
        </w:tc>
        <w:tc>
          <w:tcPr>
            <w:tcW w:w="860" w:type="dxa"/>
            <w:vAlign w:val="bottom"/>
          </w:tcPr>
          <w:p>
            <w:pPr>
              <w:ind w:left="380"/>
              <w:spacing w:after="0"/>
              <w:rPr>
                <w:sz w:val="20"/>
                <w:szCs w:val="20"/>
                <w:color w:val="auto"/>
              </w:rPr>
            </w:pPr>
            <w:r>
              <w:rPr>
                <w:rFonts w:ascii="Arial" w:cs="Arial" w:eastAsia="Arial" w:hAnsi="Arial"/>
                <w:sz w:val="18"/>
                <w:szCs w:val="18"/>
                <w:b w:val="1"/>
                <w:bCs w:val="1"/>
                <w:color w:val="auto"/>
              </w:rPr>
              <w:t>3.3</w:t>
            </w:r>
          </w:p>
        </w:tc>
        <w:tc>
          <w:tcPr>
            <w:tcW w:w="1220" w:type="dxa"/>
            <w:vAlign w:val="bottom"/>
          </w:tcPr>
          <w:p>
            <w:pPr>
              <w:ind w:left="480"/>
              <w:spacing w:after="0"/>
              <w:rPr>
                <w:sz w:val="20"/>
                <w:szCs w:val="20"/>
                <w:color w:val="auto"/>
              </w:rPr>
            </w:pPr>
            <w:r>
              <w:rPr>
                <w:rFonts w:ascii="Arial" w:cs="Arial" w:eastAsia="Arial" w:hAnsi="Arial"/>
                <w:sz w:val="18"/>
                <w:szCs w:val="18"/>
                <w:color w:val="auto"/>
              </w:rPr>
              <w:t>3.3</w:t>
            </w:r>
          </w:p>
        </w:tc>
        <w:tc>
          <w:tcPr>
            <w:tcW w:w="740" w:type="dxa"/>
            <w:vAlign w:val="bottom"/>
          </w:tcPr>
          <w:p>
            <w:pPr>
              <w:ind w:left="2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5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Expected return on plan assets for net benefit costs</w:t>
            </w:r>
          </w:p>
        </w:tc>
        <w:tc>
          <w:tcPr>
            <w:tcW w:w="86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6.8</w:t>
            </w:r>
          </w:p>
        </w:tc>
        <w:tc>
          <w:tcPr>
            <w:tcW w:w="1220" w:type="dxa"/>
            <w:vAlign w:val="bottom"/>
            <w:shd w:val="clear" w:color="auto" w:fill="D8D8D8"/>
          </w:tcPr>
          <w:p>
            <w:pPr>
              <w:ind w:left="480"/>
              <w:spacing w:after="0"/>
              <w:rPr>
                <w:sz w:val="20"/>
                <w:szCs w:val="20"/>
                <w:color w:val="auto"/>
              </w:rPr>
            </w:pPr>
            <w:r>
              <w:rPr>
                <w:rFonts w:ascii="Arial" w:cs="Arial" w:eastAsia="Arial" w:hAnsi="Arial"/>
                <w:sz w:val="18"/>
                <w:szCs w:val="18"/>
                <w:color w:val="auto"/>
              </w:rPr>
              <w:t>7.3</w:t>
            </w:r>
          </w:p>
        </w:tc>
        <w:tc>
          <w:tcPr>
            <w:tcW w:w="7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8D8D8"/>
          </w:tcPr>
          <w:p>
            <w:pPr>
              <w:spacing w:after="0"/>
              <w:rPr>
                <w:sz w:val="19"/>
                <w:szCs w:val="19"/>
                <w:color w:val="auto"/>
              </w:rPr>
            </w:pPr>
          </w:p>
        </w:tc>
        <w:tc>
          <w:tcPr>
            <w:tcW w:w="880" w:type="dxa"/>
            <w:vAlign w:val="bottom"/>
            <w:shd w:val="clear" w:color="auto" w:fill="D8D8D8"/>
          </w:tcPr>
          <w:p>
            <w:pPr>
              <w:ind w:left="380"/>
              <w:spacing w:after="0"/>
              <w:rPr>
                <w:sz w:val="20"/>
                <w:szCs w:val="20"/>
                <w:color w:val="auto"/>
              </w:rPr>
            </w:pPr>
            <w:r>
              <w:rPr>
                <w:rFonts w:ascii="Arial" w:cs="Arial" w:eastAsia="Arial" w:hAnsi="Arial"/>
                <w:sz w:val="18"/>
                <w:szCs w:val="18"/>
                <w:b w:val="1"/>
                <w:bCs w:val="1"/>
                <w:color w:val="auto"/>
              </w:rPr>
              <w:t>5.0</w:t>
            </w:r>
          </w:p>
        </w:tc>
        <w:tc>
          <w:tcPr>
            <w:tcW w:w="1180" w:type="dxa"/>
            <w:vAlign w:val="bottom"/>
            <w:shd w:val="clear" w:color="auto" w:fill="D8D8D8"/>
          </w:tcPr>
          <w:p>
            <w:pPr>
              <w:ind w:left="460"/>
              <w:spacing w:after="0"/>
              <w:rPr>
                <w:sz w:val="20"/>
                <w:szCs w:val="20"/>
                <w:color w:val="auto"/>
              </w:rPr>
            </w:pPr>
            <w:r>
              <w:rPr>
                <w:rFonts w:ascii="Arial" w:cs="Arial" w:eastAsia="Arial" w:hAnsi="Arial"/>
                <w:sz w:val="18"/>
                <w:szCs w:val="18"/>
                <w:color w:val="auto"/>
              </w:rPr>
              <w:t>6.0</w:t>
            </w:r>
          </w:p>
        </w:tc>
        <w:tc>
          <w:tcPr>
            <w:tcW w:w="760" w:type="dxa"/>
            <w:vAlign w:val="bottom"/>
            <w:shd w:val="clear" w:color="auto" w:fill="D8D8D8"/>
          </w:tcPr>
          <w:p>
            <w:pPr>
              <w:ind w:left="280"/>
              <w:spacing w:after="0"/>
              <w:rPr>
                <w:sz w:val="20"/>
                <w:szCs w:val="20"/>
                <w:color w:val="auto"/>
              </w:rPr>
            </w:pPr>
            <w:r>
              <w:rPr>
                <w:rFonts w:ascii="Arial" w:cs="Arial" w:eastAsia="Arial" w:hAnsi="Arial"/>
                <w:sz w:val="18"/>
                <w:szCs w:val="18"/>
                <w:color w:val="auto"/>
              </w:rPr>
              <w:t>6.0</w:t>
            </w:r>
          </w:p>
        </w:tc>
      </w:tr>
    </w:tbl>
    <w:p>
      <w:pPr>
        <w:spacing w:after="0" w:line="1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9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2027-2031</w:t>
            </w:r>
          </w:p>
        </w:tc>
      </w:tr>
      <w:tr>
        <w:trPr>
          <w:trHeight w:val="223"/>
        </w:trPr>
        <w:tc>
          <w:tcPr>
            <w:tcW w:w="2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631.9</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641.8</w:t>
            </w:r>
          </w:p>
        </w:tc>
        <w:tc>
          <w:tcPr>
            <w:tcW w:w="36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669.4</w:t>
            </w:r>
          </w:p>
        </w:tc>
        <w:tc>
          <w:tcPr>
            <w:tcW w:w="36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686.6</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707.5</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3,919.7</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89.4</w:t>
            </w:r>
          </w:p>
        </w:tc>
        <w:tc>
          <w:tcPr>
            <w:tcW w:w="38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89.5</w:t>
            </w:r>
          </w:p>
        </w:tc>
        <w:tc>
          <w:tcPr>
            <w:tcW w:w="3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93.1</w:t>
            </w:r>
          </w:p>
        </w:tc>
        <w:tc>
          <w:tcPr>
            <w:tcW w:w="3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93.9</w:t>
            </w:r>
          </w:p>
        </w:tc>
        <w:tc>
          <w:tcPr>
            <w:tcW w:w="3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r>
      <w:tr>
        <w:trPr>
          <w:trHeight w:val="223"/>
        </w:trPr>
        <w:tc>
          <w:tcPr>
            <w:tcW w:w="542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Projected benefit obligation</w:t>
            </w:r>
          </w:p>
        </w:tc>
        <w:tc>
          <w:tcPr>
            <w:tcW w:w="35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b w:val="1"/>
                <w:bCs w:val="1"/>
                <w:color w:val="auto"/>
              </w:rPr>
              <w:t>3,360.3</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15,770.7</w:t>
            </w:r>
          </w:p>
        </w:tc>
      </w:tr>
      <w:tr>
        <w:trPr>
          <w:trHeight w:val="239"/>
        </w:trPr>
        <w:tc>
          <w:tcPr>
            <w:tcW w:w="54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50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auto"/>
              </w:rPr>
              <w:t>1,542.8</w:t>
            </w:r>
          </w:p>
        </w:tc>
        <w:tc>
          <w:tcPr>
            <w:tcW w:w="38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8"/>
                <w:szCs w:val="18"/>
                <w:color w:val="auto"/>
              </w:rPr>
              <w:t>11,824.4</w:t>
            </w:r>
          </w:p>
        </w:tc>
      </w:tr>
    </w:tbl>
    <w:p>
      <w:pPr>
        <w:spacing w:after="0" w:line="15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0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rPr>
              <w:t>Retiree Health</w:t>
            </w:r>
          </w:p>
        </w:tc>
        <w:tc>
          <w:tcPr>
            <w:tcW w:w="800" w:type="dxa"/>
            <w:vAlign w:val="bottom"/>
          </w:tcPr>
          <w:p>
            <w:pPr>
              <w:spacing w:after="0"/>
              <w:rPr>
                <w:sz w:val="14"/>
                <w:szCs w:val="14"/>
                <w:color w:val="auto"/>
              </w:rPr>
            </w:pPr>
          </w:p>
        </w:tc>
      </w:tr>
      <w:tr>
        <w:trPr>
          <w:trHeight w:val="175"/>
        </w:trPr>
        <w:tc>
          <w:tcPr>
            <w:tcW w:w="5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Benefit Plans</w:t>
            </w:r>
          </w:p>
        </w:tc>
        <w:tc>
          <w:tcPr>
            <w:tcW w:w="800" w:type="dxa"/>
            <w:vAlign w:val="bottom"/>
            <w:tcBorders>
              <w:bottom w:val="single" w:sz="8" w:color="auto"/>
            </w:tcBorders>
          </w:tcPr>
          <w:p>
            <w:pPr>
              <w:spacing w:after="0"/>
              <w:rPr>
                <w:sz w:val="15"/>
                <w:szCs w:val="15"/>
                <w:color w:val="auto"/>
              </w:rPr>
            </w:pPr>
          </w:p>
        </w:tc>
      </w:tr>
      <w:tr>
        <w:trPr>
          <w:trHeight w:val="183"/>
        </w:trPr>
        <w:tc>
          <w:tcPr>
            <w:tcW w:w="5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r>
      <w:tr>
        <w:trPr>
          <w:trHeight w:val="223"/>
        </w:trPr>
        <w:tc>
          <w:tcPr>
            <w:tcW w:w="5920" w:type="dxa"/>
            <w:vAlign w:val="bottom"/>
            <w:shd w:val="clear" w:color="auto" w:fill="D8D8D8"/>
          </w:tcPr>
          <w:p>
            <w:pPr>
              <w:ind w:left="20"/>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2,532.0</w:t>
            </w:r>
          </w:p>
        </w:tc>
        <w:tc>
          <w:tcPr>
            <w:tcW w:w="54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14,682.3</w:t>
            </w:r>
          </w:p>
        </w:tc>
        <w:tc>
          <w:tcPr>
            <w:tcW w:w="100" w:type="dxa"/>
            <w:vAlign w:val="bottom"/>
            <w:shd w:val="clear" w:color="auto" w:fill="D8D8D8"/>
          </w:tcPr>
          <w:p>
            <w:pPr>
              <w:spacing w:after="0"/>
              <w:rPr>
                <w:sz w:val="19"/>
                <w:szCs w:val="19"/>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21"/>
              <w:spacing w:after="0"/>
              <w:rPr>
                <w:sz w:val="20"/>
                <w:szCs w:val="20"/>
                <w:color w:val="auto"/>
              </w:rPr>
            </w:pPr>
            <w:r>
              <w:rPr>
                <w:rFonts w:ascii="Arial" w:cs="Arial" w:eastAsia="Arial" w:hAnsi="Arial"/>
                <w:sz w:val="18"/>
                <w:szCs w:val="18"/>
                <w:b w:val="1"/>
                <w:bCs w:val="1"/>
                <w:color w:val="auto"/>
              </w:rPr>
              <w:t>212.6</w:t>
            </w:r>
          </w:p>
        </w:tc>
        <w:tc>
          <w:tcPr>
            <w:tcW w:w="5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223.8</w:t>
            </w: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973.4</w:t>
            </w:r>
          </w:p>
        </w:tc>
        <w:tc>
          <w:tcPr>
            <w:tcW w:w="54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11,824.4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total accumulated benefit obligation for our defined benefit pension plans was $16.44 billion and $17.03 billion at December 31, 2021 and 2020, respectively.</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4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r>
      <w:tr>
        <w:trPr>
          <w:trHeight w:val="223"/>
        </w:trPr>
        <w:tc>
          <w:tcPr>
            <w:tcW w:w="4220" w:type="dxa"/>
            <w:vAlign w:val="bottom"/>
            <w:shd w:val="clear" w:color="auto" w:fill="D8D8D8"/>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369.2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325.5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49.2</w:t>
            </w:r>
          </w:p>
        </w:tc>
        <w:tc>
          <w:tcPr>
            <w:tcW w:w="3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40.8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42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337.8</w:t>
            </w: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425.8</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486.0</w:t>
            </w: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32.5</w:t>
            </w: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43.7</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58.0</w:t>
            </w: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(949.3)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(146.2)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(144.3)</w:t>
            </w:r>
          </w:p>
        </w:tc>
      </w:tr>
      <w:tr>
        <w:trPr>
          <w:trHeight w:val="229"/>
        </w:trPr>
        <w:tc>
          <w:tcPr>
            <w:tcW w:w="42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19"/>
                <w:szCs w:val="19"/>
                <w:color w:val="auto"/>
              </w:rPr>
            </w:pPr>
          </w:p>
        </w:tc>
        <w:tc>
          <w:tcPr>
            <w:tcW w:w="8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4.2</w:t>
            </w:r>
          </w:p>
        </w:tc>
        <w:tc>
          <w:tcPr>
            <w:tcW w:w="320" w:type="dxa"/>
            <w:vAlign w:val="bottom"/>
            <w:shd w:val="clear" w:color="auto" w:fill="D8D8D8"/>
          </w:tcPr>
          <w:p>
            <w:pPr>
              <w:spacing w:after="0"/>
              <w:rPr>
                <w:sz w:val="19"/>
                <w:szCs w:val="19"/>
                <w:color w:val="auto"/>
              </w:rPr>
            </w:pPr>
          </w:p>
        </w:tc>
        <w:tc>
          <w:tcPr>
            <w:tcW w:w="88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4.5</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(59.6)</w:t>
            </w:r>
          </w:p>
        </w:tc>
        <w:tc>
          <w:tcPr>
            <w:tcW w:w="300" w:type="dxa"/>
            <w:vAlign w:val="bottom"/>
            <w:shd w:val="clear" w:color="auto" w:fill="D8D8D8"/>
          </w:tcPr>
          <w:p>
            <w:pPr>
              <w:spacing w:after="0"/>
              <w:rPr>
                <w:sz w:val="19"/>
                <w:szCs w:val="19"/>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D8D8D8"/>
          </w:tcPr>
          <w:p>
            <w:pPr>
              <w:spacing w:after="0"/>
              <w:rPr>
                <w:sz w:val="19"/>
                <w:szCs w:val="19"/>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Recognized actuarial (gain) loss</w:t>
            </w:r>
          </w:p>
        </w:tc>
        <w:tc>
          <w:tcPr>
            <w:tcW w:w="2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487.7</w:t>
            </w:r>
          </w:p>
        </w:tc>
        <w:tc>
          <w:tcPr>
            <w:tcW w:w="32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396.3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2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Curtailment loss</w:t>
            </w:r>
          </w:p>
        </w:tc>
        <w:tc>
          <w:tcPr>
            <w:tcW w:w="240" w:type="dxa"/>
            <w:vAlign w:val="bottom"/>
            <w:tcBorders>
              <w:bottom w:val="single" w:sz="8" w:color="auto"/>
            </w:tcBorders>
            <w:shd w:val="clear" w:color="auto" w:fill="D8D8D8"/>
          </w:tcPr>
          <w:p>
            <w:pPr>
              <w:spacing w:after="0"/>
              <w:rPr>
                <w:sz w:val="19"/>
                <w:szCs w:val="19"/>
                <w:color w:val="auto"/>
              </w:rPr>
            </w:pPr>
          </w:p>
        </w:tc>
        <w:tc>
          <w:tcPr>
            <w:tcW w:w="8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D8D8D8"/>
          </w:tcPr>
          <w:p>
            <w:pPr>
              <w:spacing w:after="0"/>
              <w:rPr>
                <w:sz w:val="19"/>
                <w:szCs w:val="19"/>
                <w:color w:val="auto"/>
              </w:rPr>
            </w:pPr>
          </w:p>
        </w:tc>
        <w:tc>
          <w:tcPr>
            <w:tcW w:w="88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8D8D8"/>
          </w:tcPr>
          <w:p>
            <w:pPr>
              <w:spacing w:after="0"/>
              <w:rPr>
                <w:sz w:val="19"/>
                <w:szCs w:val="19"/>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spacing w:after="0"/>
              <w:rPr>
                <w:sz w:val="19"/>
                <w:szCs w:val="19"/>
                <w:color w:val="auto"/>
              </w:rPr>
            </w:pPr>
          </w:p>
        </w:tc>
        <w:tc>
          <w:tcPr>
            <w:tcW w:w="88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D8D8D8"/>
          </w:tcPr>
          <w:p>
            <w:pPr>
              <w:spacing w:after="0"/>
              <w:rPr>
                <w:sz w:val="19"/>
                <w:szCs w:val="19"/>
                <w:color w:val="auto"/>
              </w:rPr>
            </w:pPr>
          </w:p>
        </w:tc>
        <w:tc>
          <w:tcPr>
            <w:tcW w:w="88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8D8D8"/>
          </w:tcPr>
          <w:p>
            <w:pPr>
              <w:spacing w:after="0"/>
              <w:rPr>
                <w:sz w:val="19"/>
                <w:szCs w:val="19"/>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249.6</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250.6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 2021,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Defined Benefit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Benefit Plans</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Actuarial gain (loss) arising during period</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2,072.4</w:t>
            </w:r>
          </w:p>
        </w:tc>
        <w:tc>
          <w:tcPr>
            <w:tcW w:w="360" w:type="dxa"/>
            <w:vAlign w:val="bottom"/>
            <w:shd w:val="clear" w:color="auto" w:fill="DBDBDB"/>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(663.0)</w:t>
            </w:r>
          </w:p>
        </w:tc>
        <w:tc>
          <w:tcPr>
            <w:tcW w:w="34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(1,461.0)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142.5</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238.8</w:t>
            </w:r>
          </w:p>
        </w:tc>
        <w:tc>
          <w:tcPr>
            <w:tcW w:w="3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Plan amendments during period</w:t>
            </w:r>
          </w:p>
        </w:tc>
        <w:tc>
          <w:tcPr>
            <w:tcW w:w="2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Curtailment gain</w:t>
            </w: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72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prior service (benefit) cost</w:t>
            </w:r>
          </w:p>
        </w:tc>
        <w:tc>
          <w:tcPr>
            <w:tcW w:w="260" w:type="dxa"/>
            <w:vAlign w:val="bottom"/>
          </w:tcPr>
          <w:p>
            <w:pPr>
              <w:spacing w:after="0"/>
              <w:rPr>
                <w:sz w:val="16"/>
                <w:szCs w:val="16"/>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4.2</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(59.6)</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20" w:type="dxa"/>
            <w:vAlign w:val="bottom"/>
          </w:tcPr>
          <w:p>
            <w:pPr>
              <w:ind w:left="20"/>
              <w:spacing w:after="0"/>
              <w:rPr>
                <w:sz w:val="20"/>
                <w:szCs w:val="20"/>
                <w:color w:val="auto"/>
              </w:rPr>
            </w:pPr>
            <w:r>
              <w:rPr>
                <w:rFonts w:ascii="Arial" w:cs="Arial" w:eastAsia="Arial" w:hAnsi="Arial"/>
                <w:sz w:val="18"/>
                <w:szCs w:val="18"/>
                <w:color w:val="auto"/>
              </w:rPr>
              <w:t>included in net income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88"/>
        </w:trPr>
        <w:tc>
          <w:tcPr>
            <w:tcW w:w="372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Amortization of net actuarial (gain) loss</w:t>
            </w:r>
          </w:p>
        </w:tc>
        <w:tc>
          <w:tcPr>
            <w:tcW w:w="260" w:type="dxa"/>
            <w:vAlign w:val="bottom"/>
            <w:shd w:val="clear" w:color="auto" w:fill="DBDBDB"/>
          </w:tcPr>
          <w:p>
            <w:pPr>
              <w:spacing w:after="0"/>
              <w:rPr>
                <w:sz w:val="16"/>
                <w:szCs w:val="16"/>
                <w:color w:val="auto"/>
              </w:rPr>
            </w:pPr>
          </w:p>
        </w:tc>
        <w:tc>
          <w:tcPr>
            <w:tcW w:w="920" w:type="dxa"/>
            <w:vAlign w:val="bottom"/>
            <w:vMerge w:val="restart"/>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487.7</w:t>
            </w:r>
          </w:p>
        </w:tc>
        <w:tc>
          <w:tcPr>
            <w:tcW w:w="3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940" w:type="dxa"/>
            <w:vAlign w:val="bottom"/>
            <w:vMerge w:val="restart"/>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3.2</w:t>
            </w:r>
          </w:p>
        </w:tc>
        <w:tc>
          <w:tcPr>
            <w:tcW w:w="18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included in net income</w:t>
            </w:r>
          </w:p>
        </w:tc>
        <w:tc>
          <w:tcPr>
            <w:tcW w:w="260" w:type="dxa"/>
            <w:vAlign w:val="bottom"/>
            <w:shd w:val="clear" w:color="auto" w:fill="DBDBDB"/>
          </w:tcPr>
          <w:p>
            <w:pPr>
              <w:spacing w:after="0"/>
              <w:rPr>
                <w:sz w:val="18"/>
                <w:szCs w:val="18"/>
                <w:color w:val="auto"/>
              </w:rPr>
            </w:pPr>
          </w:p>
        </w:tc>
        <w:tc>
          <w:tcPr>
            <w:tcW w:w="920" w:type="dxa"/>
            <w:vAlign w:val="bottom"/>
            <w:vMerge w:val="continue"/>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396.3</w:t>
            </w:r>
          </w:p>
        </w:tc>
        <w:tc>
          <w:tcPr>
            <w:tcW w:w="34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40" w:type="dxa"/>
            <w:vAlign w:val="bottom"/>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8"/>
        </w:trPr>
        <w:tc>
          <w:tcPr>
            <w:tcW w:w="372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exchange rate changes and</w:t>
            </w:r>
          </w:p>
        </w:tc>
        <w:tc>
          <w:tcPr>
            <w:tcW w:w="260" w:type="dxa"/>
            <w:vAlign w:val="bottom"/>
          </w:tcPr>
          <w:p>
            <w:pPr>
              <w:spacing w:after="0"/>
              <w:rPr>
                <w:sz w:val="16"/>
                <w:szCs w:val="16"/>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47.2</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8"/>
        </w:trPr>
        <w:tc>
          <w:tcPr>
            <w:tcW w:w="3720" w:type="dxa"/>
            <w:vAlign w:val="bottom"/>
            <w:shd w:val="clear" w:color="auto" w:fill="DBDBDB"/>
          </w:tcPr>
          <w:p>
            <w:pPr>
              <w:ind w:left="20"/>
              <w:spacing w:after="0" w:line="168" w:lineRule="exact"/>
              <w:rPr>
                <w:sz w:val="20"/>
                <w:szCs w:val="20"/>
                <w:color w:val="auto"/>
              </w:rPr>
            </w:pPr>
            <w:r>
              <w:rPr>
                <w:rFonts w:ascii="Arial" w:cs="Arial" w:eastAsia="Arial" w:hAnsi="Arial"/>
                <w:sz w:val="18"/>
                <w:szCs w:val="18"/>
                <w:color w:val="auto"/>
              </w:rPr>
              <w:t>Total other comprehensive income (loss)</w:t>
            </w: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DBDBDB"/>
          </w:tcPr>
          <w:p>
            <w:pPr>
              <w:jc w:val="right"/>
              <w:ind w:right="12"/>
              <w:spacing w:after="0"/>
              <w:rPr>
                <w:sz w:val="20"/>
                <w:szCs w:val="20"/>
                <w:color w:val="auto"/>
              </w:rPr>
            </w:pPr>
            <w:r>
              <w:rPr>
                <w:rFonts w:ascii="Arial" w:cs="Arial" w:eastAsia="Arial" w:hAnsi="Arial"/>
                <w:sz w:val="18"/>
                <w:szCs w:val="18"/>
                <w:b w:val="1"/>
                <w:bCs w:val="1"/>
                <w:color w:val="auto"/>
              </w:rPr>
              <w:t>2,611.5</w:t>
            </w:r>
          </w:p>
        </w:tc>
        <w:tc>
          <w:tcPr>
            <w:tcW w:w="360" w:type="dxa"/>
            <w:vAlign w:val="bottom"/>
            <w:vMerge w:val="restart"/>
            <w:shd w:val="clear" w:color="auto" w:fill="DBDBDB"/>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(335.9)</w:t>
            </w:r>
          </w:p>
        </w:tc>
        <w:tc>
          <w:tcPr>
            <w:tcW w:w="34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(1,158.7)</w:t>
            </w:r>
          </w:p>
        </w:tc>
        <w:tc>
          <w:tcPr>
            <w:tcW w:w="100" w:type="dxa"/>
            <w:vAlign w:val="bottom"/>
            <w:shd w:val="clear" w:color="auto" w:fill="DBDBDB"/>
          </w:tcPr>
          <w:p>
            <w:pPr>
              <w:spacing w:after="0"/>
              <w:rPr>
                <w:sz w:val="14"/>
                <w:szCs w:val="14"/>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DBDBDB"/>
          </w:tcPr>
          <w:p>
            <w:pPr>
              <w:jc w:val="right"/>
              <w:ind w:right="52"/>
              <w:spacing w:after="0"/>
              <w:rPr>
                <w:sz w:val="20"/>
                <w:szCs w:val="20"/>
                <w:color w:val="auto"/>
              </w:rPr>
            </w:pPr>
            <w:r>
              <w:rPr>
                <w:rFonts w:ascii="Arial" w:cs="Arial" w:eastAsia="Arial" w:hAnsi="Arial"/>
                <w:sz w:val="18"/>
                <w:szCs w:val="18"/>
                <w:b w:val="1"/>
                <w:bCs w:val="1"/>
                <w:color w:val="auto"/>
              </w:rPr>
              <w:t>88.0</w:t>
            </w: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DBDBDB"/>
          </w:tcPr>
          <w:p>
            <w:pPr>
              <w:jc w:val="right"/>
              <w:ind w:right="34"/>
              <w:spacing w:after="0"/>
              <w:rPr>
                <w:sz w:val="20"/>
                <w:szCs w:val="20"/>
                <w:color w:val="auto"/>
              </w:rPr>
            </w:pPr>
            <w:r>
              <w:rPr>
                <w:rFonts w:ascii="Arial" w:cs="Arial" w:eastAsia="Arial" w:hAnsi="Arial"/>
                <w:sz w:val="18"/>
                <w:szCs w:val="18"/>
                <w:color w:val="auto"/>
              </w:rPr>
              <w:t>178.7</w:t>
            </w:r>
          </w:p>
        </w:tc>
        <w:tc>
          <w:tcPr>
            <w:tcW w:w="32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DBDBDB"/>
            </w:tcBorders>
            <w:shd w:val="clear" w:color="auto" w:fill="DBDBDB"/>
          </w:tcPr>
          <w:p>
            <w:pPr>
              <w:ind w:left="20"/>
              <w:spacing w:after="0" w:line="203" w:lineRule="exact"/>
              <w:rPr>
                <w:sz w:val="20"/>
                <w:szCs w:val="20"/>
                <w:color w:val="auto"/>
              </w:rPr>
            </w:pPr>
            <w:r>
              <w:rPr>
                <w:rFonts w:ascii="Arial" w:cs="Arial" w:eastAsia="Arial" w:hAnsi="Arial"/>
                <w:sz w:val="18"/>
                <w:szCs w:val="18"/>
                <w:color w:val="auto"/>
              </w:rPr>
              <w:t>during period</w:t>
            </w:r>
          </w:p>
        </w:tc>
        <w:tc>
          <w:tcPr>
            <w:tcW w:w="260" w:type="dxa"/>
            <w:vAlign w:val="bottom"/>
            <w:tcBorders>
              <w:bottom w:val="single" w:sz="8" w:color="auto"/>
            </w:tcBorders>
            <w:vMerge w:val="continue"/>
            <w:shd w:val="clear" w:color="auto" w:fill="DBDBDB"/>
          </w:tcPr>
          <w:p>
            <w:pPr>
              <w:spacing w:after="0"/>
              <w:rPr>
                <w:sz w:val="18"/>
                <w:szCs w:val="18"/>
                <w:color w:val="auto"/>
              </w:rPr>
            </w:pPr>
          </w:p>
        </w:tc>
        <w:tc>
          <w:tcPr>
            <w:tcW w:w="920" w:type="dxa"/>
            <w:vAlign w:val="bottom"/>
            <w:tcBorders>
              <w:bottom w:val="single" w:sz="8" w:color="auto"/>
            </w:tcBorders>
            <w:vMerge w:val="continue"/>
            <w:shd w:val="clear" w:color="auto" w:fill="DBDBDB"/>
          </w:tcPr>
          <w:p>
            <w:pPr>
              <w:spacing w:after="0"/>
              <w:rPr>
                <w:sz w:val="18"/>
                <w:szCs w:val="18"/>
                <w:color w:val="auto"/>
              </w:rPr>
            </w:pPr>
          </w:p>
        </w:tc>
        <w:tc>
          <w:tcPr>
            <w:tcW w:w="360" w:type="dxa"/>
            <w:vAlign w:val="bottom"/>
            <w:tcBorders>
              <w:bottom w:val="single" w:sz="8" w:color="auto"/>
            </w:tcBorders>
            <w:vMerge w:val="continue"/>
            <w:shd w:val="clear" w:color="auto" w:fill="DBDBDB"/>
          </w:tcPr>
          <w:p>
            <w:pPr>
              <w:spacing w:after="0"/>
              <w:rPr>
                <w:sz w:val="18"/>
                <w:szCs w:val="18"/>
                <w:color w:val="auto"/>
              </w:rPr>
            </w:pPr>
          </w:p>
        </w:tc>
        <w:tc>
          <w:tcPr>
            <w:tcW w:w="940" w:type="dxa"/>
            <w:vAlign w:val="bottom"/>
            <w:tcBorders>
              <w:bottom w:val="single" w:sz="8" w:color="auto"/>
            </w:tcBorders>
            <w:vMerge w:val="continue"/>
            <w:shd w:val="clear" w:color="auto" w:fill="DBDBDB"/>
          </w:tcPr>
          <w:p>
            <w:pPr>
              <w:spacing w:after="0"/>
              <w:rPr>
                <w:sz w:val="18"/>
                <w:szCs w:val="18"/>
                <w:color w:val="auto"/>
              </w:rPr>
            </w:pPr>
          </w:p>
        </w:tc>
        <w:tc>
          <w:tcPr>
            <w:tcW w:w="340" w:type="dxa"/>
            <w:vAlign w:val="bottom"/>
            <w:tcBorders>
              <w:bottom w:val="single" w:sz="8" w:color="auto"/>
            </w:tcBorders>
            <w:vMerge w:val="continue"/>
            <w:shd w:val="clear" w:color="auto" w:fill="DBDBDB"/>
          </w:tcPr>
          <w:p>
            <w:pPr>
              <w:spacing w:after="0"/>
              <w:rPr>
                <w:sz w:val="18"/>
                <w:szCs w:val="18"/>
                <w:color w:val="auto"/>
              </w:rPr>
            </w:pPr>
          </w:p>
        </w:tc>
        <w:tc>
          <w:tcPr>
            <w:tcW w:w="9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vMerge w:val="continue"/>
            <w:shd w:val="clear" w:color="auto" w:fill="DBDBDB"/>
          </w:tcPr>
          <w:p>
            <w:pPr>
              <w:spacing w:after="0"/>
              <w:rPr>
                <w:sz w:val="18"/>
                <w:szCs w:val="18"/>
                <w:color w:val="auto"/>
              </w:rPr>
            </w:pPr>
          </w:p>
        </w:tc>
        <w:tc>
          <w:tcPr>
            <w:tcW w:w="940" w:type="dxa"/>
            <w:vAlign w:val="bottom"/>
            <w:tcBorders>
              <w:bottom w:val="single" w:sz="8" w:color="auto"/>
            </w:tcBorders>
            <w:vMerge w:val="continue"/>
            <w:shd w:val="clear" w:color="auto" w:fill="DBDBDB"/>
          </w:tcPr>
          <w:p>
            <w:pPr>
              <w:spacing w:after="0"/>
              <w:rPr>
                <w:sz w:val="18"/>
                <w:szCs w:val="18"/>
                <w:color w:val="auto"/>
              </w:rPr>
            </w:pPr>
          </w:p>
        </w:tc>
        <w:tc>
          <w:tcPr>
            <w:tcW w:w="180" w:type="dxa"/>
            <w:vAlign w:val="bottom"/>
            <w:tcBorders>
              <w:bottom w:val="single" w:sz="8" w:color="auto"/>
            </w:tcBorders>
            <w:vMerge w:val="continue"/>
            <w:shd w:val="clear" w:color="auto" w:fill="DBDBDB"/>
          </w:tcPr>
          <w:p>
            <w:pPr>
              <w:spacing w:after="0"/>
              <w:rPr>
                <w:sz w:val="18"/>
                <w:szCs w:val="18"/>
                <w:color w:val="auto"/>
              </w:rPr>
            </w:pPr>
          </w:p>
        </w:tc>
        <w:tc>
          <w:tcPr>
            <w:tcW w:w="1080" w:type="dxa"/>
            <w:vAlign w:val="bottom"/>
            <w:tcBorders>
              <w:bottom w:val="single" w:sz="8" w:color="auto"/>
            </w:tcBorders>
            <w:vMerge w:val="continue"/>
            <w:shd w:val="clear" w:color="auto" w:fill="DBDBDB"/>
          </w:tcPr>
          <w:p>
            <w:pPr>
              <w:spacing w:after="0"/>
              <w:rPr>
                <w:sz w:val="18"/>
                <w:szCs w:val="18"/>
                <w:color w:val="auto"/>
              </w:rPr>
            </w:pPr>
          </w:p>
        </w:tc>
        <w:tc>
          <w:tcPr>
            <w:tcW w:w="320" w:type="dxa"/>
            <w:vAlign w:val="bottom"/>
            <w:tcBorders>
              <w:bottom w:val="single" w:sz="8" w:color="auto"/>
            </w:tcBorders>
            <w:vMerge w:val="continue"/>
            <w:shd w:val="clear" w:color="auto" w:fill="DBDBDB"/>
          </w:tcPr>
          <w:p>
            <w:pPr>
              <w:spacing w:after="0"/>
              <w:rPr>
                <w:sz w:val="18"/>
                <w:szCs w:val="18"/>
                <w:color w:val="auto"/>
              </w:rPr>
            </w:pPr>
          </w:p>
        </w:tc>
        <w:tc>
          <w:tcPr>
            <w:tcW w:w="90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$167.3 million, $164.3 million, and $145.2 million for the years ended December 31, 2021, 2020, and 2019, respectively.</w:t>
      </w:r>
    </w:p>
    <w:p>
      <w:pPr>
        <w:spacing w:after="0" w:line="9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2021, 2020, and 2019 were not material.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3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80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9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7" w:name="page98"/>
    <w:bookmarkEnd w:id="97"/>
    <w:p>
      <w:pPr>
        <w:ind w:right="100"/>
        <w:spacing w:after="0" w:line="252"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75 percent growth investments and 25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9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9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bank loans, mortgage-backed securities, commercial mortgage-backed obligations, and any related repurchase agreements.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in fund-of-funds structures and directly into hedge funds. Plan holdings in hedge funds are valued based on net asset values (NAVs) calculated by each fund or general partner, as applicable, and we have the ability to redeem these investments at NAV.</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special situations, private debt, and private real estate investments. Private equity management firms typically acquire and then reorganize private companies to create increased long term value. Private equity-like funds usually have a limited life of approximately 10-15 years, and require a minimum investment commitment from their limited partners. Our private equity-like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Real estate is composed of public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8" w:name="page99"/>
    <w:bookmarkEnd w:id="98"/>
    <w:p>
      <w:pPr>
        <w:ind w:right="580"/>
        <w:spacing w:after="0" w:line="261" w:lineRule="auto"/>
        <w:rPr>
          <w:sz w:val="20"/>
          <w:szCs w:val="20"/>
          <w:color w:val="auto"/>
        </w:rPr>
      </w:pPr>
      <w:r>
        <w:rPr>
          <w:rFonts w:ascii="Arial" w:cs="Arial" w:eastAsia="Arial" w:hAnsi="Arial"/>
          <w:sz w:val="18"/>
          <w:szCs w:val="18"/>
          <w:color w:val="auto"/>
        </w:rPr>
        <w:t>The cash value of the trust-owned insurance contract is primarily invested in investment-grade publicly traded equity and fixed-income securities.</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Other than hedge funds, private equity-like investments, and a portion of the real estate holdings, which are discussed above, we determine fair values based on a market approach using quoted market values, significant other observable inputs for identical or comparable assets or liabilities, or discounted cash flow analyses.</w:t>
      </w:r>
    </w:p>
    <w:p>
      <w:pPr>
        <w:spacing w:after="0" w:line="9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2021 by asset category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Quoted Prices in Active</w:t>
            </w:r>
          </w:p>
        </w:tc>
        <w:tc>
          <w:tcPr>
            <w:tcW w:w="300" w:type="dxa"/>
            <w:vAlign w:val="bottom"/>
          </w:tcPr>
          <w:p>
            <w:pPr>
              <w:spacing w:after="0"/>
              <w:rPr>
                <w:sz w:val="10"/>
                <w:szCs w:val="10"/>
                <w:color w:val="auto"/>
              </w:rPr>
            </w:pPr>
          </w:p>
        </w:tc>
        <w:tc>
          <w:tcPr>
            <w:tcW w:w="1280" w:type="dxa"/>
            <w:vAlign w:val="bottom"/>
          </w:tcPr>
          <w:p>
            <w:pPr>
              <w:jc w:val="center"/>
              <w:ind w:right="195"/>
              <w:spacing w:after="0" w:line="122" w:lineRule="exact"/>
              <w:rPr>
                <w:sz w:val="20"/>
                <w:szCs w:val="20"/>
                <w:color w:val="auto"/>
              </w:rPr>
            </w:pPr>
            <w:r>
              <w:rPr>
                <w:rFonts w:ascii="Arial" w:cs="Arial" w:eastAsia="Arial" w:hAnsi="Arial"/>
                <w:sz w:val="13"/>
                <w:szCs w:val="13"/>
                <w:b w:val="1"/>
                <w:bCs w:val="1"/>
                <w:color w:val="auto"/>
                <w:w w:val="96"/>
              </w:rPr>
              <w:t>Significant</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6"/>
              </w:rPr>
              <w:t>Markets for</w:t>
            </w:r>
          </w:p>
        </w:tc>
        <w:tc>
          <w:tcPr>
            <w:tcW w:w="300" w:type="dxa"/>
            <w:vAlign w:val="bottom"/>
          </w:tcPr>
          <w:p>
            <w:pPr>
              <w:spacing w:after="0"/>
              <w:rPr>
                <w:sz w:val="10"/>
                <w:szCs w:val="10"/>
                <w:color w:val="auto"/>
              </w:rPr>
            </w:pPr>
          </w:p>
        </w:tc>
        <w:tc>
          <w:tcPr>
            <w:tcW w:w="1280" w:type="dxa"/>
            <w:vAlign w:val="bottom"/>
          </w:tcPr>
          <w:p>
            <w:pPr>
              <w:jc w:val="center"/>
              <w:ind w:right="235"/>
              <w:spacing w:after="0" w:line="122" w:lineRule="exact"/>
              <w:rPr>
                <w:sz w:val="20"/>
                <w:szCs w:val="20"/>
                <w:color w:val="auto"/>
              </w:rPr>
            </w:pPr>
            <w:r>
              <w:rPr>
                <w:rFonts w:ascii="Arial" w:cs="Arial" w:eastAsia="Arial" w:hAnsi="Arial"/>
                <w:sz w:val="13"/>
                <w:szCs w:val="13"/>
                <w:b w:val="1"/>
                <w:bCs w:val="1"/>
                <w:color w:val="auto"/>
                <w:w w:val="95"/>
              </w:rPr>
              <w:t>Observable</w:t>
            </w: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22"/>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0"/>
                <w:szCs w:val="10"/>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0"/>
                <w:szCs w:val="10"/>
                <w:color w:val="auto"/>
              </w:rPr>
            </w:pPr>
          </w:p>
        </w:tc>
        <w:tc>
          <w:tcPr>
            <w:tcW w:w="132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6"/>
              </w:rPr>
              <w:t>Identical Assets</w:t>
            </w:r>
          </w:p>
        </w:tc>
        <w:tc>
          <w:tcPr>
            <w:tcW w:w="300" w:type="dxa"/>
            <w:vAlign w:val="bottom"/>
          </w:tcPr>
          <w:p>
            <w:pPr>
              <w:spacing w:after="0"/>
              <w:rPr>
                <w:sz w:val="10"/>
                <w:szCs w:val="10"/>
                <w:color w:val="auto"/>
              </w:rPr>
            </w:pPr>
          </w:p>
        </w:tc>
        <w:tc>
          <w:tcPr>
            <w:tcW w:w="1280" w:type="dxa"/>
            <w:vAlign w:val="bottom"/>
          </w:tcPr>
          <w:p>
            <w:pPr>
              <w:jc w:val="center"/>
              <w:ind w:right="215"/>
              <w:spacing w:after="0" w:line="122"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3"/>
                <w:szCs w:val="13"/>
                <w:b w:val="1"/>
                <w:bCs w:val="1"/>
                <w:color w:val="auto"/>
                <w:w w:val="94"/>
              </w:rPr>
              <w:t>(Level 1)</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75"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1,325.4</w:t>
            </w:r>
          </w:p>
        </w:tc>
        <w:tc>
          <w:tcPr>
            <w:tcW w:w="18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430.4</w:t>
            </w:r>
          </w:p>
        </w:tc>
        <w:tc>
          <w:tcPr>
            <w:tcW w:w="3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0.1</w:t>
            </w:r>
          </w:p>
        </w:tc>
        <w:tc>
          <w:tcPr>
            <w:tcW w:w="32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2,722.7</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815.0</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1,907.7</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4,496.0</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3,356.6</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188"/>
        </w:trPr>
        <w:tc>
          <w:tcPr>
            <w:tcW w:w="3500" w:type="dxa"/>
            <w:vAlign w:val="bottom"/>
            <w:shd w:val="clear" w:color="auto" w:fill="D8D8D8"/>
          </w:tcPr>
          <w:p>
            <w:pPr>
              <w:ind w:left="140"/>
              <w:spacing w:after="0" w:line="189"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8D8D8"/>
          </w:tcPr>
          <w:p>
            <w:pPr>
              <w:spacing w:after="0"/>
              <w:rPr>
                <w:sz w:val="16"/>
                <w:szCs w:val="16"/>
                <w:color w:val="auto"/>
              </w:rPr>
            </w:pPr>
          </w:p>
        </w:tc>
        <w:tc>
          <w:tcPr>
            <w:tcW w:w="12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1320" w:type="dxa"/>
            <w:vAlign w:val="bottom"/>
            <w:shd w:val="clear" w:color="auto" w:fill="D8D8D8"/>
          </w:tcPr>
          <w:p>
            <w:pPr>
              <w:spacing w:after="0"/>
              <w:rPr>
                <w:sz w:val="16"/>
                <w:szCs w:val="16"/>
                <w:color w:val="auto"/>
              </w:rPr>
            </w:pPr>
          </w:p>
        </w:tc>
        <w:tc>
          <w:tcPr>
            <w:tcW w:w="300" w:type="dxa"/>
            <w:vAlign w:val="bottom"/>
            <w:shd w:val="clear" w:color="auto" w:fill="D8D8D8"/>
          </w:tcPr>
          <w:p>
            <w:pPr>
              <w:spacing w:after="0"/>
              <w:rPr>
                <w:sz w:val="16"/>
                <w:szCs w:val="16"/>
                <w:color w:val="auto"/>
              </w:rPr>
            </w:pPr>
          </w:p>
        </w:tc>
        <w:tc>
          <w:tcPr>
            <w:tcW w:w="128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1180" w:type="dxa"/>
            <w:vAlign w:val="bottom"/>
            <w:shd w:val="clear" w:color="auto" w:fill="D8D8D8"/>
          </w:tcPr>
          <w:p>
            <w:pPr>
              <w:spacing w:after="0"/>
              <w:rPr>
                <w:sz w:val="16"/>
                <w:szCs w:val="16"/>
                <w:color w:val="auto"/>
              </w:rPr>
            </w:pPr>
          </w:p>
        </w:tc>
        <w:tc>
          <w:tcPr>
            <w:tcW w:w="28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8D8D8"/>
          </w:tcPr>
          <w:p>
            <w:pPr>
              <w:spacing w:after="0"/>
              <w:rPr>
                <w:sz w:val="18"/>
                <w:szCs w:val="18"/>
                <w:color w:val="auto"/>
              </w:rPr>
            </w:pPr>
          </w:p>
        </w:tc>
        <w:tc>
          <w:tcPr>
            <w:tcW w:w="122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(1,376.2)</w:t>
            </w:r>
          </w:p>
        </w:tc>
        <w:tc>
          <w:tcPr>
            <w:tcW w:w="180" w:type="dxa"/>
            <w:vAlign w:val="bottom"/>
            <w:shd w:val="clear" w:color="auto" w:fill="D8D8D8"/>
          </w:tcPr>
          <w:p>
            <w:pPr>
              <w:spacing w:after="0"/>
              <w:rPr>
                <w:sz w:val="18"/>
                <w:szCs w:val="18"/>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18"/>
                <w:szCs w:val="18"/>
                <w:color w:val="auto"/>
              </w:rPr>
            </w:pPr>
          </w:p>
        </w:tc>
        <w:tc>
          <w:tcPr>
            <w:tcW w:w="1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(1,376.2)</w:t>
            </w:r>
          </w:p>
        </w:tc>
        <w:tc>
          <w:tcPr>
            <w:tcW w:w="320" w:type="dxa"/>
            <w:vAlign w:val="bottom"/>
            <w:shd w:val="clear" w:color="auto" w:fill="D8D8D8"/>
          </w:tcPr>
          <w:p>
            <w:pPr>
              <w:spacing w:after="0"/>
              <w:rPr>
                <w:sz w:val="18"/>
                <w:szCs w:val="18"/>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8"/>
                <w:szCs w:val="18"/>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611.0</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250.5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3,046.8</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3,046.8</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3,816.4</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2.1</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3,808.8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630.3</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363.8</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1,143.6</w:t>
            </w:r>
          </w:p>
        </w:tc>
        <w:tc>
          <w:tcPr>
            <w:tcW w:w="180" w:type="dxa"/>
            <w:vAlign w:val="bottom"/>
            <w:tcBorders>
              <w:bottom w:val="single" w:sz="8" w:color="auto"/>
            </w:tcBorders>
            <w:shd w:val="clear" w:color="auto" w:fill="D8D8D8"/>
          </w:tcPr>
          <w:p>
            <w:pPr>
              <w:spacing w:after="0"/>
              <w:rPr>
                <w:sz w:val="19"/>
                <w:szCs w:val="19"/>
                <w:color w:val="auto"/>
              </w:rPr>
            </w:pPr>
          </w:p>
        </w:tc>
        <w:tc>
          <w:tcPr>
            <w:tcW w:w="132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103.2</w:t>
            </w:r>
          </w:p>
        </w:tc>
        <w:tc>
          <w:tcPr>
            <w:tcW w:w="300" w:type="dxa"/>
            <w:vAlign w:val="bottom"/>
            <w:tcBorders>
              <w:bottom w:val="single" w:sz="8" w:color="auto"/>
            </w:tcBorders>
            <w:shd w:val="clear" w:color="auto" w:fill="D8D8D8"/>
          </w:tcPr>
          <w:p>
            <w:pPr>
              <w:spacing w:after="0"/>
              <w:rPr>
                <w:sz w:val="19"/>
                <w:szCs w:val="19"/>
                <w:color w:val="auto"/>
              </w:rPr>
            </w:pPr>
          </w:p>
        </w:tc>
        <w:tc>
          <w:tcPr>
            <w:tcW w:w="128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263.2</w:t>
            </w:r>
          </w:p>
        </w:tc>
        <w:tc>
          <w:tcPr>
            <w:tcW w:w="32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16,416.0</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1,728.4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2,501.7</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12,170.5</w:t>
            </w:r>
          </w:p>
        </w:tc>
        <w:tc>
          <w:tcPr>
            <w:tcW w:w="0" w:type="dxa"/>
            <w:vAlign w:val="bottom"/>
          </w:tcPr>
          <w:p>
            <w:pPr>
              <w:spacing w:after="0"/>
              <w:rPr>
                <w:sz w:val="1"/>
                <w:szCs w:val="1"/>
                <w:color w:val="auto"/>
              </w:rPr>
            </w:pPr>
          </w:p>
        </w:tc>
      </w:tr>
      <w:tr>
        <w:trPr>
          <w:trHeight w:val="95"/>
        </w:trPr>
        <w:tc>
          <w:tcPr>
            <w:tcW w:w="3500" w:type="dxa"/>
            <w:vAlign w:val="bottom"/>
            <w:shd w:val="clear" w:color="auto" w:fill="D8D8D8"/>
          </w:tcPr>
          <w:p>
            <w:pPr>
              <w:spacing w:after="0"/>
              <w:rPr>
                <w:sz w:val="8"/>
                <w:szCs w:val="8"/>
                <w:color w:val="auto"/>
              </w:rPr>
            </w:pPr>
          </w:p>
        </w:tc>
        <w:tc>
          <w:tcPr>
            <w:tcW w:w="34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180" w:type="dxa"/>
            <w:vAlign w:val="bottom"/>
            <w:shd w:val="clear" w:color="auto" w:fill="D8D8D8"/>
          </w:tcPr>
          <w:p>
            <w:pPr>
              <w:spacing w:after="0"/>
              <w:rPr>
                <w:sz w:val="8"/>
                <w:szCs w:val="8"/>
                <w:color w:val="auto"/>
              </w:rPr>
            </w:pPr>
          </w:p>
        </w:tc>
        <w:tc>
          <w:tcPr>
            <w:tcW w:w="1320" w:type="dxa"/>
            <w:vAlign w:val="bottom"/>
            <w:shd w:val="clear" w:color="auto" w:fill="D8D8D8"/>
          </w:tcPr>
          <w:p>
            <w:pPr>
              <w:spacing w:after="0"/>
              <w:rPr>
                <w:sz w:val="8"/>
                <w:szCs w:val="8"/>
                <w:color w:val="auto"/>
              </w:rPr>
            </w:pPr>
          </w:p>
        </w:tc>
        <w:tc>
          <w:tcPr>
            <w:tcW w:w="300" w:type="dxa"/>
            <w:vAlign w:val="bottom"/>
            <w:shd w:val="clear" w:color="auto" w:fill="D8D8D8"/>
          </w:tcPr>
          <w:p>
            <w:pPr>
              <w:spacing w:after="0"/>
              <w:rPr>
                <w:sz w:val="8"/>
                <w:szCs w:val="8"/>
                <w:color w:val="auto"/>
              </w:rPr>
            </w:pPr>
          </w:p>
        </w:tc>
        <w:tc>
          <w:tcPr>
            <w:tcW w:w="1280" w:type="dxa"/>
            <w:vAlign w:val="bottom"/>
            <w:shd w:val="clear" w:color="auto" w:fill="D8D8D8"/>
          </w:tcPr>
          <w:p>
            <w:pPr>
              <w:spacing w:after="0"/>
              <w:rPr>
                <w:sz w:val="8"/>
                <w:szCs w:val="8"/>
                <w:color w:val="auto"/>
              </w:rPr>
            </w:pPr>
          </w:p>
        </w:tc>
        <w:tc>
          <w:tcPr>
            <w:tcW w:w="320" w:type="dxa"/>
            <w:vAlign w:val="bottom"/>
            <w:shd w:val="clear" w:color="auto" w:fill="D8D8D8"/>
          </w:tcPr>
          <w:p>
            <w:pPr>
              <w:spacing w:after="0"/>
              <w:rPr>
                <w:sz w:val="8"/>
                <w:szCs w:val="8"/>
                <w:color w:val="auto"/>
              </w:rPr>
            </w:pPr>
          </w:p>
        </w:tc>
        <w:tc>
          <w:tcPr>
            <w:tcW w:w="1180" w:type="dxa"/>
            <w:vAlign w:val="bottom"/>
            <w:shd w:val="clear" w:color="auto" w:fill="D8D8D8"/>
          </w:tcPr>
          <w:p>
            <w:pPr>
              <w:spacing w:after="0"/>
              <w:rPr>
                <w:sz w:val="8"/>
                <w:szCs w:val="8"/>
                <w:color w:val="auto"/>
              </w:rPr>
            </w:pPr>
          </w:p>
        </w:tc>
        <w:tc>
          <w:tcPr>
            <w:tcW w:w="28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124.7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40.9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180.6</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102.2</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275.4</w:t>
            </w:r>
          </w:p>
        </w:tc>
        <w:tc>
          <w:tcPr>
            <w:tcW w:w="1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317.8</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188"/>
        </w:trPr>
        <w:tc>
          <w:tcPr>
            <w:tcW w:w="3500" w:type="dxa"/>
            <w:vAlign w:val="bottom"/>
          </w:tcPr>
          <w:p>
            <w:pPr>
              <w:ind w:left="20"/>
              <w:spacing w:after="0" w:line="189"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2,166.8</w:t>
            </w:r>
          </w:p>
        </w:tc>
        <w:tc>
          <w:tcPr>
            <w:tcW w:w="18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2,166.8</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D8D8D8"/>
          </w:tcPr>
          <w:p>
            <w:pPr>
              <w:spacing w:after="0"/>
              <w:rPr>
                <w:sz w:val="19"/>
                <w:szCs w:val="19"/>
                <w:color w:val="auto"/>
              </w:rPr>
            </w:pPr>
          </w:p>
        </w:tc>
        <w:tc>
          <w:tcPr>
            <w:tcW w:w="132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D8D8D8"/>
          </w:tcPr>
          <w:p>
            <w:pPr>
              <w:spacing w:after="0"/>
              <w:rPr>
                <w:sz w:val="19"/>
                <w:szCs w:val="19"/>
                <w:color w:val="auto"/>
              </w:rPr>
            </w:pPr>
          </w:p>
        </w:tc>
        <w:tc>
          <w:tcPr>
            <w:tcW w:w="128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0.7</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106.1</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24.4</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3,361.4</w:t>
            </w:r>
          </w:p>
        </w:tc>
        <w:tc>
          <w:tcPr>
            <w:tcW w:w="18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147.5</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2,290.0</w:t>
            </w:r>
          </w:p>
        </w:tc>
        <w:tc>
          <w:tcPr>
            <w:tcW w:w="320" w:type="dxa"/>
            <w:vAlign w:val="bottom"/>
            <w:tcBorders>
              <w:bottom w:val="single" w:sz="8" w:color="auto"/>
            </w:tcBorders>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52"/>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1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2021. The activity in the Level 3 investments during the year ended December 31, 2021 was not material.</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9" w:name="page100"/>
    <w:bookmarkEnd w:id="99"/>
    <w:p>
      <w:pPr>
        <w:ind w:right="600"/>
        <w:spacing w:after="0" w:line="261" w:lineRule="auto"/>
        <w:rPr>
          <w:sz w:val="20"/>
          <w:szCs w:val="20"/>
          <w:color w:val="auto"/>
        </w:rPr>
      </w:pPr>
      <w:r>
        <w:rPr>
          <w:rFonts w:ascii="Arial" w:cs="Arial" w:eastAsia="Arial" w:hAnsi="Arial"/>
          <w:sz w:val="18"/>
          <w:szCs w:val="18"/>
          <w:color w:val="auto"/>
        </w:rPr>
        <w:t>The fair values of our defined benefit pension plan and retiree health plan assets as of December 31, 2020 by asset category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rPr>
              <w:t>Fair Value Measurements Using</w:t>
            </w: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Quoted Prices in Active</w:t>
            </w:r>
          </w:p>
        </w:tc>
        <w:tc>
          <w:tcPr>
            <w:tcW w:w="15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Significant Observable</w:t>
            </w:r>
          </w:p>
        </w:tc>
        <w:tc>
          <w:tcPr>
            <w:tcW w:w="320" w:type="dxa"/>
            <w:vAlign w:val="bottom"/>
          </w:tcPr>
          <w:p>
            <w:pPr>
              <w:spacing w:after="0"/>
              <w:rPr>
                <w:sz w:val="10"/>
                <w:szCs w:val="10"/>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Markets for Identical</w:t>
            </w:r>
          </w:p>
        </w:tc>
        <w:tc>
          <w:tcPr>
            <w:tcW w:w="15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22"/>
        </w:trPr>
        <w:tc>
          <w:tcPr>
            <w:tcW w:w="3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 Class</w:t>
            </w:r>
          </w:p>
        </w:tc>
        <w:tc>
          <w:tcPr>
            <w:tcW w:w="340" w:type="dxa"/>
            <w:vAlign w:val="bottom"/>
          </w:tcPr>
          <w:p>
            <w:pPr>
              <w:spacing w:after="0"/>
              <w:rPr>
                <w:sz w:val="10"/>
                <w:szCs w:val="10"/>
                <w:color w:val="auto"/>
              </w:rPr>
            </w:pPr>
          </w:p>
        </w:tc>
        <w:tc>
          <w:tcPr>
            <w:tcW w:w="1220" w:type="dxa"/>
            <w:vAlign w:val="bottom"/>
            <w:vMerge w:val="restart"/>
          </w:tcPr>
          <w:p>
            <w:pPr>
              <w:jc w:val="right"/>
              <w:ind w:right="61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38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8"/>
              </w:rPr>
              <w:t>Assets</w:t>
            </w:r>
          </w:p>
        </w:tc>
        <w:tc>
          <w:tcPr>
            <w:tcW w:w="360" w:type="dxa"/>
            <w:vAlign w:val="bottom"/>
          </w:tcPr>
          <w:p>
            <w:pPr>
              <w:spacing w:after="0"/>
              <w:rPr>
                <w:sz w:val="10"/>
                <w:szCs w:val="10"/>
                <w:color w:val="auto"/>
              </w:rPr>
            </w:pPr>
          </w:p>
        </w:tc>
        <w:tc>
          <w:tcPr>
            <w:tcW w:w="1220" w:type="dxa"/>
            <w:vAlign w:val="bottom"/>
          </w:tcPr>
          <w:p>
            <w:pPr>
              <w:jc w:val="center"/>
              <w:ind w:right="272"/>
              <w:spacing w:after="0" w:line="122" w:lineRule="exact"/>
              <w:rPr>
                <w:sz w:val="20"/>
                <w:szCs w:val="20"/>
                <w:color w:val="auto"/>
              </w:rPr>
            </w:pPr>
            <w:r>
              <w:rPr>
                <w:rFonts w:ascii="Arial" w:cs="Arial" w:eastAsia="Arial" w:hAnsi="Arial"/>
                <w:sz w:val="13"/>
                <w:szCs w:val="13"/>
                <w:b w:val="1"/>
                <w:bCs w:val="1"/>
                <w:color w:val="auto"/>
                <w:w w:val="97"/>
              </w:rPr>
              <w:t>Inputs</w:t>
            </w:r>
          </w:p>
        </w:tc>
        <w:tc>
          <w:tcPr>
            <w:tcW w:w="15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4"/>
              </w:rPr>
              <w:t>(Level 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4"/>
              </w:rPr>
              <w:t>(Level 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line="175" w:lineRule="exact"/>
              <w:rPr>
                <w:sz w:val="20"/>
                <w:szCs w:val="20"/>
                <w:color w:val="auto"/>
              </w:rPr>
            </w:pPr>
            <w:r>
              <w:rPr>
                <w:rFonts w:ascii="Arial" w:cs="Arial" w:eastAsia="Arial" w:hAnsi="Arial"/>
                <w:sz w:val="13"/>
                <w:szCs w:val="13"/>
                <w:b w:val="1"/>
                <w:bCs w:val="1"/>
                <w:color w:val="auto"/>
                <w:w w:val="95"/>
              </w:rPr>
              <w:t>Net Asset Value</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737.6</w:t>
            </w:r>
          </w:p>
        </w:tc>
        <w:tc>
          <w:tcPr>
            <w:tcW w:w="120" w:type="dxa"/>
            <w:vAlign w:val="bottom"/>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476.1</w:t>
            </w:r>
          </w:p>
        </w:tc>
        <w:tc>
          <w:tcPr>
            <w:tcW w:w="360" w:type="dxa"/>
            <w:vAlign w:val="bottom"/>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2,635.8</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1,102.3</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1,533.5</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4,301.3</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3,179.2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188"/>
        </w:trPr>
        <w:tc>
          <w:tcPr>
            <w:tcW w:w="3500" w:type="dxa"/>
            <w:vAlign w:val="bottom"/>
            <w:shd w:val="clear" w:color="auto" w:fill="D8D8D8"/>
          </w:tcPr>
          <w:p>
            <w:pPr>
              <w:ind w:left="140"/>
              <w:spacing w:after="0" w:line="189" w:lineRule="exact"/>
              <w:rPr>
                <w:sz w:val="20"/>
                <w:szCs w:val="20"/>
                <w:color w:val="auto"/>
              </w:rPr>
            </w:pPr>
            <w:r>
              <w:rPr>
                <w:rFonts w:ascii="Arial" w:cs="Arial" w:eastAsia="Arial" w:hAnsi="Arial"/>
                <w:sz w:val="18"/>
                <w:szCs w:val="18"/>
                <w:color w:val="auto"/>
              </w:rPr>
              <w:t>Developed markets - repurchase</w:t>
            </w:r>
          </w:p>
        </w:tc>
        <w:tc>
          <w:tcPr>
            <w:tcW w:w="340" w:type="dxa"/>
            <w:vAlign w:val="bottom"/>
            <w:shd w:val="clear" w:color="auto" w:fill="D8D8D8"/>
          </w:tcPr>
          <w:p>
            <w:pPr>
              <w:spacing w:after="0"/>
              <w:rPr>
                <w:sz w:val="16"/>
                <w:szCs w:val="16"/>
                <w:color w:val="auto"/>
              </w:rPr>
            </w:pPr>
          </w:p>
        </w:tc>
        <w:tc>
          <w:tcPr>
            <w:tcW w:w="122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1380" w:type="dxa"/>
            <w:vAlign w:val="bottom"/>
            <w:shd w:val="clear" w:color="auto" w:fill="D8D8D8"/>
          </w:tcPr>
          <w:p>
            <w:pPr>
              <w:spacing w:after="0"/>
              <w:rPr>
                <w:sz w:val="16"/>
                <w:szCs w:val="16"/>
                <w:color w:val="auto"/>
              </w:rPr>
            </w:pPr>
          </w:p>
        </w:tc>
        <w:tc>
          <w:tcPr>
            <w:tcW w:w="360" w:type="dxa"/>
            <w:vAlign w:val="bottom"/>
            <w:shd w:val="clear" w:color="auto" w:fill="D8D8D8"/>
          </w:tcPr>
          <w:p>
            <w:pPr>
              <w:spacing w:after="0"/>
              <w:rPr>
                <w:sz w:val="16"/>
                <w:szCs w:val="16"/>
                <w:color w:val="auto"/>
              </w:rPr>
            </w:pPr>
          </w:p>
        </w:tc>
        <w:tc>
          <w:tcPr>
            <w:tcW w:w="1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1180" w:type="dxa"/>
            <w:vAlign w:val="bottom"/>
            <w:shd w:val="clear" w:color="auto" w:fill="D8D8D8"/>
          </w:tcPr>
          <w:p>
            <w:pPr>
              <w:spacing w:after="0"/>
              <w:rPr>
                <w:sz w:val="16"/>
                <w:szCs w:val="16"/>
                <w:color w:val="auto"/>
              </w:rPr>
            </w:pPr>
          </w:p>
        </w:tc>
        <w:tc>
          <w:tcPr>
            <w:tcW w:w="28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agreements</w:t>
            </w:r>
          </w:p>
        </w:tc>
        <w:tc>
          <w:tcPr>
            <w:tcW w:w="340" w:type="dxa"/>
            <w:vAlign w:val="bottom"/>
            <w:shd w:val="clear" w:color="auto" w:fill="D8D8D8"/>
          </w:tcPr>
          <w:p>
            <w:pPr>
              <w:spacing w:after="0"/>
              <w:rPr>
                <w:sz w:val="18"/>
                <w:szCs w:val="18"/>
                <w:color w:val="auto"/>
              </w:rPr>
            </w:pPr>
          </w:p>
        </w:tc>
        <w:tc>
          <w:tcPr>
            <w:tcW w:w="122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(1,670.8)</w:t>
            </w:r>
          </w:p>
        </w:tc>
        <w:tc>
          <w:tcPr>
            <w:tcW w:w="120" w:type="dxa"/>
            <w:vAlign w:val="bottom"/>
            <w:shd w:val="clear" w:color="auto" w:fill="D8D8D8"/>
          </w:tcPr>
          <w:p>
            <w:pPr>
              <w:spacing w:after="0"/>
              <w:rPr>
                <w:sz w:val="18"/>
                <w:szCs w:val="18"/>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8"/>
                <w:szCs w:val="18"/>
                <w:color w:val="auto"/>
              </w:rPr>
            </w:pP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(1,670.8)</w:t>
            </w:r>
          </w:p>
        </w:tc>
        <w:tc>
          <w:tcPr>
            <w:tcW w:w="320" w:type="dxa"/>
            <w:vAlign w:val="bottom"/>
            <w:shd w:val="clear" w:color="auto" w:fill="D8D8D8"/>
          </w:tcPr>
          <w:p>
            <w:pPr>
              <w:spacing w:after="0"/>
              <w:rPr>
                <w:sz w:val="18"/>
                <w:szCs w:val="18"/>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8"/>
                <w:szCs w:val="18"/>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262.7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2,661.3</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2,661.3</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2,844.7</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2,827.8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558.9</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259.6</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29"/>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1,879.2</w:t>
            </w:r>
          </w:p>
        </w:tc>
        <w:tc>
          <w:tcPr>
            <w:tcW w:w="120" w:type="dxa"/>
            <w:vAlign w:val="bottom"/>
            <w:tcBorders>
              <w:bottom w:val="single" w:sz="8" w:color="auto"/>
            </w:tcBorders>
            <w:shd w:val="clear" w:color="auto" w:fill="D8D8D8"/>
          </w:tcPr>
          <w:p>
            <w:pPr>
              <w:spacing w:after="0"/>
              <w:rPr>
                <w:sz w:val="19"/>
                <w:szCs w:val="19"/>
                <w:color w:val="auto"/>
              </w:rPr>
            </w:pPr>
          </w:p>
        </w:tc>
        <w:tc>
          <w:tcPr>
            <w:tcW w:w="138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60.4</w:t>
            </w:r>
          </w:p>
        </w:tc>
        <w:tc>
          <w:tcPr>
            <w:tcW w:w="360" w:type="dxa"/>
            <w:vAlign w:val="bottom"/>
            <w:tcBorders>
              <w:bottom w:val="single" w:sz="8" w:color="auto"/>
            </w:tcBorders>
            <w:shd w:val="clear" w:color="auto" w:fill="D8D8D8"/>
          </w:tcPr>
          <w:p>
            <w:pPr>
              <w:spacing w:after="0"/>
              <w:rPr>
                <w:sz w:val="19"/>
                <w:szCs w:val="19"/>
                <w:color w:val="auto"/>
              </w:rPr>
            </w:pPr>
          </w:p>
        </w:tc>
        <w:tc>
          <w:tcPr>
            <w:tcW w:w="12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301.2</w:t>
            </w:r>
          </w:p>
        </w:tc>
        <w:tc>
          <w:tcPr>
            <w:tcW w:w="320" w:type="dxa"/>
            <w:vAlign w:val="bottom"/>
            <w:tcBorders>
              <w:bottom w:val="single" w:sz="8" w:color="auto"/>
            </w:tcBorders>
            <w:shd w:val="clear" w:color="auto" w:fill="D8D8D8"/>
          </w:tcPr>
          <w:p>
            <w:pPr>
              <w:spacing w:after="0"/>
              <w:rPr>
                <w:sz w:val="19"/>
                <w:szCs w:val="19"/>
                <w:color w:val="auto"/>
              </w:rPr>
            </w:pP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14,579.0</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1,915.5</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2,079.2</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10,542.5</w:t>
            </w:r>
          </w:p>
        </w:tc>
        <w:tc>
          <w:tcPr>
            <w:tcW w:w="0" w:type="dxa"/>
            <w:vAlign w:val="bottom"/>
          </w:tcPr>
          <w:p>
            <w:pPr>
              <w:spacing w:after="0"/>
              <w:rPr>
                <w:sz w:val="1"/>
                <w:szCs w:val="1"/>
                <w:color w:val="auto"/>
              </w:rPr>
            </w:pPr>
          </w:p>
        </w:tc>
      </w:tr>
      <w:tr>
        <w:trPr>
          <w:trHeight w:val="95"/>
        </w:trPr>
        <w:tc>
          <w:tcPr>
            <w:tcW w:w="3500" w:type="dxa"/>
            <w:vAlign w:val="bottom"/>
            <w:shd w:val="clear" w:color="auto" w:fill="D8D8D8"/>
          </w:tcPr>
          <w:p>
            <w:pPr>
              <w:spacing w:after="0"/>
              <w:rPr>
                <w:sz w:val="8"/>
                <w:szCs w:val="8"/>
                <w:color w:val="auto"/>
              </w:rPr>
            </w:pPr>
          </w:p>
        </w:tc>
        <w:tc>
          <w:tcPr>
            <w:tcW w:w="34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120" w:type="dxa"/>
            <w:vAlign w:val="bottom"/>
            <w:shd w:val="clear" w:color="auto" w:fill="D8D8D8"/>
          </w:tcPr>
          <w:p>
            <w:pPr>
              <w:spacing w:after="0"/>
              <w:rPr>
                <w:sz w:val="8"/>
                <w:szCs w:val="8"/>
                <w:color w:val="auto"/>
              </w:rPr>
            </w:pPr>
          </w:p>
        </w:tc>
        <w:tc>
          <w:tcPr>
            <w:tcW w:w="1380" w:type="dxa"/>
            <w:vAlign w:val="bottom"/>
            <w:shd w:val="clear" w:color="auto" w:fill="D8D8D8"/>
          </w:tcPr>
          <w:p>
            <w:pPr>
              <w:spacing w:after="0"/>
              <w:rPr>
                <w:sz w:val="8"/>
                <w:szCs w:val="8"/>
                <w:color w:val="auto"/>
              </w:rPr>
            </w:pPr>
          </w:p>
        </w:tc>
        <w:tc>
          <w:tcPr>
            <w:tcW w:w="360" w:type="dxa"/>
            <w:vAlign w:val="bottom"/>
            <w:shd w:val="clear" w:color="auto" w:fill="D8D8D8"/>
          </w:tcPr>
          <w:p>
            <w:pPr>
              <w:spacing w:after="0"/>
              <w:rPr>
                <w:sz w:val="8"/>
                <w:szCs w:val="8"/>
                <w:color w:val="auto"/>
              </w:rPr>
            </w:pPr>
          </w:p>
        </w:tc>
        <w:tc>
          <w:tcPr>
            <w:tcW w:w="1220" w:type="dxa"/>
            <w:vAlign w:val="bottom"/>
            <w:shd w:val="clear" w:color="auto" w:fill="D8D8D8"/>
          </w:tcPr>
          <w:p>
            <w:pPr>
              <w:spacing w:after="0"/>
              <w:rPr>
                <w:sz w:val="8"/>
                <w:szCs w:val="8"/>
                <w:color w:val="auto"/>
              </w:rPr>
            </w:pPr>
          </w:p>
        </w:tc>
        <w:tc>
          <w:tcPr>
            <w:tcW w:w="320" w:type="dxa"/>
            <w:vAlign w:val="bottom"/>
            <w:shd w:val="clear" w:color="auto" w:fill="D8D8D8"/>
          </w:tcPr>
          <w:p>
            <w:pPr>
              <w:spacing w:after="0"/>
              <w:rPr>
                <w:sz w:val="8"/>
                <w:szCs w:val="8"/>
                <w:color w:val="auto"/>
              </w:rPr>
            </w:pPr>
          </w:p>
        </w:tc>
        <w:tc>
          <w:tcPr>
            <w:tcW w:w="1180" w:type="dxa"/>
            <w:vAlign w:val="bottom"/>
            <w:shd w:val="clear" w:color="auto" w:fill="D8D8D8"/>
          </w:tcPr>
          <w:p>
            <w:pPr>
              <w:spacing w:after="0"/>
              <w:rPr>
                <w:sz w:val="8"/>
                <w:szCs w:val="8"/>
                <w:color w:val="auto"/>
              </w:rPr>
            </w:pPr>
          </w:p>
        </w:tc>
        <w:tc>
          <w:tcPr>
            <w:tcW w:w="280" w:type="dxa"/>
            <w:vAlign w:val="bottom"/>
            <w:shd w:val="clear" w:color="auto" w:fill="D8D8D8"/>
          </w:tcPr>
          <w:p>
            <w:pPr>
              <w:spacing w:after="0"/>
              <w:rPr>
                <w:sz w:val="8"/>
                <w:szCs w:val="8"/>
                <w:color w:val="auto"/>
              </w:rPr>
            </w:pPr>
          </w:p>
        </w:tc>
        <w:tc>
          <w:tcPr>
            <w:tcW w:w="13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Retiree Health Benefit Plans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Public equity securities: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68.3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45.0</w:t>
            </w:r>
          </w:p>
        </w:tc>
        <w:tc>
          <w:tcPr>
            <w:tcW w:w="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58.1</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Developed markets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80.3</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Emerging markets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Private alternative investments: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spacing w:after="0"/>
              <w:rPr>
                <w:sz w:val="19"/>
                <w:szCs w:val="19"/>
                <w:color w:val="auto"/>
              </w:rPr>
            </w:pP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140"/>
              <w:spacing w:after="0"/>
              <w:rPr>
                <w:sz w:val="20"/>
                <w:szCs w:val="20"/>
                <w:color w:val="auto"/>
              </w:rPr>
            </w:pPr>
            <w:r>
              <w:rPr>
                <w:rFonts w:ascii="Arial" w:cs="Arial" w:eastAsia="Arial" w:hAnsi="Arial"/>
                <w:sz w:val="18"/>
                <w:szCs w:val="18"/>
                <w:color w:val="auto"/>
              </w:rPr>
              <w:t>Equity-like funds</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188"/>
        </w:trPr>
        <w:tc>
          <w:tcPr>
            <w:tcW w:w="3500" w:type="dxa"/>
            <w:vAlign w:val="bottom"/>
          </w:tcPr>
          <w:p>
            <w:pPr>
              <w:ind w:left="20"/>
              <w:spacing w:after="0" w:line="189" w:lineRule="exact"/>
              <w:rPr>
                <w:sz w:val="20"/>
                <w:szCs w:val="20"/>
                <w:color w:val="auto"/>
              </w:rPr>
            </w:pPr>
            <w:r>
              <w:rPr>
                <w:rFonts w:ascii="Arial" w:cs="Arial" w:eastAsia="Arial" w:hAnsi="Arial"/>
                <w:sz w:val="18"/>
                <w:szCs w:val="18"/>
                <w:color w:val="auto"/>
              </w:rPr>
              <w:t>Cash value of trust owned insurance</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8"/>
                <w:szCs w:val="18"/>
                <w:color w:val="auto"/>
              </w:rPr>
              <w:t>contract</w:t>
            </w:r>
          </w:p>
        </w:tc>
        <w:tc>
          <w:tcPr>
            <w:tcW w:w="34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2,204.6</w:t>
            </w:r>
          </w:p>
        </w:tc>
        <w:tc>
          <w:tcPr>
            <w:tcW w:w="12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2,204.6</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D8D8D8"/>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D8D8D8"/>
          </w:tcPr>
          <w:p>
            <w:pPr>
              <w:spacing w:after="0"/>
              <w:rPr>
                <w:sz w:val="19"/>
                <w:szCs w:val="19"/>
                <w:color w:val="auto"/>
              </w:rPr>
            </w:pPr>
          </w:p>
        </w:tc>
        <w:tc>
          <w:tcPr>
            <w:tcW w:w="138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24.5</w:t>
            </w:r>
          </w:p>
        </w:tc>
        <w:tc>
          <w:tcPr>
            <w:tcW w:w="360" w:type="dxa"/>
            <w:vAlign w:val="bottom"/>
            <w:shd w:val="clear" w:color="auto" w:fill="D8D8D8"/>
          </w:tcPr>
          <w:p>
            <w:pPr>
              <w:spacing w:after="0"/>
              <w:rPr>
                <w:sz w:val="19"/>
                <w:szCs w:val="19"/>
                <w:color w:val="auto"/>
              </w:rPr>
            </w:pPr>
          </w:p>
        </w:tc>
        <w:tc>
          <w:tcPr>
            <w:tcW w:w="122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0.7</w:t>
            </w:r>
          </w:p>
        </w:tc>
        <w:tc>
          <w:tcPr>
            <w:tcW w:w="320" w:type="dxa"/>
            <w:vAlign w:val="bottom"/>
            <w:shd w:val="clear" w:color="auto" w:fill="D8D8D8"/>
          </w:tcPr>
          <w:p>
            <w:pPr>
              <w:spacing w:after="0"/>
              <w:rPr>
                <w:sz w:val="19"/>
                <w:szCs w:val="19"/>
                <w:color w:val="auto"/>
              </w:rPr>
            </w:pPr>
          </w:p>
        </w:tc>
        <w:tc>
          <w:tcPr>
            <w:tcW w:w="1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3,227.0</w:t>
            </w:r>
          </w:p>
        </w:tc>
        <w:tc>
          <w:tcPr>
            <w:tcW w:w="12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141.7</w:t>
            </w:r>
          </w:p>
        </w:tc>
        <w:tc>
          <w:tcPr>
            <w:tcW w:w="3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2,331.4</w:t>
            </w:r>
          </w:p>
        </w:tc>
        <w:tc>
          <w:tcPr>
            <w:tcW w:w="320" w:type="dxa"/>
            <w:vAlign w:val="bottom"/>
            <w:tcBorders>
              <w:bottom w:val="single" w:sz="8" w:color="auto"/>
            </w:tcBorders>
            <w:shd w:val="clear" w:color="auto" w:fill="D8D8D8"/>
          </w:tcPr>
          <w:p>
            <w:pPr>
              <w:jc w:val="right"/>
              <w:ind w:right="7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53"/>
        </w:numPr>
        <w:rPr>
          <w:rFonts w:ascii="Arial" w:cs="Arial" w:eastAsia="Arial" w:hAnsi="Arial"/>
          <w:sz w:val="16"/>
          <w:szCs w:val="16"/>
          <w:color w:val="auto"/>
          <w:vertAlign w:val="superscript"/>
        </w:rPr>
      </w:pPr>
      <w:r>
        <w:rPr>
          <w:rFonts w:ascii="Arial" w:cs="Arial" w:eastAsia="Arial" w:hAnsi="Arial"/>
          <w:sz w:val="12"/>
          <w:szCs w:val="12"/>
          <w:color w:val="auto"/>
        </w:rPr>
        <w:t>Certain investments that are measured at fair value using the NAV per share (or its equivalent) as a practical expedient have not been classified in the fair value hierarchy.</w:t>
      </w:r>
    </w:p>
    <w:p>
      <w:pPr>
        <w:spacing w:after="0" w:line="1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2020. The activity in the Level 3 investments during the year ended December 31, 2020 was not material.</w:t>
      </w:r>
    </w:p>
    <w:p>
      <w:pPr>
        <w:spacing w:after="0" w:line="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2022, we expect to contribute approximately $40 million to our defined benefit pension plans to satisfy minimum funding requirements for the year. We do not currently expect to make material discretionary contributions in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16: Contingencies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involved in various lawsuits, claims, government investigations and other legal proceedings that arise in the ordinary course of business. These claims or proceedings can involve various types of parties, including governments, competitors, customers, suppliers, service providers, licensees, employees, or shareholders, among others. These matters may involve patent infringement, antitrust, securities, pricing, sales and marketing practices, environmental, commercial, contractual rights, licensing obligations, health and safety matters, consumer fraud, employment matters, product liability and insurance coverage, among others. The resolution of these matters often develops over a long period of time and expectations can change as a result of new findings, rulings, appeals or settlement arrangements. Legal proceedings that are significant or that we believe could become significant or material are described below.</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the legal proceedings in which we are named as defendants are without merit and we are defending against them vigorously. It is not possible to determine the final outcome of these matters, and we cannot reasonably estimate the maximum potential exposure or the range of possible loss in excess of amounts accrued for any of these matters;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10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Alimta Patent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Litigation</w:t>
      </w:r>
    </w:p>
    <w:p>
      <w:pPr>
        <w:spacing w:after="0" w:line="13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Alimta (pemetrexed) was protected by a vitamin regimen patent until November 2021, and since then has been protected by pediatric exclusivity through May 2022.</w:t>
      </w:r>
    </w:p>
    <w:p>
      <w:pPr>
        <w:spacing w:after="0" w:line="90"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In December 2019, we settled a lawsuit we filed against Eagle Pharmaceuticals, Inc. (Eagle) in response to its application to market a product using an alternative form of pemetrexed. Per the settlement agreement, Eagle has a limited initial entry into the market with its product starting February 2022 (up to an approximate three-week supply) and subsequent unlimited entry starting April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Patent Litigation</w:t>
      </w:r>
    </w:p>
    <w:p>
      <w:pPr>
        <w:spacing w:after="0" w:line="1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Europe, Alimta was protected by the vitamin regimen patent through June 2021. Despite the recent patent expiration, a number of legal proceedings that were initiated prior to expiration are ongoing.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September 2018, we were named as a defendant in litigation filed by Teva Pharmaceuticals International GMBH and Teva Pharmaceuticals USA, Inc. (collectively, Teva) in the U.S. District Court for the District of Massachusetts seeking a ruling that various claims in nine different Teva patents would be infringed by our launch and continued sales of Emgality for the prevention of migraine in adults. Trial is currently scheduled to begin in October 2022. In June 2021, we were named as a defendant in a second litigation filed by Teva in the U.S. District Court for the District of Massachusetts seeking a ruling that two of Teva's patents, which are directed toward use of the active ingredient in Emgality to treat migraine, would be infringed by our continued sales of Emgality.</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u w:val="single" w:color="auto"/>
          <w:color w:val="auto"/>
        </w:rPr>
        <w:t>Jardiance Patent Litigation</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2018, Boehringer Ingelheim (BI), our partner in marketing and development of Jardiance, initiated U.S. patent litigation in the U.S. District Court of Delaware alleging infringement arising from submissions of Abbreviated New Drug Applications (ANDA) by a number of generic companies seeking approval to market generic versions of Jardiance, Glyxambi, and Synjardy in accordance with the procedures set out in the Drug Price Competition and Patent Term Restoration Act of 1984 (the Hatch-Waxman Act). Particularly with respect to Jardiance, the generic companies' ANDAs seek approval to market generic versions of Jardiance prior to the expiration of the relevant patents, and allege that certain patents, including in some allegations the compound patent, are invalid or would not be infringed. We are not a party to this litigation. This litigation has been stayed.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Taltz Patent Litigation</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April 2021, we petitioned the High Court of Ireland to declare invalid the patent that Novartis Pharma AG (Novartis) purchased from Genentech, Inc. in 2020. Novartis responded by filing a claim against us alleging patent infringement related to our commercialization of Taltz and seeking damages for past infringement and an injunction against future infringement. This matter is ongoing.</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April 2021 and November 2021, Novartis petitioned the Court of Rome Intellectual Property Division and the Swiss Federal Patent Court, respectively, in preliminary injunction (PI) and main infringement proceedings against us related to our commercialization of Taltz. In June 2021, the Court of Rome Intellectual Property Division dismissed Novartis' PI action. Novartis appealed the ruling and in October 2021, the panel hearing Novartis' appeal appointed a technical expert to assess the merits of the case. Both matters are ongoing. Hearings on the Italian and Swiss PI requests are scheduled for May 2022.</w:t>
      </w:r>
    </w:p>
    <w:p>
      <w:pPr>
        <w:spacing w:after="0" w:line="9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In June 2021, Novartis petitioned the Commercial Court of Vienna in PI proceedings and in November 2021, the Austrian court denied Novartis' request. Novartis did not appeal the ruling, and this matter is now closed.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Zyprexa Canada Patent Litigation</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Beginning in the mid-2000s, several generic companies in Canada challenged the validity of our Zyprexa compound patent. In 2012, the Canadian Federal Court of Appeals denied our appeal of a lower court's decision that certain patent claims were invalid for lack of utility. In 2013, Apotex Inc. and Apotex Pharmachem Inc. (collectively, Apotex) brought claims against us in the Ontario Superior Court of Justice at Toronto for damages related to our enforcement of the Zyprexa compound patent under Canadian regulations governing patented drugs. Apotex seeks compensation based on novel legal theories under the Statute of Monopolies, Trade-Mark Act, and common law. In March 2021, the Ontario Superior Court granted our motion for summary judgement, thereby dismissing Apotex's case. Apotex appealed that ruling to the Court of Appeal for Ontario in April 2021 and a hearing occurred February 2022. We await a decision.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Product Liability</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four purported product liability class actions in Canada related to Actos, which we commercialized with Takeda in Canada until 2009, including one in Ontario filed December 2011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filed July 2012 (</w:t>
      </w:r>
      <w:r>
        <w:rPr>
          <w:rFonts w:ascii="Arial" w:cs="Arial" w:eastAsia="Arial" w:hAnsi="Arial"/>
          <w:sz w:val="18"/>
          <w:szCs w:val="18"/>
          <w:i w:val="1"/>
          <w:iCs w:val="1"/>
          <w:color w:val="auto"/>
        </w:rPr>
        <w:t>Whyte et</w:t>
      </w:r>
      <w:r>
        <w:rPr>
          <w:rFonts w:ascii="Arial" w:cs="Arial" w:eastAsia="Arial" w:hAnsi="Arial"/>
          <w:sz w:val="18"/>
          <w:szCs w:val="18"/>
          <w:color w:val="auto"/>
        </w:rPr>
        <w:t xml:space="preserve"> </w:t>
      </w:r>
      <w:r>
        <w:rPr>
          <w:rFonts w:ascii="Arial" w:cs="Arial" w:eastAsia="Arial" w:hAnsi="Arial"/>
          <w:sz w:val="18"/>
          <w:szCs w:val="18"/>
          <w:i w:val="1"/>
          <w:iCs w:val="1"/>
          <w:color w:val="auto"/>
        </w:rPr>
        <w:t>al. v. Eli Lilly et al.</w:t>
      </w:r>
      <w:r>
        <w:rPr>
          <w:rFonts w:ascii="Arial" w:cs="Arial" w:eastAsia="Arial" w:hAnsi="Arial"/>
          <w:sz w:val="18"/>
          <w:szCs w:val="18"/>
          <w:color w:val="auto"/>
        </w:rPr>
        <w:t>), one in Saskatchewan filed November 2017 (</w:t>
      </w:r>
      <w:r>
        <w:rPr>
          <w:rFonts w:ascii="Arial" w:cs="Arial" w:eastAsia="Arial" w:hAnsi="Arial"/>
          <w:sz w:val="18"/>
          <w:szCs w:val="18"/>
          <w:i w:val="1"/>
          <w:iCs w:val="1"/>
          <w:color w:val="auto"/>
        </w:rPr>
        <w:t>Weiler v. Takeda Canada Inc. et al.</w:t>
      </w:r>
      <w:r>
        <w:rPr>
          <w:rFonts w:ascii="Arial" w:cs="Arial" w:eastAsia="Arial" w:hAnsi="Arial"/>
          <w:sz w:val="18"/>
          <w:szCs w:val="18"/>
          <w:color w:val="auto"/>
        </w:rPr>
        <w:t>), and one in Alberta filed January 2013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Epp v. Takeda Canada Inc. et al.</w:t>
      </w:r>
      <w:r>
        <w:rPr>
          <w:rFonts w:ascii="Arial" w:cs="Arial" w:eastAsia="Arial" w:hAnsi="Arial"/>
          <w:sz w:val="18"/>
          <w:szCs w:val="18"/>
          <w:color w:val="auto"/>
        </w:rPr>
        <w:t>). In general, plaintiffs in these actions alleged that Actos caused or contributed to their bladder cancer. An agreement to settle these actions became effective in May 2021. The relevant courts approved the settlement and the deadline for class members to seek settlement funds has now expired. The lawsuits have been dismissed or discontinued.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u w:val="single" w:color="auto"/>
          <w:color w:val="auto"/>
        </w:rPr>
        <w:t>Byetta® Product Liability</w:t>
      </w:r>
    </w:p>
    <w:p>
      <w:pPr>
        <w:spacing w:after="0" w:line="135"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are named as a defendant in approximately 570 Byetta product liability lawsuits in the U.S. which were first initiated in March 2009 and involve approximately 805 plaintiffs. Approximately 55 of these lawsuits, covering about 285 plaintiffs, are filed in California state court and coordinated in a Los Angeles Superior Court. Approximately 515 of the lawsuits, covering about 515 plaintiffs, are filed in federal court, the majority of which are coordinated in a multi-district litigation (MDL) in the U.S. District Court for the Southern District of California. Two lawsuits, representing approximately two plaintiffs, have also been filed in various state courts. Approximately 565 of the lawsuits, involving approximately 800 plaintiffs, contain allegations that Byetta caused or contributed to the plaintiffs' cancer (primarily pancreatic cancer or thyroid cancer); while six plaintiffs allege Byetta caused or contributed to pancreatitis. In addition, one case alleges that Byetta caused or contributed to ampullary cancer. The federal and state trial courts granted summary judgment in favor of us and our co-defendants on the claims alleging pancreatic cancer. The plaintiffs appealed those rulings.</w:t>
      </w:r>
    </w:p>
    <w:p>
      <w:pPr>
        <w:spacing w:after="0" w:line="10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November 2017, the U.S. Court of Appeals for the Ninth Circuit reversed the U.S. District Court for the Southern District of California's grant of summary judgment in the MDL based on that court's discovery rulings and remanded the cases back to the U.S. District Court for further proceedings. In March 2021, the U.S. District Court granted summary judgment for the defendants. In April 2021, the plaintiffs filed a notice of appeal to the U.S. Court of Appeals for the Ninth Circuit, but we have now been dismissed from that appeal. Certain plaintiffs have agreed to dismiss their lawsuits in exchange for a waiver of costs, and individual plaintiffs have begun dismissing their claims based upon this agreement. Approximately 311 of the MDL lawsuits have been dismissed as of February 2022. In the state court actions, in November 2018, the California Court of Appeal reversed the Los Angeles County Superior Court of California's grant of summary judgment based on that court's discovery rulings and remanded for further proceedings. In April 2021, the Los Angeles County Superior Court of California granted summary judgment for the defendants and the parties await entry of the order of judgment. Approximately 17 of the state court lawsuits have been dismissed as of February 2022.</w:t>
      </w:r>
    </w:p>
    <w:p>
      <w:pPr>
        <w:spacing w:after="0" w:line="1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aware of approximately 20 additional potential claimants who have not yet filed suit. These additional possible claims allege damages for pancreatic cancer or thyroid cancer.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Cialis Product Liability</w:t>
      </w:r>
    </w:p>
    <w:p>
      <w:pPr>
        <w:spacing w:after="0" w:line="13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are named as a defendant in approximately 350 Cialis product liability lawsuits in the U.S. which were first initiated in August 2015.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The JPML ordered the transfer of the existing cases to the now-renamed MDL </w:t>
      </w:r>
      <w:r>
        <w:rPr>
          <w:rFonts w:ascii="Arial" w:cs="Arial" w:eastAsia="Arial" w:hAnsi="Arial"/>
          <w:sz w:val="18"/>
          <w:szCs w:val="18"/>
          <w:i w:val="1"/>
          <w:iCs w:val="1"/>
          <w:color w:val="auto"/>
        </w:rPr>
        <w:t>In re: Viagra (Sildenafil Citrate) and Cialis (Tadalafil) Products Liability Litigation</w:t>
      </w:r>
      <w:r>
        <w:rPr>
          <w:rFonts w:ascii="Arial" w:cs="Arial" w:eastAsia="Arial" w:hAnsi="Arial"/>
          <w:sz w:val="18"/>
          <w:szCs w:val="18"/>
          <w:color w:val="auto"/>
        </w:rPr>
        <w:t>. In April 2020, the MDL court granted summary judgment to the defendants on all of the claims brought against them by the plaintiffs. In May 2020, plaintiffs filed an appeal in the U.S. Court of Appeals for the Ninth Circuit. The parties have reached agreement to resolve the majority of claims pending in the appeal and expect those claims to soon be dismissed.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Jardiance Product Liability</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First initiated in January 2019, we and Boehringer Ingelheim Pharmaceuticals, Inc., a subsidiary of BI, have been named as a defendant in 5 currently pending product liability lawsuits in Stamford Superior Court in Connecticut, alleging that Jardiance caused or contributed to plaintiffs' Fournier's gangrene. Our agreement with BI calls for BI to defend and indemnify us against any damages, costs, expenses, and certain other losses with respect to product liability claims in accordance with the terms of the agreement. All pending cases have been paused to allow for settlement negotiations and dismissals.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Proceedings</w:t>
      </w:r>
    </w:p>
    <w:p>
      <w:pPr>
        <w:spacing w:after="0" w:line="139"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the plaintiff in a lawsuit filed in January 2021 in the U.S. District Court for the Southern District of Indiana against the U.S. Department of Health and Human Services (HHS), the Secretary of HHS, the Health Resources and Services Administration (HRSA), and the Administrator of HRSA. The lawsuit challenges the HHS's December 30, 2020 advisory opinion stating that drug manufacturers are required to deliver discounts under the 340B program to all contract pharmacies. We seek a declaratory judgment that the defendants violated the Administrative Procedures Act and the U.S. Constitution, a preliminary injunction enjoining implementation of the administrative dispute resolution process created by defendants and, with it, their application of the advisory opinion, and other related relief. In March 2021, the court entered an order preliminarily enjoining the government's enforcement of the administrative dispute resolution process against us. In May 2021, HRSA notified us that it determined that our policy was contrary to the 340B statute. In response, in May 2021, we filed a motion for preliminary injunction and temporary restraining order requesting that the U.S. District Court for the Southern District of Indiana enjoin defendants from taking any action against us relating to the 340B drug pricing program until after the court issues a final judgment on the aforementioned litigation. In May 2021, the court denied our motion for a temporary restraining order but deferred resolution of our motion for preliminary injunction. In June 2021, the defendants withdrew the HHS December 30, 2020 advisory opinion. In July 2021, the court held oral argument on the parties' cross motions for summary judgment, the defendants' motion to dismiss, and our motion for preliminary injunction related to HRSA's May 2021 enforcement letter. In October 2021, the court denied the defendants' motion to dismiss, and granted in part and denied in part the parties' cross motions for summary judgment. We have filed a notice of appeal. This matter is ongoing.</w:t>
      </w:r>
    </w:p>
    <w:p>
      <w:pPr>
        <w:spacing w:after="0" w:line="1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January 2021, we, along with other pharmaceutical manufacturers, were named as a defendant in a petition currently pending before the HHS Administrative Dispute Resolution Panel. Petitioner seeks declaratory and other injunctive relief related to the 340B program. As described above, the U.S. District Court for the Southern District of Indiana has entered a preliminary injunction enjoining the government's enforcement of this administrative dispute resolution process against us.</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July 2021, we, along with Sanofi-Aventis U.S., LLC (Sanofi), Novo Nordisk Inc. (Novo Nordisk), and AstraZeneca Pharmaceuticals LP, were named as a defendant in a purported class action lawsuit filed in the U.S. District Court for the Western District of New York by Mosaic Health, Inc. alleging antitrust and unjust enrichment claims related to the defendants' 340B distribution programs. We, with Sanofi and Novo Nordisk, filed a motion to dismiss the lawsuit. This matter is ongoing.</w:t>
      </w:r>
    </w:p>
    <w:p>
      <w:pPr>
        <w:spacing w:after="0" w:line="9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this subpoena.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May 2021, we received a subpoena from the United States Department of Justice requesting the production of certain documents relating to our manufacturing site in Branchburg, New Jersey. We are cooperating with the subpoena.</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First initiated in 2008, our subsidiary in Brazil, Eli Lilly do Brasil Limitada (Lilly Brasil), is named in a Public Civil Action brought by the Labor Attorney for the 15th Region in the Labor Court of Paulinia, State of Sao Paulo, Brazil, (the Labor Court) alleging possible harm to employees and former employees caused by alleged exposure to soil and groundwater contaminants at a former Lilly Brasil manufacturing facility in Cosmopolis, Brazil, operated by the company between 1977 and 2003. In May 2014, the Labor Court judge ruled against Lilly Brasil, ordering it to undertake several actions, including some with unspecified financial impact, consisting primarily of paying lifetime health coverage for the employees and contractors who worked at the Cosmopolis facility for more than six months during the affected years and their children who were born during and after this period. We appealed this decision. In July 2018, the appeals court (TRT) generally affirmed the Labor Court's ruling, which included a liquidated award of 300 million Brazilian real. This 300 million Brazilian real liquidated award, when adjusted for inflation and the addition of pre and post judgment interest using the current Central Bank of Brazil's special system of clearance and custody rate, is approximately 950 million Brazilian real (approximately $170 million as of December 31, 2021). The TRT also restricted the broad health coverage awarded by the Labor Court to health problems that claimants could prove in a separate evidentiary proceeding arose from exposure to the alleged contamination. In August 2019, Lilly Brasil filed an appeal to the superior labor court (TST) and in June 2021, the TRT published its decision on the admissibility of Lilly Brasil's appeal, allowing the majority of the elements of the appeal to proceed; elements not proceeding are subject to an interlocutory appeal to the TST that was filed in June 2021. In September 2019, the TRT stayed a number of elements of its trial court decision pending the determination of Lilly Brasil's appeal to the TST.</w:t>
      </w:r>
    </w:p>
    <w:p>
      <w:pPr>
        <w:spacing w:after="0" w:line="10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June 2019, the Labor Public Attorney (LPA) filed an application in the Labor Court for enforcement of the healthcare coverage granted by the TRT in its July 2018 ruling, requested restrictions on Lilly Brasil’s assets in Brazil, and required Lilly Brasil and Antibióticos do Brasil Ltda. (ABL) to submit a list of potential beneficiaries of the Public Civil Action for the LPA to identify and contact those individuals. In July 2019, the Labor Court issued a ruling requiring a freeze of Lilly Brasil’s immovable property or, alternatively, a security deposit or lien of 500 million Brazilian real. Lilly Brasil filed a writ of mandamus challenging this ruling. In June 2021, the court reduced the security deposit or lien to</w:t>
      </w:r>
    </w:p>
    <w:p>
      <w:pPr>
        <w:spacing w:after="0" w:line="2"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100 million Brazilian real and limited the scope of the initial order. ABL and LPA appealed to the TST, which appeal is currently still under review. In addition, in September 2020, the LPA initiated a second preliminary enforcement of the portion of the July 2018 TRT decision in the Labor Court that prohibits the exposure of workers to the contaminated areas. The Labor Court is currently assessing the status of Lilly Brasil’s compliance with such portion of the July 2018 TRT decision. These matters are ongoing.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Former Employee Litigation</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Lilly Brasil is also named in approximately 25 pending lawsuits filed in the Labor Court by individual former employees making similar claims. These lawsuits are each at various stages in the litigation process, with judgments being handed down in more than half of the lawsuits by the trial courts, of which, approximately half of those judgements are on appeal in the labor courts.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China NDRC Antitrust Matter</w:t>
      </w:r>
    </w:p>
    <w:p>
      <w:pPr>
        <w:spacing w:after="0" w:line="1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competition authority in China has investigated our distributor pricing practices in China in connection with a broader inquiry into pharmaceutical industry pricing. We cooperated with this investigation. In July 2021 Lilly divested Cialis in China. We consider this matter closed.</w:t>
      </w:r>
    </w:p>
    <w:p>
      <w:pPr>
        <w:spacing w:after="0" w:line="200" w:lineRule="exact"/>
        <w:rPr>
          <w:sz w:val="20"/>
          <w:szCs w:val="20"/>
          <w:color w:val="auto"/>
        </w:rPr>
      </w:pPr>
    </w:p>
    <w:p>
      <w:pPr>
        <w:spacing w:after="0" w:line="326" w:lineRule="exact"/>
        <w:rPr>
          <w:sz w:val="20"/>
          <w:szCs w:val="20"/>
          <w:color w:val="auto"/>
        </w:rPr>
      </w:pPr>
    </w:p>
    <w:p>
      <w:pPr>
        <w:ind w:left="10980"/>
        <w:spacing w:after="0"/>
        <w:rPr>
          <w:sz w:val="20"/>
          <w:szCs w:val="20"/>
          <w:color w:val="auto"/>
        </w:rPr>
      </w:pPr>
      <w:r>
        <w:rPr>
          <w:rFonts w:ascii="Arial" w:cs="Arial" w:eastAsia="Arial" w:hAnsi="Arial"/>
          <w:sz w:val="15"/>
          <w:szCs w:val="15"/>
          <w:b w:val="1"/>
          <w:bCs w:val="1"/>
          <w:i w:val="1"/>
          <w:i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December 2020, the Puerto Rico Appellate Court (AP) reversed the summary judgment previously granted by the Court of First Instance (CFI) in our favor, dismissing the Municipality's complaint in its entirety. The AP remanded the case to the CFI for trial on the merits.</w:t>
      </w:r>
    </w:p>
    <w:p>
      <w:pPr>
        <w:spacing w:after="0" w:line="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October 2021, the Municipality filed a motion to execute a purported judgment, and the CFI scheduled a hearing in March 2022 to consider the Municipality's motion. We have opposed the Municipality's motion. This matter is ongoing.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Eastern District of Pennsylvania Pricing (Average Manufacturer Price) Inquiry</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In November 2014, we, along with another pharmaceutical manufacturer, were named as co-defendants in </w:t>
      </w:r>
      <w:r>
        <w:rPr>
          <w:rFonts w:ascii="Arial" w:cs="Arial" w:eastAsia="Arial" w:hAnsi="Arial"/>
          <w:sz w:val="18"/>
          <w:szCs w:val="18"/>
          <w:i w:val="1"/>
          <w:iCs w:val="1"/>
          <w:color w:val="auto"/>
        </w:rPr>
        <w:t>United States et al. ex rel. Streck</w:t>
      </w:r>
      <w:r>
        <w:rPr>
          <w:rFonts w:ascii="Arial" w:cs="Arial" w:eastAsia="Arial" w:hAnsi="Arial"/>
          <w:sz w:val="18"/>
          <w:szCs w:val="18"/>
          <w:color w:val="auto"/>
        </w:rPr>
        <w:t xml:space="preserve"> </w:t>
      </w:r>
      <w:r>
        <w:rPr>
          <w:rFonts w:ascii="Arial" w:cs="Arial" w:eastAsia="Arial" w:hAnsi="Arial"/>
          <w:sz w:val="18"/>
          <w:szCs w:val="18"/>
          <w:i w:val="1"/>
          <w:iCs w:val="1"/>
          <w:color w:val="auto"/>
        </w:rPr>
        <w:t>v. Takeda Pharm. Am., Inc., et al.</w:t>
      </w:r>
      <w:r>
        <w:rPr>
          <w:rFonts w:ascii="Arial" w:cs="Arial" w:eastAsia="Arial" w:hAnsi="Arial"/>
          <w:sz w:val="18"/>
          <w:szCs w:val="18"/>
          <w:color w:val="auto"/>
        </w:rPr>
        <w:t>, which was filed in November 2014 and unsealed in the U.S. District Court for the Northern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The complaint alleges that the defendants should have treated certain credits from distributors as retroactive price increases and included such increases in calculating average manufacturer prices. In October 2021 the parties filed cross motions for summary judgment. Trial is scheduled for April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named as a defendant in a lawsuit filed in June 2017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U.S. Department of Justice's motion to dismiss the relator's second amended complaint. In January 2020, the relator appealed the District Court's dismissal to the U.S. Court of Appeals for the Fifth Circuit. In July 2021, the U.S. Court of Appeals for the Fifth Circuit affirmed the dismissal of the lawsuit, and the relator did not petition the U.S. Supreme Court for certiorari. We are also named as a defendant in two similar lawsuits filed in Texas and New Jersey state courts in October 2019 seeking damages under the Texas Medicaid Fraud Prevention Act and New Jersey Medicaid False Claims Act, respectively. In November 2020, the Texas state court action was stayed pending a final determination with respect to the aforementioned federal lawsuit. In April 2021, the New Jersey state court action was dismissed with prejudice and in June 2021, the relator appealed the state court's decision to the Appellate Division of the New Jersey Superior Court. In January 2022, the relator filed its appellate brief.</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 Litigation, Investigations, and Inquiries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December 2017, we, along with Sanofi and Novo Nordisk were named as defendants in a consolidated purported class action lawsuit,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re. Insulin Pricing Litigation</w:t>
      </w:r>
      <w:r>
        <w:rPr>
          <w:rFonts w:ascii="Arial" w:cs="Arial" w:eastAsia="Arial" w:hAnsi="Arial"/>
          <w:sz w:val="18"/>
          <w:szCs w:val="18"/>
          <w:color w:val="auto"/>
        </w:rPr>
        <w:t>, in the U.S. District Court for the District of New Jersey relating to insulin pricing seeking damages under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 consumer protection laws and the Federal Racketeer Influenced and Corrupt Organization Act (federal RICO Act). Separately, in February 2018, we, along with Sanofi and Novo Nordisk, were named as defendants in </w:t>
      </w:r>
      <w:r>
        <w:rPr>
          <w:rFonts w:ascii="Arial" w:cs="Arial" w:eastAsia="Arial" w:hAnsi="Arial"/>
          <w:sz w:val="18"/>
          <w:szCs w:val="18"/>
          <w:i w:val="1"/>
          <w:iCs w:val="1"/>
          <w:color w:val="auto"/>
        </w:rPr>
        <w:t>MSP Recovery Claims, Series, LLC et al. v. Sanofi</w:t>
      </w:r>
      <w:r>
        <w:rPr>
          <w:rFonts w:ascii="Arial" w:cs="Arial" w:eastAsia="Arial" w:hAnsi="Arial"/>
          <w:sz w:val="18"/>
          <w:szCs w:val="18"/>
          <w:color w:val="auto"/>
        </w:rPr>
        <w:t xml:space="preserve"> </w:t>
      </w:r>
      <w:r>
        <w:rPr>
          <w:rFonts w:ascii="Arial" w:cs="Arial" w:eastAsia="Arial" w:hAnsi="Arial"/>
          <w:sz w:val="18"/>
          <w:szCs w:val="18"/>
          <w:i w:val="1"/>
          <w:iCs w:val="1"/>
          <w:color w:val="auto"/>
        </w:rPr>
        <w:t>Aventis U.S. LLC et al.</w:t>
      </w:r>
      <w:r>
        <w:rPr>
          <w:rFonts w:ascii="Arial" w:cs="Arial" w:eastAsia="Arial" w:hAnsi="Arial"/>
          <w:sz w:val="18"/>
          <w:szCs w:val="18"/>
          <w:color w:val="auto"/>
        </w:rPr>
        <w:t>, in the same court, seeking damages under various state consumer protection laws, common law fraud, unjust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enrichment, and the federal RICO Act. In both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MSP Recovery Claims</w:t>
      </w:r>
      <w:r>
        <w:rPr>
          <w:rFonts w:ascii="Arial" w:cs="Arial" w:eastAsia="Arial" w:hAnsi="Arial"/>
          <w:sz w:val="18"/>
          <w:szCs w:val="18"/>
          <w:color w:val="auto"/>
        </w:rPr>
        <w:t xml:space="preserve"> litigation, the court dismissed claims under the federal RICO Act and certain state laws. In April 2021, the plaintiffs in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amended their complaint to allege additional state law claims for civil conspiracy and violations of state RICO statutes. The court has allowed the Arizona RICO statute and certain state civil conspiracy law claims to proceed. Also, we, along with Sanofi, Novo Nordisk, CVS, Express Scripts, and Optum, have been sued in a purported class action,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xml:space="preserve"> filed in the same court in November 2020, for alleged violations of the federal RICO Act as well as the New Jersey RICO Act and antitrust law. That same group of defendants, along with Medco Health and United Health Group, also have been sued in other purported class actions in the same court, </w:t>
      </w:r>
      <w:r>
        <w:rPr>
          <w:rFonts w:ascii="Arial" w:cs="Arial" w:eastAsia="Arial" w:hAnsi="Arial"/>
          <w:sz w:val="18"/>
          <w:szCs w:val="18"/>
          <w:i w:val="1"/>
          <w:iCs w:val="1"/>
          <w:color w:val="auto"/>
        </w:rPr>
        <w:t>Rochester Drug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Co-Operative Inc. v. Eli Lilly &amp; Co. et al. </w:t>
      </w:r>
      <w:r>
        <w:rPr>
          <w:rFonts w:ascii="Arial" w:cs="Arial" w:eastAsia="Arial" w:hAnsi="Arial"/>
          <w:sz w:val="18"/>
          <w:szCs w:val="18"/>
          <w:color w:val="auto"/>
        </w:rPr>
        <w:t>and</w:t>
      </w:r>
      <w:r>
        <w:rPr>
          <w:rFonts w:ascii="Arial" w:cs="Arial" w:eastAsia="Arial" w:hAnsi="Arial"/>
          <w:sz w:val="18"/>
          <w:szCs w:val="18"/>
          <w:i w:val="1"/>
          <w:iCs w:val="1"/>
          <w:color w:val="auto"/>
        </w:rPr>
        <w:t xml:space="preserve"> Value Drug Co. v. Eli Lilly &amp; Co. et al. </w:t>
      </w:r>
      <w:r>
        <w:rPr>
          <w:rFonts w:ascii="Arial" w:cs="Arial" w:eastAsia="Arial" w:hAnsi="Arial"/>
          <w:sz w:val="18"/>
          <w:szCs w:val="18"/>
          <w:color w:val="auto"/>
        </w:rPr>
        <w:t>both initiated in March 2020, for alleged violations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federal RICO Act. In September 2020, the U.S. District Court for the District of New Jersey granted plaintiffs' motion to consolidate </w:t>
      </w:r>
      <w:r>
        <w:rPr>
          <w:rFonts w:ascii="Arial" w:cs="Arial" w:eastAsia="Arial" w:hAnsi="Arial"/>
          <w:sz w:val="18"/>
          <w:szCs w:val="18"/>
          <w:i w:val="1"/>
          <w:iCs w:val="1"/>
          <w:color w:val="auto"/>
        </w:rPr>
        <w:t>FWK</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LLC v. Novo Nordisk Inc., et al.</w:t>
      </w:r>
      <w:r>
        <w:rPr>
          <w:rFonts w:ascii="Arial" w:cs="Arial" w:eastAsia="Arial" w:hAnsi="Arial"/>
          <w:sz w:val="18"/>
          <w:szCs w:val="18"/>
          <w:color w:val="auto"/>
        </w:rPr>
        <w:t>,</w:t>
      </w:r>
      <w:r>
        <w:rPr>
          <w:rFonts w:ascii="Arial" w:cs="Arial" w:eastAsia="Arial" w:hAnsi="Arial"/>
          <w:sz w:val="18"/>
          <w:szCs w:val="18"/>
          <w:i w:val="1"/>
          <w:iCs w:val="1"/>
          <w:color w:val="auto"/>
        </w:rPr>
        <w:t xml:space="preserve"> Rochester Drug Co-Operative Inc. v. Eli Lilly &amp; Co. et al.</w:t>
      </w:r>
      <w:r>
        <w:rPr>
          <w:rFonts w:ascii="Arial" w:cs="Arial" w:eastAsia="Arial" w:hAnsi="Arial"/>
          <w:sz w:val="18"/>
          <w:szCs w:val="18"/>
          <w:color w:val="auto"/>
        </w:rPr>
        <w:t>, and</w:t>
      </w:r>
      <w:r>
        <w:rPr>
          <w:rFonts w:ascii="Arial" w:cs="Arial" w:eastAsia="Arial" w:hAnsi="Arial"/>
          <w:sz w:val="18"/>
          <w:szCs w:val="18"/>
          <w:i w:val="1"/>
          <w:iCs w:val="1"/>
          <w:color w:val="auto"/>
        </w:rPr>
        <w:t xml:space="preserve"> Value Drug Co. v. Eli Lilly &amp; Co. et al. </w:t>
      </w:r>
      <w:r>
        <w:rPr>
          <w:rFonts w:ascii="Arial" w:cs="Arial" w:eastAsia="Arial" w:hAnsi="Arial"/>
          <w:sz w:val="18"/>
          <w:szCs w:val="18"/>
          <w:color w:val="auto"/>
        </w:rPr>
        <w:t>In July 2021, the U.S. District Court for the District of New Jersey dismissed the three antitrust claims alleged by plaintiffs in the consolidated litigation and denied dismissal of the RICO claims.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06" w:name="page107"/>
    <w:bookmarkEnd w:id="106"/>
    <w:p>
      <w:pPr>
        <w:ind w:right="60"/>
        <w:spacing w:after="0" w:line="253" w:lineRule="auto"/>
        <w:rPr>
          <w:sz w:val="20"/>
          <w:szCs w:val="20"/>
          <w:color w:val="auto"/>
        </w:rPr>
      </w:pPr>
      <w:r>
        <w:rPr>
          <w:rFonts w:ascii="Arial" w:cs="Arial" w:eastAsia="Arial" w:hAnsi="Arial"/>
          <w:sz w:val="18"/>
          <w:szCs w:val="18"/>
          <w:color w:val="auto"/>
        </w:rPr>
        <w:t xml:space="preserve">In October 2018, the Minnesota Attorney General's Office initiated litigation against us, Sanofi, and Novo Nordisk, </w:t>
      </w:r>
      <w:r>
        <w:rPr>
          <w:rFonts w:ascii="Arial" w:cs="Arial" w:eastAsia="Arial" w:hAnsi="Arial"/>
          <w:sz w:val="18"/>
          <w:szCs w:val="18"/>
          <w:i w:val="1"/>
          <w:iCs w:val="1"/>
          <w:color w:val="auto"/>
        </w:rPr>
        <w:t>State of Minnesota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Sanofi-Aventis U.S. LLC et al., </w:t>
      </w:r>
      <w:r>
        <w:rPr>
          <w:rFonts w:ascii="Arial" w:cs="Arial" w:eastAsia="Arial" w:hAnsi="Arial"/>
          <w:sz w:val="18"/>
          <w:szCs w:val="18"/>
          <w:color w:val="auto"/>
        </w:rPr>
        <w:t>in the U.S. District Court for the District of New Jersey, alleging unjust enrichment, violations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Minnesota state consumer protection laws, and the federal RICO Act. In March 2021, the U.S. District Court for the District of New Jersey dismissed with prejudice the Minnesota Attorney General's federal RICO claims and false advertising claims under state law; the consumer fraud and other related state law claims remain ongoing. Additionally, in May 2019, the Kentucky Attorney General's Office filed a complaint against us, Sanofi, and Novo 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xml:space="preserve">, in Kentucky state court, alleging violations of the Kentucky consumer protection law, false advertising, and unjust enrichment. In November 2019, Harris County in Texas initiated litigation against us, Sanofi, Novo Nordisk, Express Scripts, CVS, Optum, and Aetna, </w:t>
      </w:r>
      <w:r>
        <w:rPr>
          <w:rFonts w:ascii="Arial" w:cs="Arial" w:eastAsia="Arial" w:hAnsi="Arial"/>
          <w:sz w:val="18"/>
          <w:szCs w:val="18"/>
          <w:i w:val="1"/>
          <w:iCs w:val="1"/>
          <w:color w:val="auto"/>
        </w:rPr>
        <w:t>County of Harris Texas v. Eli Lilly &amp; Co., et al.</w:t>
      </w:r>
      <w:r>
        <w:rPr>
          <w:rFonts w:ascii="Arial" w:cs="Arial" w:eastAsia="Arial" w:hAnsi="Arial"/>
          <w:sz w:val="18"/>
          <w:szCs w:val="18"/>
          <w:color w:val="auto"/>
        </w:rPr>
        <w:t>, in federal court in the Southern District of Texas alleging violations of the federal RICO Act, the state deceptive trade practices-consumer protection act, and common law claims such as fraud, unjust enrichment, and civil conspiracy. Harris County also alleged violations of federal and state antitrust law, but voluntarily dismissed them. This lawsuit relates to our insulin products as well as Trulicity.</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June 2021, the City of Miami, Florida initiated litigation against us, Sanofi, Novo Nordisk, ESI, CVS/Caremark/Aetna, and Optum, asserting state law antitrust, common law fraud, money had and received, unjust enrichment, and civil conspiracy claims. After removing the case to federal court, we, along with the other defendants, filed a motion to dismiss the lawsuit. In January 2022, the court granted the motion in part but has allowed the antitrust and conspiracy claims to proceed against us, Sanofi and Novo Nordisk. We, along with Sanofi and Novo Nordisk, have moved the court to reconsider its denial of our motion to dismiss the antitrust and conspiracy claims.</w:t>
      </w:r>
    </w:p>
    <w:p>
      <w:pPr>
        <w:spacing w:after="0" w:line="9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June 2021, the Mississippi Attorney General's Office (Mississippi AG) initiated litigation against us, Sanofi, Novo Nordisk, Evernorth/ESI, CVS/Caremark, and United/Optum in the Hinds County, Mississippi Chancery Court, alleging state law consumer protection, unjust enrichment, and civil conspiracy claims. After the case was removed to federal court, we, along with the other defendants, filed a motion to dismiss the lawsuit. In response, the Mississippi AG filed a motion to amend its complaint, which the court granted. This matter is ongoing.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Investigations, Subpoenas, and Inquiries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received subpoenas from the New York and Vermont Attorney General Offices and civil investigative demands from the Washington, New Mexico, and Colorado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and a subpoena from the California Attorney General's Office regarding our competition in the long-acting insulin market, which was subsequently withdrawn in June 2021. In January 2022, the Michigan Attorney General filed against us in state court a petition seeking authorization to investigate Lilly for potential violations of the Michigan Consumer Protection Act (MCPA), and a complaint seeking a declaratory judgment that the MCPA applies to the conduct it seeks to investigate and allows it to conduct the investigation. The state court granted the State's petition to investigate, authorizing the State to issue civil investigative subpoenas. The State's complaint for declaratory judgment remains pending.</w:t>
      </w:r>
    </w:p>
    <w:p>
      <w:pPr>
        <w:spacing w:after="0" w:line="10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received a request in January 2019 from the House of Representatives' Committee on Oversight and Reform seeking commercial information and business records related to the pricing of insulin products, among other issues. We also received requests from the Senate Finance Committee and the Senate Committee on Health, Education, Labor, and Pensions, and separate requests from the House Committee on Energy and Commerce majority and minority members. Those requests sought pricing and other commercial information regarding Lilly's insulin products. In January 2021, the Senate Finance Committee released a report summarizing the findings of its investigation. In December 2021 the House of Representatives' Committee on Oversight and Reform majority and minority staffs released separate reports with findings from their investigations into drug pricing, including of insulin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are cooperating with all of these aforementioned investigations, subpoenas, and inquiries.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April 2016, we were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Both parties moved for summary judgment and hearing on the motions took place in August 2021. In October 2021, the Court issued a summary judgment decision finding in favor of RCT on certain issues, including with respect to a disputed royalty. Both parties filed motions for reconsideration, which are underway. Potential damages payable under the litigation, if finally awarded after an appeal, could be material but are not currently reasonably estimable. A trial date has not been set.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3"/>
                <w:szCs w:val="13"/>
                <w:b w:val="1"/>
                <w:bCs w:val="1"/>
                <w:color w:val="auto"/>
              </w:rPr>
              <w:t>Continuing 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center"/>
              <w:ind w:right="95"/>
              <w:spacing w:after="0"/>
              <w:rPr>
                <w:sz w:val="20"/>
                <w:szCs w:val="20"/>
                <w:color w:val="auto"/>
              </w:rPr>
            </w:pPr>
            <w:r>
              <w:rPr>
                <w:rFonts w:ascii="Arial" w:cs="Arial" w:eastAsia="Arial" w:hAnsi="Arial"/>
                <w:sz w:val="13"/>
                <w:szCs w:val="13"/>
                <w:b w:val="1"/>
                <w:bCs w:val="1"/>
                <w:color w:val="auto"/>
                <w:w w:val="97"/>
              </w:rPr>
              <w:t>Foreign Currency</w:t>
            </w:r>
          </w:p>
        </w:tc>
        <w:tc>
          <w:tcPr>
            <w:tcW w:w="180" w:type="dxa"/>
            <w:vAlign w:val="bottom"/>
          </w:tcPr>
          <w:p>
            <w:pPr>
              <w:spacing w:after="0"/>
              <w:rPr>
                <w:sz w:val="10"/>
                <w:szCs w:val="10"/>
                <w:color w:val="auto"/>
              </w:rPr>
            </w:pPr>
          </w:p>
        </w:tc>
        <w:tc>
          <w:tcPr>
            <w:tcW w:w="1100" w:type="dxa"/>
            <w:vAlign w:val="bottom"/>
            <w:vMerge w:val="restart"/>
          </w:tcPr>
          <w:p>
            <w:pPr>
              <w:jc w:val="center"/>
              <w:ind w:right="96"/>
              <w:spacing w:after="0"/>
              <w:rPr>
                <w:sz w:val="20"/>
                <w:szCs w:val="20"/>
                <w:color w:val="auto"/>
              </w:rPr>
            </w:pPr>
            <w:r>
              <w:rPr>
                <w:rFonts w:ascii="Arial" w:cs="Arial" w:eastAsia="Arial" w:hAnsi="Arial"/>
                <w:sz w:val="13"/>
                <w:szCs w:val="13"/>
                <w:b w:val="1"/>
                <w:bCs w:val="1"/>
                <w:color w:val="auto"/>
                <w:w w:val="97"/>
              </w:rPr>
              <w:t>Unrealized Net</w:t>
            </w:r>
          </w:p>
        </w:tc>
        <w:tc>
          <w:tcPr>
            <w:tcW w:w="240" w:type="dxa"/>
            <w:vAlign w:val="bottom"/>
          </w:tcPr>
          <w:p>
            <w:pPr>
              <w:spacing w:after="0"/>
              <w:rPr>
                <w:sz w:val="10"/>
                <w:szCs w:val="10"/>
                <w:color w:val="auto"/>
              </w:rPr>
            </w:pPr>
          </w:p>
        </w:tc>
        <w:tc>
          <w:tcPr>
            <w:tcW w:w="1300" w:type="dxa"/>
            <w:vAlign w:val="bottom"/>
          </w:tcPr>
          <w:p>
            <w:pPr>
              <w:jc w:val="center"/>
              <w:ind w:right="175"/>
              <w:spacing w:after="0" w:line="122" w:lineRule="exact"/>
              <w:rPr>
                <w:sz w:val="20"/>
                <w:szCs w:val="20"/>
                <w:color w:val="auto"/>
              </w:rPr>
            </w:pPr>
            <w:r>
              <w:rPr>
                <w:rFonts w:ascii="Arial" w:cs="Arial" w:eastAsia="Arial" w:hAnsi="Arial"/>
                <w:sz w:val="13"/>
                <w:szCs w:val="13"/>
                <w:b w:val="1"/>
                <w:bCs w:val="1"/>
                <w:color w:val="auto"/>
                <w:w w:val="96"/>
              </w:rPr>
              <w:t>Defined Benefit</w:t>
            </w: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Effective Portion</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center"/>
              <w:ind w:right="155"/>
              <w:spacing w:after="0" w:line="122" w:lineRule="exact"/>
              <w:rPr>
                <w:sz w:val="20"/>
                <w:szCs w:val="20"/>
                <w:color w:val="auto"/>
              </w:rPr>
            </w:pPr>
            <w:r>
              <w:rPr>
                <w:rFonts w:ascii="Arial" w:cs="Arial" w:eastAsia="Arial" w:hAnsi="Arial"/>
                <w:sz w:val="13"/>
                <w:szCs w:val="13"/>
                <w:b w:val="1"/>
                <w:bCs w:val="1"/>
                <w:color w:val="auto"/>
                <w:w w:val="95"/>
              </w:rPr>
              <w:t>Pension and</w:t>
            </w: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w w:val="99"/>
              </w:rPr>
              <w:t>Discontinued</w:t>
            </w:r>
          </w:p>
        </w:tc>
        <w:tc>
          <w:tcPr>
            <w:tcW w:w="160" w:type="dxa"/>
            <w:vAlign w:val="bottom"/>
          </w:tcPr>
          <w:p>
            <w:pPr>
              <w:spacing w:after="0"/>
              <w:rPr>
                <w:sz w:val="10"/>
                <w:szCs w:val="10"/>
                <w:color w:val="auto"/>
              </w:rPr>
            </w:pPr>
          </w:p>
        </w:tc>
        <w:tc>
          <w:tcPr>
            <w:tcW w:w="130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3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(Amounts presented net of taxes)</w:t>
            </w:r>
          </w:p>
        </w:tc>
        <w:tc>
          <w:tcPr>
            <w:tcW w:w="120" w:type="dxa"/>
            <w:vAlign w:val="bottom"/>
          </w:tcPr>
          <w:p>
            <w:pPr>
              <w:spacing w:after="0"/>
              <w:rPr>
                <w:sz w:val="10"/>
                <w:szCs w:val="10"/>
                <w:color w:val="auto"/>
              </w:rPr>
            </w:pPr>
          </w:p>
        </w:tc>
        <w:tc>
          <w:tcPr>
            <w:tcW w:w="124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w w:val="96"/>
              </w:rPr>
              <w:t>Translation</w:t>
            </w:r>
          </w:p>
        </w:tc>
        <w:tc>
          <w:tcPr>
            <w:tcW w:w="180" w:type="dxa"/>
            <w:vAlign w:val="bottom"/>
          </w:tcPr>
          <w:p>
            <w:pPr>
              <w:spacing w:after="0"/>
              <w:rPr>
                <w:sz w:val="10"/>
                <w:szCs w:val="10"/>
                <w:color w:val="auto"/>
              </w:rPr>
            </w:pPr>
          </w:p>
        </w:tc>
        <w:tc>
          <w:tcPr>
            <w:tcW w:w="1100" w:type="dxa"/>
            <w:vAlign w:val="bottom"/>
          </w:tcPr>
          <w:p>
            <w:pPr>
              <w:jc w:val="center"/>
              <w:ind w:right="76"/>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15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Retiree Health Benefit</w:t>
            </w:r>
          </w:p>
        </w:tc>
        <w:tc>
          <w:tcPr>
            <w:tcW w:w="180" w:type="dxa"/>
            <w:vAlign w:val="bottom"/>
          </w:tcPr>
          <w:p>
            <w:pPr>
              <w:spacing w:after="0"/>
              <w:rPr>
                <w:sz w:val="10"/>
                <w:szCs w:val="10"/>
                <w:color w:val="auto"/>
              </w:rPr>
            </w:pPr>
          </w:p>
        </w:tc>
        <w:tc>
          <w:tcPr>
            <w:tcW w:w="960" w:type="dxa"/>
            <w:vAlign w:val="bottom"/>
          </w:tcPr>
          <w:p>
            <w:pPr>
              <w:jc w:val="center"/>
              <w:ind w:right="34"/>
              <w:spacing w:after="0" w:line="122" w:lineRule="exact"/>
              <w:rPr>
                <w:sz w:val="20"/>
                <w:szCs w:val="20"/>
                <w:color w:val="auto"/>
              </w:rPr>
            </w:pPr>
            <w:r>
              <w:rPr>
                <w:rFonts w:ascii="Arial" w:cs="Arial" w:eastAsia="Arial" w:hAnsi="Arial"/>
                <w:sz w:val="13"/>
                <w:szCs w:val="13"/>
                <w:b w:val="1"/>
                <w:bCs w:val="1"/>
                <w:color w:val="auto"/>
                <w:w w:val="98"/>
              </w:rPr>
              <w:t>of Cash Flow</w:t>
            </w:r>
          </w:p>
        </w:tc>
        <w:tc>
          <w:tcPr>
            <w:tcW w:w="2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96"/>
              </w:rPr>
              <w:t>Gains (Losses)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7"/>
              </w:rPr>
              <w:t>on Securities</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55"/>
              <w:spacing w:after="0"/>
              <w:rPr>
                <w:sz w:val="20"/>
                <w:szCs w:val="20"/>
                <w:color w:val="auto"/>
              </w:rPr>
            </w:pPr>
            <w:r>
              <w:rPr>
                <w:rFonts w:ascii="Arial" w:cs="Arial" w:eastAsia="Arial" w:hAnsi="Arial"/>
                <w:sz w:val="13"/>
                <w:szCs w:val="13"/>
                <w:b w:val="1"/>
                <w:bCs w:val="1"/>
                <w:color w:val="auto"/>
                <w:w w:val="97"/>
              </w:rPr>
              <w:t>Plans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Hedges</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Operations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175"/>
        </w:trPr>
        <w:tc>
          <w:tcPr>
            <w:tcW w:w="3080" w:type="dxa"/>
            <w:vAlign w:val="bottom"/>
            <w:shd w:val="clear" w:color="auto" w:fill="D8D8D8"/>
          </w:tcPr>
          <w:p>
            <w:pPr>
              <w:ind w:left="20"/>
              <w:spacing w:after="0" w:line="175" w:lineRule="exact"/>
              <w:rPr>
                <w:sz w:val="20"/>
                <w:szCs w:val="20"/>
                <w:color w:val="auto"/>
              </w:rPr>
            </w:pPr>
            <w:r>
              <w:rPr>
                <w:rFonts w:ascii="Arial" w:cs="Arial" w:eastAsia="Arial" w:hAnsi="Arial"/>
                <w:sz w:val="18"/>
                <w:szCs w:val="18"/>
                <w:color w:val="auto"/>
              </w:rPr>
              <w:t>Beginning balance at January 1,</w:t>
            </w:r>
          </w:p>
        </w:tc>
        <w:tc>
          <w:tcPr>
            <w:tcW w:w="12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11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11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80" w:type="dxa"/>
            <w:vAlign w:val="bottom"/>
            <w:shd w:val="clear" w:color="auto" w:fill="D8D8D8"/>
          </w:tcPr>
          <w:p>
            <w:pPr>
              <w:ind w:left="20"/>
              <w:spacing w:after="0" w:line="228" w:lineRule="exact"/>
              <w:rPr>
                <w:sz w:val="20"/>
                <w:szCs w:val="20"/>
                <w:color w:val="auto"/>
              </w:rPr>
            </w:pPr>
            <w:r>
              <w:rPr>
                <w:rFonts w:ascii="Arial" w:cs="Arial" w:eastAsia="Arial" w:hAnsi="Arial"/>
                <w:sz w:val="18"/>
                <w:szCs w:val="18"/>
                <w:color w:val="auto"/>
              </w:rPr>
              <w:t>2019</w:t>
            </w:r>
            <w:r>
              <w:rPr>
                <w:rFonts w:ascii="Arial" w:cs="Arial" w:eastAsia="Arial" w:hAnsi="Arial"/>
                <w:sz w:val="23"/>
                <w:szCs w:val="23"/>
                <w:color w:val="auto"/>
                <w:vertAlign w:val="superscript"/>
              </w:rPr>
              <w:t>(1)</w:t>
            </w:r>
          </w:p>
        </w:tc>
        <w:tc>
          <w:tcPr>
            <w:tcW w:w="1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(1,569.7)</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(3,852.7)</w:t>
            </w:r>
          </w:p>
        </w:tc>
        <w:tc>
          <w:tcPr>
            <w:tcW w:w="1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(238.9)</w:t>
            </w:r>
          </w:p>
        </w:tc>
        <w:tc>
          <w:tcPr>
            <w:tcW w:w="2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(5,740.2)</w:t>
            </w:r>
          </w:p>
        </w:tc>
        <w:tc>
          <w:tcPr>
            <w:tcW w:w="0" w:type="dxa"/>
            <w:vAlign w:val="bottom"/>
          </w:tcPr>
          <w:p>
            <w:pPr>
              <w:spacing w:after="0"/>
              <w:rPr>
                <w:sz w:val="1"/>
                <w:szCs w:val="1"/>
                <w:color w:val="auto"/>
              </w:rPr>
            </w:pPr>
          </w:p>
        </w:tc>
      </w:tr>
      <w:tr>
        <w:trPr>
          <w:trHeight w:val="188"/>
        </w:trPr>
        <w:tc>
          <w:tcPr>
            <w:tcW w:w="308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140"/>
              <w:spacing w:after="0"/>
              <w:rPr>
                <w:sz w:val="20"/>
                <w:szCs w:val="20"/>
                <w:color w:val="auto"/>
              </w:rPr>
            </w:pPr>
            <w:r>
              <w:rPr>
                <w:rFonts w:ascii="Arial" w:cs="Arial" w:eastAsia="Arial" w:hAnsi="Arial"/>
                <w:sz w:val="18"/>
                <w:szCs w:val="18"/>
                <w:color w:val="auto"/>
              </w:rPr>
              <w:t>before reclassifications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188"/>
        </w:trPr>
        <w:tc>
          <w:tcPr>
            <w:tcW w:w="3080" w:type="dxa"/>
            <w:vAlign w:val="bottom"/>
            <w:shd w:val="clear" w:color="auto" w:fill="D8D8D8"/>
          </w:tcPr>
          <w:p>
            <w:pPr>
              <w:ind w:left="140"/>
              <w:spacing w:after="0" w:line="189" w:lineRule="exact"/>
              <w:rPr>
                <w:sz w:val="20"/>
                <w:szCs w:val="20"/>
                <w:color w:val="auto"/>
              </w:rPr>
            </w:pPr>
            <w:r>
              <w:rPr>
                <w:rFonts w:ascii="Arial" w:cs="Arial" w:eastAsia="Arial" w:hAnsi="Arial"/>
                <w:sz w:val="18"/>
                <w:szCs w:val="18"/>
                <w:color w:val="auto"/>
              </w:rPr>
              <w:t>Net amount reclassified from</w:t>
            </w:r>
          </w:p>
        </w:tc>
        <w:tc>
          <w:tcPr>
            <w:tcW w:w="12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60" w:type="dxa"/>
            <w:vAlign w:val="bottom"/>
            <w:shd w:val="clear" w:color="auto" w:fill="D8D8D8"/>
          </w:tcPr>
          <w:p>
            <w:pPr>
              <w:spacing w:after="0"/>
              <w:rPr>
                <w:sz w:val="16"/>
                <w:szCs w:val="16"/>
                <w:color w:val="auto"/>
              </w:rPr>
            </w:pPr>
          </w:p>
        </w:tc>
        <w:tc>
          <w:tcPr>
            <w:tcW w:w="2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accumulated other comprehensive</w:t>
            </w:r>
          </w:p>
        </w:tc>
        <w:tc>
          <w:tcPr>
            <w:tcW w:w="12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11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11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shd w:val="clear" w:color="auto" w:fill="D8D8D8"/>
          </w:tcPr>
          <w:p>
            <w:pPr>
              <w:spacing w:after="0"/>
              <w:rPr>
                <w:sz w:val="18"/>
                <w:szCs w:val="18"/>
                <w:color w:val="auto"/>
              </w:rPr>
            </w:pP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Borders>
              <w:bottom w:val="single" w:sz="8" w:color="auto"/>
            </w:tcBorders>
            <w:shd w:val="clear" w:color="auto" w:fill="D8D8D8"/>
          </w:tcPr>
          <w:p>
            <w:pPr>
              <w:spacing w:after="0"/>
              <w:rPr>
                <w:sz w:val="18"/>
                <w:szCs w:val="18"/>
                <w:color w:val="auto"/>
              </w:rPr>
            </w:pP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181.7</w:t>
            </w:r>
          </w:p>
        </w:tc>
        <w:tc>
          <w:tcPr>
            <w:tcW w:w="180" w:type="dxa"/>
            <w:vAlign w:val="bottom"/>
            <w:tcBorders>
              <w:bottom w:val="single" w:sz="8" w:color="auto"/>
            </w:tcBorders>
            <w:shd w:val="clear" w:color="auto" w:fill="D8D8D8"/>
          </w:tcPr>
          <w:p>
            <w:pPr>
              <w:spacing w:after="0"/>
              <w:rPr>
                <w:sz w:val="18"/>
                <w:szCs w:val="18"/>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auto"/>
            </w:tcBorders>
            <w:shd w:val="clear" w:color="auto" w:fill="D8D8D8"/>
          </w:tcPr>
          <w:p>
            <w:pPr>
              <w:spacing w:after="0"/>
              <w:rPr>
                <w:sz w:val="18"/>
                <w:szCs w:val="18"/>
                <w:color w:val="auto"/>
              </w:rPr>
            </w:pPr>
          </w:p>
        </w:tc>
        <w:tc>
          <w:tcPr>
            <w:tcW w:w="110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color w:val="auto"/>
              </w:rPr>
              <w:t>84.0</w:t>
            </w:r>
          </w:p>
        </w:tc>
        <w:tc>
          <w:tcPr>
            <w:tcW w:w="16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168"/>
        </w:trPr>
        <w:tc>
          <w:tcPr>
            <w:tcW w:w="3080" w:type="dxa"/>
            <w:vAlign w:val="bottom"/>
          </w:tcPr>
          <w:p>
            <w:pPr>
              <w:ind w:left="140"/>
              <w:spacing w:after="0" w:line="168" w:lineRule="exact"/>
              <w:rPr>
                <w:sz w:val="20"/>
                <w:szCs w:val="20"/>
                <w:color w:val="auto"/>
              </w:rPr>
            </w:pPr>
            <w:r>
              <w:rPr>
                <w:rFonts w:ascii="Arial" w:cs="Arial" w:eastAsia="Arial" w:hAnsi="Arial"/>
                <w:sz w:val="18"/>
                <w:szCs w:val="18"/>
                <w:color w:val="auto"/>
              </w:rPr>
              <w:t>Net other comprehensive income</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56.8</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23"/>
        </w:trPr>
        <w:tc>
          <w:tcPr>
            <w:tcW w:w="308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shd w:val="clear" w:color="auto" w:fill="D8D8D8"/>
          </w:tcPr>
          <w:p>
            <w:pPr>
              <w:spacing w:after="0"/>
              <w:rPr>
                <w:sz w:val="19"/>
                <w:szCs w:val="19"/>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(1,678.0)</w:t>
            </w:r>
          </w:p>
        </w:tc>
        <w:tc>
          <w:tcPr>
            <w:tcW w:w="18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56"/>
              <w:spacing w:after="0"/>
              <w:rPr>
                <w:sz w:val="20"/>
                <w:szCs w:val="20"/>
                <w:color w:val="auto"/>
              </w:rPr>
            </w:pPr>
            <w:r>
              <w:rPr>
                <w:rFonts w:ascii="Arial" w:cs="Arial" w:eastAsia="Arial" w:hAnsi="Arial"/>
                <w:sz w:val="18"/>
                <w:szCs w:val="18"/>
                <w:color w:val="auto"/>
              </w:rPr>
              <w:t>4.9</w:t>
            </w:r>
          </w:p>
        </w:tc>
        <w:tc>
          <w:tcPr>
            <w:tcW w:w="24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(4,638.6)</w:t>
            </w:r>
          </w:p>
        </w:tc>
        <w:tc>
          <w:tcPr>
            <w:tcW w:w="180" w:type="dxa"/>
            <w:vAlign w:val="bottom"/>
            <w:shd w:val="clear" w:color="auto" w:fill="D8D8D8"/>
          </w:tcPr>
          <w:p>
            <w:pPr>
              <w:spacing w:after="0"/>
              <w:rPr>
                <w:sz w:val="19"/>
                <w:szCs w:val="19"/>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(211.9)</w:t>
            </w:r>
          </w:p>
        </w:tc>
        <w:tc>
          <w:tcPr>
            <w:tcW w:w="26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(6,523.6)</w:t>
            </w:r>
          </w:p>
        </w:tc>
        <w:tc>
          <w:tcPr>
            <w:tcW w:w="0" w:type="dxa"/>
            <w:vAlign w:val="bottom"/>
          </w:tcPr>
          <w:p>
            <w:pPr>
              <w:spacing w:after="0"/>
              <w:rPr>
                <w:sz w:val="1"/>
                <w:szCs w:val="1"/>
                <w:color w:val="auto"/>
              </w:rPr>
            </w:pPr>
          </w:p>
        </w:tc>
      </w:tr>
      <w:tr>
        <w:trPr>
          <w:trHeight w:val="188"/>
        </w:trPr>
        <w:tc>
          <w:tcPr>
            <w:tcW w:w="308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140"/>
              <w:spacing w:after="0"/>
              <w:rPr>
                <w:sz w:val="20"/>
                <w:szCs w:val="20"/>
                <w:color w:val="auto"/>
              </w:rPr>
            </w:pPr>
            <w:r>
              <w:rPr>
                <w:rFonts w:ascii="Arial" w:cs="Arial" w:eastAsia="Arial" w:hAnsi="Arial"/>
                <w:sz w:val="18"/>
                <w:szCs w:val="18"/>
                <w:color w:val="auto"/>
              </w:rPr>
              <w:t>before reclassifications</w:t>
            </w:r>
          </w:p>
        </w:tc>
        <w:tc>
          <w:tcPr>
            <w:tcW w:w="12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250.5</w:t>
            </w:r>
          </w:p>
        </w:tc>
        <w:tc>
          <w:tcPr>
            <w:tcW w:w="18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188"/>
        </w:trPr>
        <w:tc>
          <w:tcPr>
            <w:tcW w:w="3080" w:type="dxa"/>
            <w:vAlign w:val="bottom"/>
            <w:shd w:val="clear" w:color="auto" w:fill="D8D8D8"/>
          </w:tcPr>
          <w:p>
            <w:pPr>
              <w:ind w:left="140"/>
              <w:spacing w:after="0" w:line="189" w:lineRule="exact"/>
              <w:rPr>
                <w:sz w:val="20"/>
                <w:szCs w:val="20"/>
                <w:color w:val="auto"/>
              </w:rPr>
            </w:pPr>
            <w:r>
              <w:rPr>
                <w:rFonts w:ascii="Arial" w:cs="Arial" w:eastAsia="Arial" w:hAnsi="Arial"/>
                <w:sz w:val="18"/>
                <w:szCs w:val="18"/>
                <w:color w:val="auto"/>
              </w:rPr>
              <w:t>Net amount reclassified from</w:t>
            </w:r>
          </w:p>
        </w:tc>
        <w:tc>
          <w:tcPr>
            <w:tcW w:w="12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60" w:type="dxa"/>
            <w:vAlign w:val="bottom"/>
            <w:shd w:val="clear" w:color="auto" w:fill="D8D8D8"/>
          </w:tcPr>
          <w:p>
            <w:pPr>
              <w:spacing w:after="0"/>
              <w:rPr>
                <w:sz w:val="16"/>
                <w:szCs w:val="16"/>
                <w:color w:val="auto"/>
              </w:rPr>
            </w:pPr>
          </w:p>
        </w:tc>
        <w:tc>
          <w:tcPr>
            <w:tcW w:w="2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accumulated other comprehensive</w:t>
            </w:r>
          </w:p>
        </w:tc>
        <w:tc>
          <w:tcPr>
            <w:tcW w:w="12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1100" w:type="dxa"/>
            <w:vAlign w:val="bottom"/>
            <w:shd w:val="clear" w:color="auto" w:fill="D8D8D8"/>
          </w:tcPr>
          <w:p>
            <w:pPr>
              <w:spacing w:after="0"/>
              <w:rPr>
                <w:sz w:val="15"/>
                <w:szCs w:val="15"/>
                <w:color w:val="auto"/>
              </w:rPr>
            </w:pPr>
          </w:p>
        </w:tc>
        <w:tc>
          <w:tcPr>
            <w:tcW w:w="24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260" w:type="dxa"/>
            <w:vAlign w:val="bottom"/>
            <w:shd w:val="clear" w:color="auto" w:fill="D8D8D8"/>
          </w:tcPr>
          <w:p>
            <w:pPr>
              <w:spacing w:after="0"/>
              <w:rPr>
                <w:sz w:val="15"/>
                <w:szCs w:val="15"/>
                <w:color w:val="auto"/>
              </w:rPr>
            </w:pPr>
          </w:p>
        </w:tc>
        <w:tc>
          <w:tcPr>
            <w:tcW w:w="110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shd w:val="clear" w:color="auto" w:fill="D8D8D8"/>
          </w:tcPr>
          <w:p>
            <w:pPr>
              <w:spacing w:after="0"/>
              <w:rPr>
                <w:sz w:val="18"/>
                <w:szCs w:val="18"/>
                <w:color w:val="auto"/>
              </w:rPr>
            </w:pPr>
          </w:p>
        </w:tc>
        <w:tc>
          <w:tcPr>
            <w:tcW w:w="1240" w:type="dxa"/>
            <w:vAlign w:val="bottom"/>
            <w:tcBorders>
              <w:bottom w:val="single" w:sz="8" w:color="auto"/>
            </w:tcBorders>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8D8D8"/>
          </w:tcPr>
          <w:p>
            <w:pPr>
              <w:spacing w:after="0"/>
              <w:rPr>
                <w:sz w:val="18"/>
                <w:szCs w:val="18"/>
                <w:color w:val="auto"/>
              </w:rPr>
            </w:pPr>
          </w:p>
        </w:tc>
        <w:tc>
          <w:tcPr>
            <w:tcW w:w="1100" w:type="dxa"/>
            <w:vAlign w:val="bottom"/>
            <w:tcBorders>
              <w:bottom w:val="single" w:sz="8" w:color="auto"/>
            </w:tcBorders>
            <w:shd w:val="clear" w:color="auto" w:fill="D8D8D8"/>
          </w:tcPr>
          <w:p>
            <w:pPr>
              <w:jc w:val="right"/>
              <w:ind w:right="56"/>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267.3</w:t>
            </w:r>
          </w:p>
        </w:tc>
        <w:tc>
          <w:tcPr>
            <w:tcW w:w="180" w:type="dxa"/>
            <w:vAlign w:val="bottom"/>
            <w:tcBorders>
              <w:bottom w:val="single" w:sz="8" w:color="auto"/>
            </w:tcBorders>
            <w:shd w:val="clear" w:color="auto" w:fill="D8D8D8"/>
          </w:tcPr>
          <w:p>
            <w:pPr>
              <w:spacing w:after="0"/>
              <w:rPr>
                <w:sz w:val="18"/>
                <w:szCs w:val="18"/>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bottom w:val="single" w:sz="8" w:color="auto"/>
            </w:tcBorders>
            <w:shd w:val="clear" w:color="auto" w:fill="D8D8D8"/>
          </w:tcPr>
          <w:p>
            <w:pPr>
              <w:spacing w:after="0"/>
              <w:rPr>
                <w:sz w:val="18"/>
                <w:szCs w:val="18"/>
                <w:color w:val="auto"/>
              </w:rPr>
            </w:pPr>
          </w:p>
        </w:tc>
        <w:tc>
          <w:tcPr>
            <w:tcW w:w="110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168"/>
        </w:trPr>
        <w:tc>
          <w:tcPr>
            <w:tcW w:w="3080" w:type="dxa"/>
            <w:vAlign w:val="bottom"/>
          </w:tcPr>
          <w:p>
            <w:pPr>
              <w:ind w:left="140"/>
              <w:spacing w:after="0" w:line="168" w:lineRule="exact"/>
              <w:rPr>
                <w:sz w:val="20"/>
                <w:szCs w:val="20"/>
                <w:color w:val="auto"/>
              </w:rPr>
            </w:pPr>
            <w:r>
              <w:rPr>
                <w:rFonts w:ascii="Arial" w:cs="Arial" w:eastAsia="Arial" w:hAnsi="Arial"/>
                <w:sz w:val="18"/>
                <w:szCs w:val="18"/>
                <w:color w:val="auto"/>
              </w:rPr>
              <w:t>Net other comprehensive income</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250.5</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3080" w:type="dxa"/>
            <w:vAlign w:val="bottom"/>
            <w:shd w:val="clear" w:color="auto" w:fill="D8D8D8"/>
          </w:tcPr>
          <w:p>
            <w:pPr>
              <w:ind w:left="20"/>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D8D8D8"/>
          </w:tcPr>
          <w:p>
            <w:pPr>
              <w:spacing w:after="0"/>
              <w:rPr>
                <w:sz w:val="19"/>
                <w:szCs w:val="19"/>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(1,427.5)</w:t>
            </w:r>
          </w:p>
        </w:tc>
        <w:tc>
          <w:tcPr>
            <w:tcW w:w="18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56"/>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(4,751.0)</w:t>
            </w:r>
          </w:p>
        </w:tc>
        <w:tc>
          <w:tcPr>
            <w:tcW w:w="180" w:type="dxa"/>
            <w:vAlign w:val="bottom"/>
            <w:shd w:val="clear" w:color="auto" w:fill="D8D8D8"/>
          </w:tcPr>
          <w:p>
            <w:pPr>
              <w:spacing w:after="0"/>
              <w:rPr>
                <w:sz w:val="19"/>
                <w:szCs w:val="19"/>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(332.7)</w:t>
            </w:r>
          </w:p>
        </w:tc>
        <w:tc>
          <w:tcPr>
            <w:tcW w:w="260" w:type="dxa"/>
            <w:vAlign w:val="bottom"/>
            <w:shd w:val="clear" w:color="auto" w:fill="D8D8D8"/>
          </w:tcPr>
          <w:p>
            <w:pPr>
              <w:spacing w:after="0"/>
              <w:rPr>
                <w:sz w:val="19"/>
                <w:szCs w:val="19"/>
                <w:color w:val="auto"/>
              </w:rPr>
            </w:pPr>
          </w:p>
        </w:tc>
        <w:tc>
          <w:tcPr>
            <w:tcW w:w="110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D8D8D8"/>
          </w:tcPr>
          <w:p>
            <w:pPr>
              <w:spacing w:after="0"/>
              <w:rPr>
                <w:sz w:val="19"/>
                <w:szCs w:val="19"/>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188"/>
        </w:trPr>
        <w:tc>
          <w:tcPr>
            <w:tcW w:w="308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(122.7)</w:t>
            </w: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w:t>
            </w:r>
          </w:p>
        </w:tc>
        <w:tc>
          <w:tcPr>
            <w:tcW w:w="240" w:type="dxa"/>
            <w:vAlign w:val="bottom"/>
          </w:tcPr>
          <w:p>
            <w:pPr>
              <w:spacing w:after="0"/>
              <w:rPr>
                <w:sz w:val="16"/>
                <w:szCs w:val="16"/>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1,823.4</w:t>
            </w:r>
          </w:p>
        </w:tc>
        <w:tc>
          <w:tcPr>
            <w:tcW w:w="1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106.6</w:t>
            </w:r>
          </w:p>
        </w:tc>
        <w:tc>
          <w:tcPr>
            <w:tcW w:w="260" w:type="dxa"/>
            <w:vAlign w:val="bottom"/>
          </w:tcPr>
          <w:p>
            <w:pPr>
              <w:spacing w:after="0"/>
              <w:rPr>
                <w:sz w:val="16"/>
                <w:szCs w:val="16"/>
                <w:color w:val="auto"/>
              </w:rPr>
            </w:pPr>
          </w:p>
        </w:tc>
        <w:tc>
          <w:tcPr>
            <w:tcW w:w="11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1,795.4</w:t>
            </w:r>
          </w:p>
        </w:tc>
        <w:tc>
          <w:tcPr>
            <w:tcW w:w="0" w:type="dxa"/>
            <w:vAlign w:val="bottom"/>
          </w:tcPr>
          <w:p>
            <w:pPr>
              <w:spacing w:after="0"/>
              <w:rPr>
                <w:sz w:val="1"/>
                <w:szCs w:val="1"/>
                <w:color w:val="auto"/>
              </w:rPr>
            </w:pPr>
          </w:p>
        </w:tc>
      </w:tr>
      <w:tr>
        <w:trPr>
          <w:trHeight w:val="217"/>
        </w:trPr>
        <w:tc>
          <w:tcPr>
            <w:tcW w:w="3080" w:type="dxa"/>
            <w:vAlign w:val="bottom"/>
          </w:tcPr>
          <w:p>
            <w:pPr>
              <w:ind w:left="140"/>
              <w:spacing w:after="0"/>
              <w:rPr>
                <w:sz w:val="20"/>
                <w:szCs w:val="20"/>
                <w:color w:val="auto"/>
              </w:rPr>
            </w:pPr>
            <w:r>
              <w:rPr>
                <w:rFonts w:ascii="Arial" w:cs="Arial" w:eastAsia="Arial" w:hAnsi="Arial"/>
                <w:sz w:val="18"/>
                <w:szCs w:val="18"/>
                <w:color w:val="auto"/>
              </w:rPr>
              <w:t>before reclassifications</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80" w:type="dxa"/>
            <w:vAlign w:val="bottom"/>
            <w:shd w:val="clear" w:color="auto" w:fill="D8D8D8"/>
          </w:tcPr>
          <w:p>
            <w:pPr>
              <w:ind w:left="140"/>
              <w:spacing w:after="0" w:line="189" w:lineRule="exact"/>
              <w:rPr>
                <w:sz w:val="20"/>
                <w:szCs w:val="20"/>
                <w:color w:val="auto"/>
              </w:rPr>
            </w:pPr>
            <w:r>
              <w:rPr>
                <w:rFonts w:ascii="Arial" w:cs="Arial" w:eastAsia="Arial" w:hAnsi="Arial"/>
                <w:sz w:val="18"/>
                <w:szCs w:val="18"/>
                <w:color w:val="auto"/>
              </w:rPr>
              <w:t>Net amount reclassified from</w:t>
            </w:r>
          </w:p>
        </w:tc>
        <w:tc>
          <w:tcPr>
            <w:tcW w:w="12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960" w:type="dxa"/>
            <w:vAlign w:val="bottom"/>
            <w:shd w:val="clear" w:color="auto" w:fill="D8D8D8"/>
          </w:tcPr>
          <w:p>
            <w:pPr>
              <w:spacing w:after="0"/>
              <w:rPr>
                <w:sz w:val="16"/>
                <w:szCs w:val="16"/>
                <w:color w:val="auto"/>
              </w:rPr>
            </w:pPr>
          </w:p>
        </w:tc>
        <w:tc>
          <w:tcPr>
            <w:tcW w:w="2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D8D8D8"/>
          </w:tcPr>
          <w:p>
            <w:pPr>
              <w:ind w:left="140"/>
              <w:spacing w:after="0" w:line="176" w:lineRule="exact"/>
              <w:rPr>
                <w:sz w:val="20"/>
                <w:szCs w:val="20"/>
                <w:color w:val="auto"/>
              </w:rPr>
            </w:pPr>
            <w:r>
              <w:rPr>
                <w:rFonts w:ascii="Arial" w:cs="Arial" w:eastAsia="Arial" w:hAnsi="Arial"/>
                <w:sz w:val="18"/>
                <w:szCs w:val="18"/>
                <w:color w:val="auto"/>
              </w:rPr>
              <w:t>accumulated other comprehensive</w:t>
            </w:r>
          </w:p>
        </w:tc>
        <w:tc>
          <w:tcPr>
            <w:tcW w:w="120" w:type="dxa"/>
            <w:vAlign w:val="bottom"/>
            <w:shd w:val="clear" w:color="auto" w:fill="D8D8D8"/>
          </w:tcPr>
          <w:p>
            <w:pPr>
              <w:spacing w:after="0"/>
              <w:rPr>
                <w:sz w:val="15"/>
                <w:szCs w:val="15"/>
                <w:color w:val="auto"/>
              </w:rPr>
            </w:pPr>
          </w:p>
        </w:tc>
        <w:tc>
          <w:tcPr>
            <w:tcW w:w="1240" w:type="dxa"/>
            <w:vAlign w:val="bottom"/>
            <w:vMerge w:val="restart"/>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ind w:right="56"/>
              <w:spacing w:after="0"/>
              <w:rPr>
                <w:sz w:val="20"/>
                <w:szCs w:val="20"/>
                <w:color w:val="auto"/>
              </w:rPr>
            </w:pPr>
            <w:r>
              <w:rPr>
                <w:rFonts w:ascii="Arial" w:cs="Arial" w:eastAsia="Arial" w:hAnsi="Arial"/>
                <w:sz w:val="18"/>
                <w:szCs w:val="18"/>
                <w:b w:val="1"/>
                <w:bCs w:val="1"/>
                <w:color w:val="auto"/>
              </w:rPr>
              <w:t>0.8</w:t>
            </w:r>
          </w:p>
        </w:tc>
        <w:tc>
          <w:tcPr>
            <w:tcW w:w="24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ind w:right="55"/>
              <w:spacing w:after="0"/>
              <w:rPr>
                <w:sz w:val="20"/>
                <w:szCs w:val="20"/>
                <w:color w:val="auto"/>
              </w:rPr>
            </w:pPr>
            <w:r>
              <w:rPr>
                <w:rFonts w:ascii="Arial" w:cs="Arial" w:eastAsia="Arial" w:hAnsi="Arial"/>
                <w:sz w:val="18"/>
                <w:szCs w:val="18"/>
                <w:b w:val="1"/>
                <w:bCs w:val="1"/>
                <w:color w:val="auto"/>
              </w:rPr>
              <w:t>344.0</w:t>
            </w:r>
          </w:p>
        </w:tc>
        <w:tc>
          <w:tcPr>
            <w:tcW w:w="180" w:type="dxa"/>
            <w:vAlign w:val="bottom"/>
            <w:shd w:val="clear" w:color="auto" w:fill="D8D8D8"/>
          </w:tcPr>
          <w:p>
            <w:pPr>
              <w:spacing w:after="0"/>
              <w:rPr>
                <w:sz w:val="15"/>
                <w:szCs w:val="15"/>
                <w:color w:val="auto"/>
              </w:rPr>
            </w:pP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13.1</w:t>
            </w:r>
          </w:p>
        </w:tc>
        <w:tc>
          <w:tcPr>
            <w:tcW w:w="260" w:type="dxa"/>
            <w:vAlign w:val="bottom"/>
            <w:shd w:val="clear" w:color="auto" w:fill="D8D8D8"/>
          </w:tcPr>
          <w:p>
            <w:pPr>
              <w:spacing w:after="0"/>
              <w:rPr>
                <w:sz w:val="15"/>
                <w:szCs w:val="15"/>
                <w:color w:val="auto"/>
              </w:rPr>
            </w:pPr>
          </w:p>
        </w:tc>
        <w:tc>
          <w:tcPr>
            <w:tcW w:w="1100" w:type="dxa"/>
            <w:vAlign w:val="bottom"/>
            <w:vMerge w:val="restart"/>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8D8D8"/>
          </w:tcPr>
          <w:p>
            <w:pPr>
              <w:spacing w:after="0"/>
              <w:rPr>
                <w:sz w:val="15"/>
                <w:szCs w:val="15"/>
                <w:color w:val="auto"/>
              </w:rPr>
            </w:pP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357.9</w:t>
            </w:r>
          </w:p>
        </w:tc>
        <w:tc>
          <w:tcPr>
            <w:tcW w:w="0" w:type="dxa"/>
            <w:vAlign w:val="bottom"/>
          </w:tcPr>
          <w:p>
            <w:pPr>
              <w:spacing w:after="0"/>
              <w:rPr>
                <w:sz w:val="1"/>
                <w:szCs w:val="1"/>
                <w:color w:val="auto"/>
              </w:rPr>
            </w:pPr>
          </w:p>
        </w:tc>
      </w:tr>
      <w:tr>
        <w:trPr>
          <w:trHeight w:val="217"/>
        </w:trPr>
        <w:tc>
          <w:tcPr>
            <w:tcW w:w="3080" w:type="dxa"/>
            <w:vAlign w:val="bottom"/>
            <w:shd w:val="clear" w:color="auto" w:fill="D8D8D8"/>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shd w:val="clear" w:color="auto" w:fill="D8D8D8"/>
          </w:tcPr>
          <w:p>
            <w:pPr>
              <w:spacing w:after="0"/>
              <w:rPr>
                <w:sz w:val="18"/>
                <w:szCs w:val="18"/>
                <w:color w:val="auto"/>
              </w:rPr>
            </w:pPr>
          </w:p>
        </w:tc>
        <w:tc>
          <w:tcPr>
            <w:tcW w:w="1240" w:type="dxa"/>
            <w:vAlign w:val="bottom"/>
            <w:tcBorders>
              <w:bottom w:val="single" w:sz="8" w:color="auto"/>
            </w:tcBorders>
            <w:vMerge w:val="continue"/>
            <w:shd w:val="clear" w:color="auto" w:fill="D8D8D8"/>
          </w:tcPr>
          <w:p>
            <w:pPr>
              <w:spacing w:after="0"/>
              <w:rPr>
                <w:sz w:val="18"/>
                <w:szCs w:val="18"/>
                <w:color w:val="auto"/>
              </w:rPr>
            </w:pPr>
          </w:p>
        </w:tc>
        <w:tc>
          <w:tcPr>
            <w:tcW w:w="180" w:type="dxa"/>
            <w:vAlign w:val="bottom"/>
            <w:tcBorders>
              <w:bottom w:val="single" w:sz="8" w:color="auto"/>
            </w:tcBorders>
            <w:shd w:val="clear" w:color="auto" w:fill="D8D8D8"/>
          </w:tcPr>
          <w:p>
            <w:pPr>
              <w:spacing w:after="0"/>
              <w:rPr>
                <w:sz w:val="18"/>
                <w:szCs w:val="18"/>
                <w:color w:val="auto"/>
              </w:rPr>
            </w:pPr>
          </w:p>
        </w:tc>
        <w:tc>
          <w:tcPr>
            <w:tcW w:w="1100" w:type="dxa"/>
            <w:vAlign w:val="bottom"/>
            <w:tcBorders>
              <w:bottom w:val="single" w:sz="8" w:color="auto"/>
            </w:tcBorders>
            <w:vMerge w:val="continue"/>
            <w:shd w:val="clear" w:color="auto" w:fill="D8D8D8"/>
          </w:tcPr>
          <w:p>
            <w:pPr>
              <w:spacing w:after="0"/>
              <w:rPr>
                <w:sz w:val="18"/>
                <w:szCs w:val="18"/>
                <w:color w:val="auto"/>
              </w:rPr>
            </w:pPr>
          </w:p>
        </w:tc>
        <w:tc>
          <w:tcPr>
            <w:tcW w:w="24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tcBorders>
            <w:vMerge w:val="continue"/>
            <w:shd w:val="clear" w:color="auto" w:fill="D8D8D8"/>
          </w:tcPr>
          <w:p>
            <w:pPr>
              <w:spacing w:after="0"/>
              <w:rPr>
                <w:sz w:val="18"/>
                <w:szCs w:val="18"/>
                <w:color w:val="auto"/>
              </w:rPr>
            </w:pPr>
          </w:p>
        </w:tc>
        <w:tc>
          <w:tcPr>
            <w:tcW w:w="180" w:type="dxa"/>
            <w:vAlign w:val="bottom"/>
            <w:tcBorders>
              <w:bottom w:val="single" w:sz="8" w:color="auto"/>
            </w:tcBorders>
            <w:shd w:val="clear" w:color="auto" w:fill="D8D8D8"/>
          </w:tcPr>
          <w:p>
            <w:pPr>
              <w:spacing w:after="0"/>
              <w:rPr>
                <w:sz w:val="18"/>
                <w:szCs w:val="18"/>
                <w:color w:val="auto"/>
              </w:rPr>
            </w:pPr>
          </w:p>
        </w:tc>
        <w:tc>
          <w:tcPr>
            <w:tcW w:w="960" w:type="dxa"/>
            <w:vAlign w:val="bottom"/>
            <w:tcBorders>
              <w:bottom w:val="single" w:sz="8" w:color="auto"/>
            </w:tcBorders>
            <w:vMerge w:val="continue"/>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1100" w:type="dxa"/>
            <w:vAlign w:val="bottom"/>
            <w:tcBorders>
              <w:bottom w:val="single" w:sz="8" w:color="auto"/>
            </w:tcBorders>
            <w:vMerge w:val="continue"/>
            <w:shd w:val="clear" w:color="auto" w:fill="D8D8D8"/>
          </w:tcPr>
          <w:p>
            <w:pPr>
              <w:spacing w:after="0"/>
              <w:rPr>
                <w:sz w:val="18"/>
                <w:szCs w:val="18"/>
                <w:color w:val="auto"/>
              </w:rPr>
            </w:pPr>
          </w:p>
        </w:tc>
        <w:tc>
          <w:tcPr>
            <w:tcW w:w="160" w:type="dxa"/>
            <w:vAlign w:val="bottom"/>
            <w:tcBorders>
              <w:bottom w:val="single" w:sz="8" w:color="auto"/>
            </w:tcBorders>
            <w:shd w:val="clear" w:color="auto" w:fill="D8D8D8"/>
          </w:tcPr>
          <w:p>
            <w:pPr>
              <w:spacing w:after="0"/>
              <w:rPr>
                <w:sz w:val="18"/>
                <w:szCs w:val="18"/>
                <w:color w:val="auto"/>
              </w:rPr>
            </w:pPr>
          </w:p>
        </w:tc>
        <w:tc>
          <w:tcPr>
            <w:tcW w:w="1300" w:type="dxa"/>
            <w:vAlign w:val="bottom"/>
            <w:tcBorders>
              <w:bottom w:val="single" w:sz="8" w:color="auto"/>
            </w:tcBorders>
            <w:vMerge w:val="continue"/>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80" w:type="dxa"/>
            <w:vAlign w:val="bottom"/>
          </w:tcPr>
          <w:p>
            <w:pPr>
              <w:ind w:left="140"/>
              <w:spacing w:after="0" w:line="168" w:lineRule="exact"/>
              <w:rPr>
                <w:sz w:val="20"/>
                <w:szCs w:val="20"/>
                <w:color w:val="auto"/>
              </w:rPr>
            </w:pPr>
            <w:r>
              <w:rPr>
                <w:rFonts w:ascii="Arial" w:cs="Arial" w:eastAsia="Arial" w:hAnsi="Arial"/>
                <w:sz w:val="18"/>
                <w:szCs w:val="18"/>
                <w:color w:val="auto"/>
              </w:rPr>
              <w:t>Net other comprehensive income</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(122.7)</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w:t>
            </w:r>
          </w:p>
        </w:tc>
        <w:tc>
          <w:tcPr>
            <w:tcW w:w="240" w:type="dxa"/>
            <w:vAlign w:val="bottom"/>
          </w:tcPr>
          <w:p>
            <w:pPr>
              <w:spacing w:after="0"/>
              <w:rPr>
                <w:sz w:val="14"/>
                <w:szCs w:val="14"/>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2,167.4</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119.7</w:t>
            </w:r>
          </w:p>
        </w:tc>
        <w:tc>
          <w:tcPr>
            <w:tcW w:w="260" w:type="dxa"/>
            <w:vAlign w:val="bottom"/>
          </w:tcPr>
          <w:p>
            <w:pPr>
              <w:spacing w:after="0"/>
              <w:rPr>
                <w:sz w:val="14"/>
                <w:szCs w:val="14"/>
                <w:color w:val="auto"/>
              </w:rPr>
            </w:pPr>
          </w:p>
        </w:tc>
        <w:tc>
          <w:tcPr>
            <w:tcW w:w="11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2,153.3</w:t>
            </w:r>
          </w:p>
        </w:tc>
        <w:tc>
          <w:tcPr>
            <w:tcW w:w="0" w:type="dxa"/>
            <w:vAlign w:val="bottom"/>
          </w:tcPr>
          <w:p>
            <w:pPr>
              <w:spacing w:after="0"/>
              <w:rPr>
                <w:sz w:val="1"/>
                <w:szCs w:val="1"/>
                <w:color w:val="auto"/>
              </w:rPr>
            </w:pPr>
          </w:p>
        </w:tc>
      </w:tr>
      <w:tr>
        <w:trPr>
          <w:trHeight w:val="217"/>
        </w:trPr>
        <w:tc>
          <w:tcPr>
            <w:tcW w:w="308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shd w:val="clear" w:color="auto" w:fill="D8D8D8"/>
          </w:tcPr>
          <w:p>
            <w:pPr>
              <w:ind w:left="20"/>
              <w:spacing w:after="0"/>
              <w:rPr>
                <w:sz w:val="20"/>
                <w:szCs w:val="20"/>
                <w:color w:val="auto"/>
              </w:rPr>
            </w:pPr>
            <w:r>
              <w:rPr>
                <w:rFonts w:ascii="Arial" w:cs="Arial" w:eastAsia="Arial" w:hAnsi="Arial"/>
                <w:sz w:val="18"/>
                <w:szCs w:val="18"/>
                <w:color w:val="auto"/>
              </w:rPr>
              <w:t>Ending balance at December 31,</w:t>
            </w:r>
          </w:p>
        </w:tc>
        <w:tc>
          <w:tcPr>
            <w:tcW w:w="12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(1,550.2)</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D8D8D8"/>
          </w:tcPr>
          <w:p>
            <w:pPr>
              <w:jc w:val="right"/>
              <w:ind w:right="56"/>
              <w:spacing w:after="0"/>
              <w:rPr>
                <w:sz w:val="20"/>
                <w:szCs w:val="20"/>
                <w:color w:val="auto"/>
              </w:rPr>
            </w:pPr>
            <w:r>
              <w:rPr>
                <w:rFonts w:ascii="Arial" w:cs="Arial" w:eastAsia="Arial" w:hAnsi="Arial"/>
                <w:sz w:val="18"/>
                <w:szCs w:val="18"/>
                <w:b w:val="1"/>
                <w:bCs w:val="1"/>
                <w:color w:val="auto"/>
              </w:rPr>
              <w:t>3.7</w:t>
            </w:r>
          </w:p>
        </w:tc>
        <w:tc>
          <w:tcPr>
            <w:tcW w:w="24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(2,583.6)</w:t>
            </w:r>
          </w:p>
        </w:tc>
        <w:tc>
          <w:tcPr>
            <w:tcW w:w="18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(213.0)</w:t>
            </w:r>
          </w:p>
        </w:tc>
        <w:tc>
          <w:tcPr>
            <w:tcW w:w="2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(4,343.1)</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vMerge w:val="continue"/>
            <w:shd w:val="clear" w:color="auto" w:fill="D8D8D8"/>
          </w:tcPr>
          <w:p>
            <w:pPr>
              <w:spacing w:after="0"/>
              <w:rPr>
                <w:sz w:val="20"/>
                <w:szCs w:val="20"/>
                <w:color w:val="auto"/>
              </w:rPr>
            </w:pPr>
          </w:p>
        </w:tc>
        <w:tc>
          <w:tcPr>
            <w:tcW w:w="1240" w:type="dxa"/>
            <w:vAlign w:val="bottom"/>
            <w:tcBorders>
              <w:bottom w:val="single" w:sz="8" w:color="auto"/>
            </w:tcBorders>
            <w:vMerge w:val="continue"/>
            <w:shd w:val="clear" w:color="auto" w:fill="D8D8D8"/>
          </w:tcPr>
          <w:p>
            <w:pPr>
              <w:spacing w:after="0"/>
              <w:rPr>
                <w:sz w:val="20"/>
                <w:szCs w:val="20"/>
                <w:color w:val="auto"/>
              </w:rPr>
            </w:pPr>
          </w:p>
        </w:tc>
        <w:tc>
          <w:tcPr>
            <w:tcW w:w="180" w:type="dxa"/>
            <w:vAlign w:val="bottom"/>
            <w:tcBorders>
              <w:bottom w:val="single" w:sz="8" w:color="auto"/>
            </w:tcBorders>
            <w:vMerge w:val="continue"/>
            <w:shd w:val="clear" w:color="auto" w:fill="D8D8D8"/>
          </w:tcPr>
          <w:p>
            <w:pPr>
              <w:spacing w:after="0"/>
              <w:rPr>
                <w:sz w:val="20"/>
                <w:szCs w:val="20"/>
                <w:color w:val="auto"/>
              </w:rPr>
            </w:pPr>
          </w:p>
        </w:tc>
        <w:tc>
          <w:tcPr>
            <w:tcW w:w="1100" w:type="dxa"/>
            <w:vAlign w:val="bottom"/>
            <w:tcBorders>
              <w:bottom w:val="single" w:sz="8" w:color="auto"/>
            </w:tcBorders>
            <w:vMerge w:val="continue"/>
            <w:shd w:val="clear" w:color="auto" w:fill="D8D8D8"/>
          </w:tcPr>
          <w:p>
            <w:pPr>
              <w:spacing w:after="0"/>
              <w:rPr>
                <w:sz w:val="20"/>
                <w:szCs w:val="20"/>
                <w:color w:val="auto"/>
              </w:rPr>
            </w:pPr>
          </w:p>
        </w:tc>
        <w:tc>
          <w:tcPr>
            <w:tcW w:w="240" w:type="dxa"/>
            <w:vAlign w:val="bottom"/>
            <w:tcBorders>
              <w:bottom w:val="single" w:sz="8" w:color="auto"/>
            </w:tcBorders>
            <w:vMerge w:val="continue"/>
            <w:shd w:val="clear" w:color="auto" w:fill="D8D8D8"/>
          </w:tcPr>
          <w:p>
            <w:pPr>
              <w:spacing w:after="0"/>
              <w:rPr>
                <w:sz w:val="20"/>
                <w:szCs w:val="20"/>
                <w:color w:val="auto"/>
              </w:rPr>
            </w:pPr>
          </w:p>
        </w:tc>
        <w:tc>
          <w:tcPr>
            <w:tcW w:w="1300" w:type="dxa"/>
            <w:vAlign w:val="bottom"/>
            <w:tcBorders>
              <w:bottom w:val="single" w:sz="8" w:color="auto"/>
            </w:tcBorders>
            <w:vMerge w:val="continue"/>
            <w:shd w:val="clear" w:color="auto" w:fill="D8D8D8"/>
          </w:tcPr>
          <w:p>
            <w:pPr>
              <w:spacing w:after="0"/>
              <w:rPr>
                <w:sz w:val="20"/>
                <w:szCs w:val="20"/>
                <w:color w:val="auto"/>
              </w:rPr>
            </w:pPr>
          </w:p>
        </w:tc>
        <w:tc>
          <w:tcPr>
            <w:tcW w:w="180" w:type="dxa"/>
            <w:vAlign w:val="bottom"/>
            <w:tcBorders>
              <w:bottom w:val="single" w:sz="8" w:color="auto"/>
            </w:tcBorders>
            <w:vMerge w:val="continue"/>
            <w:shd w:val="clear" w:color="auto" w:fill="D8D8D8"/>
          </w:tcPr>
          <w:p>
            <w:pPr>
              <w:spacing w:after="0"/>
              <w:rPr>
                <w:sz w:val="20"/>
                <w:szCs w:val="20"/>
                <w:color w:val="auto"/>
              </w:rPr>
            </w:pPr>
          </w:p>
        </w:tc>
        <w:tc>
          <w:tcPr>
            <w:tcW w:w="960" w:type="dxa"/>
            <w:vAlign w:val="bottom"/>
            <w:tcBorders>
              <w:bottom w:val="single" w:sz="8" w:color="auto"/>
            </w:tcBorders>
            <w:vMerge w:val="continue"/>
            <w:shd w:val="clear" w:color="auto" w:fill="D8D8D8"/>
          </w:tcPr>
          <w:p>
            <w:pPr>
              <w:spacing w:after="0"/>
              <w:rPr>
                <w:sz w:val="20"/>
                <w:szCs w:val="20"/>
                <w:color w:val="auto"/>
              </w:rPr>
            </w:pPr>
          </w:p>
        </w:tc>
        <w:tc>
          <w:tcPr>
            <w:tcW w:w="260" w:type="dxa"/>
            <w:vAlign w:val="bottom"/>
            <w:tcBorders>
              <w:bottom w:val="single" w:sz="8" w:color="auto"/>
            </w:tcBorders>
            <w:vMerge w:val="continue"/>
            <w:shd w:val="clear" w:color="auto" w:fill="D8D8D8"/>
          </w:tcPr>
          <w:p>
            <w:pPr>
              <w:spacing w:after="0"/>
              <w:rPr>
                <w:sz w:val="20"/>
                <w:szCs w:val="20"/>
                <w:color w:val="auto"/>
              </w:rPr>
            </w:pPr>
          </w:p>
        </w:tc>
        <w:tc>
          <w:tcPr>
            <w:tcW w:w="1100" w:type="dxa"/>
            <w:vAlign w:val="bottom"/>
            <w:tcBorders>
              <w:bottom w:val="single" w:sz="8" w:color="auto"/>
            </w:tcBorders>
            <w:vMerge w:val="continue"/>
            <w:shd w:val="clear" w:color="auto" w:fill="D8D8D8"/>
          </w:tcPr>
          <w:p>
            <w:pPr>
              <w:spacing w:after="0"/>
              <w:rPr>
                <w:sz w:val="20"/>
                <w:szCs w:val="20"/>
                <w:color w:val="auto"/>
              </w:rPr>
            </w:pPr>
          </w:p>
        </w:tc>
        <w:tc>
          <w:tcPr>
            <w:tcW w:w="160" w:type="dxa"/>
            <w:vAlign w:val="bottom"/>
            <w:tcBorders>
              <w:bottom w:val="single" w:sz="8" w:color="auto"/>
            </w:tcBorders>
            <w:vMerge w:val="continue"/>
            <w:shd w:val="clear" w:color="auto" w:fill="D8D8D8"/>
          </w:tcPr>
          <w:p>
            <w:pPr>
              <w:spacing w:after="0"/>
              <w:rPr>
                <w:sz w:val="20"/>
                <w:szCs w:val="20"/>
                <w:color w:val="auto"/>
              </w:rPr>
            </w:pPr>
          </w:p>
        </w:tc>
        <w:tc>
          <w:tcPr>
            <w:tcW w:w="1300" w:type="dxa"/>
            <w:vAlign w:val="bottom"/>
            <w:tcBorders>
              <w:bottom w:val="single" w:sz="8" w:color="auto"/>
            </w:tcBorders>
            <w:vMerge w:val="continue"/>
            <w:shd w:val="clear" w:color="auto" w:fill="D8D8D8"/>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right="120" w:hanging="172"/>
        <w:spacing w:after="0" w:line="258" w:lineRule="auto"/>
        <w:tabs>
          <w:tab w:leader="none" w:pos="158" w:val="left"/>
        </w:tabs>
        <w:numPr>
          <w:ilvl w:val="0"/>
          <w:numId w:val="54"/>
        </w:numPr>
        <w:rPr>
          <w:rFonts w:ascii="Arial" w:cs="Arial" w:eastAsia="Arial" w:hAnsi="Arial"/>
          <w:sz w:val="9"/>
          <w:szCs w:val="9"/>
          <w:color w:val="auto"/>
        </w:rPr>
      </w:pPr>
      <w:r>
        <w:rPr>
          <w:rFonts w:ascii="Arial" w:cs="Arial" w:eastAsia="Arial" w:hAnsi="Arial"/>
          <w:sz w:val="14"/>
          <w:szCs w:val="14"/>
          <w:color w:val="auto"/>
        </w:rPr>
        <w:t>Accumulated other comprehensive loss as of January 1, 2019 consists of $5.73 billion of accumulated other comprehensive loss attributable to controlling interest and $11.0 million of accumulated other comprehensive loss attributable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sectPr>
      </w:pPr>
    </w:p>
    <w:bookmarkStart w:id="108" w:name="page109"/>
    <w:bookmarkEnd w:id="108"/>
    <w:p>
      <w:pPr>
        <w:ind w:right="160"/>
        <w:spacing w:after="0" w:line="261"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(136.2)</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128.3</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Unrealized net gains/losses on securities</w:t>
            </w:r>
          </w:p>
        </w:tc>
        <w:tc>
          <w:tcPr>
            <w:tcW w:w="3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4.7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86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Defined benefit pension and retiree health benefit plans</w:t>
            </w:r>
          </w:p>
        </w:tc>
        <w:tc>
          <w:tcPr>
            <w:tcW w:w="32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(532.0)</w:t>
            </w:r>
          </w:p>
        </w:tc>
        <w:tc>
          <w:tcPr>
            <w:tcW w:w="38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44.8</w:t>
            </w:r>
          </w:p>
        </w:tc>
        <w:tc>
          <w:tcPr>
            <w:tcW w:w="380" w:type="dxa"/>
            <w:vAlign w:val="bottom"/>
            <w:shd w:val="clear" w:color="auto" w:fill="D8D8D8"/>
          </w:tcPr>
          <w:p>
            <w:pPr>
              <w:spacing w:after="0"/>
              <w:rPr>
                <w:sz w:val="19"/>
                <w:szCs w:val="19"/>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Effective portion of cash flow hedges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68"/>
        </w:trPr>
        <w:tc>
          <w:tcPr>
            <w:tcW w:w="6860" w:type="dxa"/>
            <w:vAlign w:val="bottom"/>
            <w:shd w:val="clear" w:color="auto" w:fill="D8D8D8"/>
          </w:tcPr>
          <w:p>
            <w:pPr>
              <w:ind w:left="20"/>
              <w:spacing w:after="0" w:line="168" w:lineRule="exact"/>
              <w:rPr>
                <w:sz w:val="20"/>
                <w:szCs w:val="20"/>
                <w:color w:val="auto"/>
              </w:rPr>
            </w:pPr>
            <w:r>
              <w:rPr>
                <w:rFonts w:ascii="Arial" w:cs="Arial" w:eastAsia="Arial" w:hAnsi="Arial"/>
                <w:sz w:val="18"/>
                <w:szCs w:val="18"/>
                <w:color w:val="auto"/>
              </w:rPr>
              <w:t>Benefit/(provision) for income taxes allocated to other comprehensive income (loss)</w:t>
            </w:r>
          </w:p>
        </w:tc>
        <w:tc>
          <w:tcPr>
            <w:tcW w:w="32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(695.3)</w:t>
            </w:r>
          </w:p>
        </w:tc>
        <w:tc>
          <w:tcPr>
            <w:tcW w:w="3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200.9</w:t>
            </w:r>
          </w:p>
        </w:tc>
        <w:tc>
          <w:tcPr>
            <w:tcW w:w="3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D8D8D8"/>
            </w:tcBorders>
            <w:shd w:val="clear" w:color="auto" w:fill="D8D8D8"/>
          </w:tcPr>
          <w:p>
            <w:pPr>
              <w:ind w:left="20"/>
              <w:spacing w:after="0" w:line="203" w:lineRule="exact"/>
              <w:rPr>
                <w:sz w:val="20"/>
                <w:szCs w:val="20"/>
                <w:color w:val="auto"/>
              </w:rPr>
            </w:pPr>
            <w:r>
              <w:rPr>
                <w:rFonts w:ascii="Arial" w:cs="Arial" w:eastAsia="Arial" w:hAnsi="Arial"/>
                <w:sz w:val="18"/>
                <w:szCs w:val="18"/>
                <w:color w:val="auto"/>
              </w:rPr>
              <w:t>items</w:t>
            </w:r>
          </w:p>
        </w:tc>
        <w:tc>
          <w:tcPr>
            <w:tcW w:w="320" w:type="dxa"/>
            <w:vAlign w:val="bottom"/>
            <w:tcBorders>
              <w:bottom w:val="single" w:sz="8" w:color="auto"/>
            </w:tcBorders>
            <w:vMerge w:val="continue"/>
            <w:shd w:val="clear" w:color="auto" w:fill="D8D8D8"/>
          </w:tcPr>
          <w:p>
            <w:pPr>
              <w:spacing w:after="0"/>
              <w:rPr>
                <w:sz w:val="18"/>
                <w:szCs w:val="18"/>
                <w:color w:val="auto"/>
              </w:rPr>
            </w:pPr>
          </w:p>
        </w:tc>
        <w:tc>
          <w:tcPr>
            <w:tcW w:w="1120" w:type="dxa"/>
            <w:vAlign w:val="bottom"/>
            <w:tcBorders>
              <w:bottom w:val="single" w:sz="8" w:color="auto"/>
            </w:tcBorders>
            <w:vMerge w:val="continue"/>
            <w:shd w:val="clear" w:color="auto" w:fill="D8D8D8"/>
          </w:tcPr>
          <w:p>
            <w:pPr>
              <w:spacing w:after="0"/>
              <w:rPr>
                <w:sz w:val="18"/>
                <w:szCs w:val="18"/>
                <w:color w:val="auto"/>
              </w:rPr>
            </w:pPr>
          </w:p>
        </w:tc>
        <w:tc>
          <w:tcPr>
            <w:tcW w:w="380" w:type="dxa"/>
            <w:vAlign w:val="bottom"/>
            <w:tcBorders>
              <w:bottom w:val="single" w:sz="8" w:color="auto"/>
            </w:tcBorders>
            <w:vMerge w:val="continue"/>
            <w:shd w:val="clear" w:color="auto" w:fill="D8D8D8"/>
          </w:tcPr>
          <w:p>
            <w:pPr>
              <w:spacing w:after="0"/>
              <w:rPr>
                <w:sz w:val="18"/>
                <w:szCs w:val="18"/>
                <w:color w:val="auto"/>
              </w:rPr>
            </w:pPr>
          </w:p>
        </w:tc>
        <w:tc>
          <w:tcPr>
            <w:tcW w:w="1120" w:type="dxa"/>
            <w:vAlign w:val="bottom"/>
            <w:tcBorders>
              <w:bottom w:val="single" w:sz="8" w:color="auto"/>
            </w:tcBorders>
            <w:vMerge w:val="continue"/>
            <w:shd w:val="clear" w:color="auto" w:fill="D8D8D8"/>
          </w:tcPr>
          <w:p>
            <w:pPr>
              <w:spacing w:after="0"/>
              <w:rPr>
                <w:sz w:val="18"/>
                <w:szCs w:val="18"/>
                <w:color w:val="auto"/>
              </w:rPr>
            </w:pPr>
          </w:p>
        </w:tc>
        <w:tc>
          <w:tcPr>
            <w:tcW w:w="380" w:type="dxa"/>
            <w:vAlign w:val="bottom"/>
            <w:tcBorders>
              <w:bottom w:val="single" w:sz="8" w:color="auto"/>
            </w:tcBorders>
            <w:vMerge w:val="continue"/>
            <w:shd w:val="clear" w:color="auto" w:fill="D8D8D8"/>
          </w:tcPr>
          <w:p>
            <w:pPr>
              <w:spacing w:after="0"/>
              <w:rPr>
                <w:sz w:val="18"/>
                <w:szCs w:val="18"/>
                <w:color w:val="auto"/>
              </w:rPr>
            </w:pPr>
          </w:p>
        </w:tc>
        <w:tc>
          <w:tcPr>
            <w:tcW w:w="1060" w:type="dxa"/>
            <w:vAlign w:val="bottom"/>
            <w:tcBorders>
              <w:bottom w:val="single" w:sz="8" w:color="auto"/>
            </w:tcBorders>
            <w:vMerge w:val="continue"/>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Pr>
          <w:p>
            <w:pPr>
              <w:ind w:left="620"/>
              <w:spacing w:after="0"/>
              <w:rPr>
                <w:sz w:val="20"/>
                <w:szCs w:val="20"/>
                <w:color w:val="auto"/>
              </w:rPr>
            </w:pPr>
            <w:r>
              <w:rPr>
                <w:rFonts w:ascii="Arial" w:cs="Arial" w:eastAsia="Arial" w:hAnsi="Arial"/>
                <w:sz w:val="14"/>
                <w:szCs w:val="14"/>
                <w:b w:val="1"/>
                <w:bCs w:val="1"/>
                <w:color w:val="auto"/>
              </w:rPr>
              <w:t>Details about Accumulated Other</w:t>
            </w:r>
          </w:p>
        </w:tc>
        <w:tc>
          <w:tcPr>
            <w:tcW w:w="320" w:type="dxa"/>
            <w:vAlign w:val="bottom"/>
          </w:tcPr>
          <w:p>
            <w:pPr>
              <w:spacing w:after="0"/>
              <w:rPr>
                <w:sz w:val="15"/>
                <w:szCs w:val="15"/>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Affected Line Item in the Consolidated Statements</w:t>
            </w:r>
          </w:p>
        </w:tc>
        <w:tc>
          <w:tcPr>
            <w:tcW w:w="0" w:type="dxa"/>
            <w:vAlign w:val="bottom"/>
          </w:tcPr>
          <w:p>
            <w:pPr>
              <w:spacing w:after="0"/>
              <w:rPr>
                <w:sz w:val="1"/>
                <w:szCs w:val="1"/>
                <w:color w:val="auto"/>
              </w:rPr>
            </w:pPr>
          </w:p>
        </w:tc>
      </w:tr>
      <w:tr>
        <w:trPr>
          <w:trHeight w:val="175"/>
        </w:trPr>
        <w:tc>
          <w:tcPr>
            <w:tcW w:w="35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Comprehensive Loss Components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50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of Operations</w:t>
            </w:r>
          </w:p>
        </w:tc>
        <w:tc>
          <w:tcPr>
            <w:tcW w:w="0" w:type="dxa"/>
            <w:vAlign w:val="bottom"/>
          </w:tcPr>
          <w:p>
            <w:pPr>
              <w:spacing w:after="0"/>
              <w:rPr>
                <w:sz w:val="1"/>
                <w:szCs w:val="1"/>
                <w:color w:val="auto"/>
              </w:rPr>
            </w:pPr>
          </w:p>
        </w:tc>
      </w:tr>
      <w:tr>
        <w:trPr>
          <w:trHeight w:val="223"/>
        </w:trPr>
        <w:tc>
          <w:tcPr>
            <w:tcW w:w="3540" w:type="dxa"/>
            <w:vAlign w:val="bottom"/>
            <w:shd w:val="clear" w:color="auto" w:fill="D4D4D4"/>
          </w:tcPr>
          <w:p>
            <w:pPr>
              <w:ind w:left="140"/>
              <w:spacing w:after="0"/>
              <w:rPr>
                <w:sz w:val="20"/>
                <w:szCs w:val="20"/>
                <w:color w:val="auto"/>
              </w:rPr>
            </w:pPr>
            <w:r>
              <w:rPr>
                <w:rFonts w:ascii="Arial" w:cs="Arial" w:eastAsia="Arial" w:hAnsi="Arial"/>
                <w:sz w:val="18"/>
                <w:szCs w:val="18"/>
                <w:color w:val="auto"/>
              </w:rPr>
              <w:t>Amortization of retirement benefit items:</w:t>
            </w:r>
          </w:p>
        </w:tc>
        <w:tc>
          <w:tcPr>
            <w:tcW w:w="320" w:type="dxa"/>
            <w:vAlign w:val="bottom"/>
            <w:shd w:val="clear" w:color="auto" w:fill="D4D4D4"/>
          </w:tcPr>
          <w:p>
            <w:pPr>
              <w:spacing w:after="0"/>
              <w:rPr>
                <w:sz w:val="19"/>
                <w:szCs w:val="19"/>
                <w:color w:val="auto"/>
              </w:rPr>
            </w:pPr>
          </w:p>
        </w:tc>
        <w:tc>
          <w:tcPr>
            <w:tcW w:w="1060" w:type="dxa"/>
            <w:vAlign w:val="bottom"/>
            <w:shd w:val="clear" w:color="auto" w:fill="D4D4D4"/>
          </w:tcPr>
          <w:p>
            <w:pPr>
              <w:spacing w:after="0"/>
              <w:rPr>
                <w:sz w:val="19"/>
                <w:szCs w:val="19"/>
                <w:color w:val="auto"/>
              </w:rPr>
            </w:pPr>
          </w:p>
        </w:tc>
        <w:tc>
          <w:tcPr>
            <w:tcW w:w="360" w:type="dxa"/>
            <w:vAlign w:val="bottom"/>
            <w:shd w:val="clear" w:color="auto" w:fill="D4D4D4"/>
          </w:tcPr>
          <w:p>
            <w:pPr>
              <w:spacing w:after="0"/>
              <w:rPr>
                <w:sz w:val="19"/>
                <w:szCs w:val="19"/>
                <w:color w:val="auto"/>
              </w:rPr>
            </w:pPr>
          </w:p>
        </w:tc>
        <w:tc>
          <w:tcPr>
            <w:tcW w:w="1060" w:type="dxa"/>
            <w:vAlign w:val="bottom"/>
            <w:shd w:val="clear" w:color="auto" w:fill="D4D4D4"/>
          </w:tcPr>
          <w:p>
            <w:pPr>
              <w:spacing w:after="0"/>
              <w:rPr>
                <w:sz w:val="19"/>
                <w:szCs w:val="19"/>
                <w:color w:val="auto"/>
              </w:rPr>
            </w:pPr>
          </w:p>
        </w:tc>
        <w:tc>
          <w:tcPr>
            <w:tcW w:w="380" w:type="dxa"/>
            <w:vAlign w:val="bottom"/>
            <w:shd w:val="clear" w:color="auto" w:fill="D4D4D4"/>
          </w:tcPr>
          <w:p>
            <w:pPr>
              <w:spacing w:after="0"/>
              <w:rPr>
                <w:sz w:val="19"/>
                <w:szCs w:val="19"/>
                <w:color w:val="auto"/>
              </w:rPr>
            </w:pPr>
          </w:p>
        </w:tc>
        <w:tc>
          <w:tcPr>
            <w:tcW w:w="1020" w:type="dxa"/>
            <w:vAlign w:val="bottom"/>
            <w:shd w:val="clear" w:color="auto" w:fill="D4D4D4"/>
          </w:tcPr>
          <w:p>
            <w:pPr>
              <w:spacing w:after="0"/>
              <w:rPr>
                <w:sz w:val="19"/>
                <w:szCs w:val="19"/>
                <w:color w:val="auto"/>
              </w:rPr>
            </w:pPr>
          </w:p>
        </w:tc>
        <w:tc>
          <w:tcPr>
            <w:tcW w:w="3500" w:type="dxa"/>
            <w:vAlign w:val="bottom"/>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Prior service benefits, net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c>
          <w:tcPr>
            <w:tcW w:w="3500" w:type="dxa"/>
            <w:vAlign w:val="bottom"/>
          </w:tcPr>
          <w:p>
            <w:pPr>
              <w:ind w:left="14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30"/>
        </w:trPr>
        <w:tc>
          <w:tcPr>
            <w:tcW w:w="3540" w:type="dxa"/>
            <w:vAlign w:val="bottom"/>
            <w:shd w:val="clear" w:color="auto" w:fill="D4D4D4"/>
          </w:tcPr>
          <w:p>
            <w:pPr>
              <w:ind w:left="360"/>
              <w:spacing w:after="0"/>
              <w:rPr>
                <w:sz w:val="20"/>
                <w:szCs w:val="20"/>
                <w:color w:val="auto"/>
              </w:rPr>
            </w:pPr>
            <w:r>
              <w:rPr>
                <w:rFonts w:ascii="Arial" w:cs="Arial" w:eastAsia="Arial" w:hAnsi="Arial"/>
                <w:sz w:val="18"/>
                <w:szCs w:val="18"/>
                <w:color w:val="auto"/>
              </w:rPr>
              <w:t>Actuarial losses</w:t>
            </w:r>
          </w:p>
        </w:tc>
        <w:tc>
          <w:tcPr>
            <w:tcW w:w="32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ind w:right="33"/>
              <w:spacing w:after="0"/>
              <w:rPr>
                <w:sz w:val="20"/>
                <w:szCs w:val="20"/>
                <w:color w:val="auto"/>
              </w:rPr>
            </w:pPr>
            <w:r>
              <w:rPr>
                <w:rFonts w:ascii="Arial" w:cs="Arial" w:eastAsia="Arial" w:hAnsi="Arial"/>
                <w:sz w:val="18"/>
                <w:szCs w:val="18"/>
                <w:b w:val="1"/>
                <w:bCs w:val="1"/>
                <w:color w:val="auto"/>
              </w:rPr>
              <w:t>490.9</w:t>
            </w:r>
          </w:p>
        </w:tc>
        <w:tc>
          <w:tcPr>
            <w:tcW w:w="36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ind w:right="32"/>
              <w:spacing w:after="0"/>
              <w:rPr>
                <w:sz w:val="20"/>
                <w:szCs w:val="20"/>
                <w:color w:val="auto"/>
              </w:rPr>
            </w:pPr>
            <w:r>
              <w:rPr>
                <w:rFonts w:ascii="Arial" w:cs="Arial" w:eastAsia="Arial" w:hAnsi="Arial"/>
                <w:sz w:val="18"/>
                <w:szCs w:val="18"/>
                <w:color w:val="auto"/>
              </w:rPr>
              <w:t>393.3</w:t>
            </w:r>
          </w:p>
        </w:tc>
        <w:tc>
          <w:tcPr>
            <w:tcW w:w="380" w:type="dxa"/>
            <w:vAlign w:val="bottom"/>
            <w:tcBorders>
              <w:bottom w:val="single" w:sz="8" w:color="auto"/>
            </w:tcBorders>
            <w:shd w:val="clear" w:color="auto" w:fill="D4D4D4"/>
          </w:tcPr>
          <w:p>
            <w:pPr>
              <w:spacing w:after="0"/>
              <w:rPr>
                <w:sz w:val="19"/>
                <w:szCs w:val="19"/>
                <w:color w:val="auto"/>
              </w:rPr>
            </w:pPr>
          </w:p>
        </w:tc>
        <w:tc>
          <w:tcPr>
            <w:tcW w:w="10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286.8</w:t>
            </w:r>
          </w:p>
        </w:tc>
        <w:tc>
          <w:tcPr>
            <w:tcW w:w="3500" w:type="dxa"/>
            <w:vAlign w:val="bottom"/>
            <w:shd w:val="clear" w:color="auto" w:fill="D4D4D4"/>
          </w:tcPr>
          <w:p>
            <w:pPr>
              <w:ind w:left="14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23"/>
        </w:trPr>
        <w:tc>
          <w:tcPr>
            <w:tcW w:w="3540" w:type="dxa"/>
            <w:vAlign w:val="bottom"/>
          </w:tcPr>
          <w:p>
            <w:pPr>
              <w:ind w:left="520"/>
              <w:spacing w:after="0"/>
              <w:rPr>
                <w:sz w:val="20"/>
                <w:szCs w:val="20"/>
                <w:color w:val="auto"/>
              </w:rPr>
            </w:pPr>
            <w:r>
              <w:rPr>
                <w:rFonts w:ascii="Arial" w:cs="Arial" w:eastAsia="Arial" w:hAnsi="Arial"/>
                <w:sz w:val="18"/>
                <w:szCs w:val="18"/>
                <w:color w:val="auto"/>
              </w:rPr>
              <w:t>Total before tax</w:t>
            </w: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435.5</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338.3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4D4D4"/>
          </w:tcPr>
          <w:p>
            <w:pPr>
              <w:ind w:left="36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b w:val="1"/>
                <w:bCs w:val="1"/>
                <w:color w:val="auto"/>
              </w:rPr>
              <w:t>(91.5)</w:t>
            </w:r>
          </w:p>
        </w:tc>
        <w:tc>
          <w:tcPr>
            <w:tcW w:w="360" w:type="dxa"/>
            <w:vAlign w:val="bottom"/>
            <w:tcBorders>
              <w:bottom w:val="single" w:sz="8" w:color="auto"/>
            </w:tcBorders>
            <w:shd w:val="clear" w:color="auto" w:fill="D4D4D4"/>
          </w:tcPr>
          <w:p>
            <w:pPr>
              <w:spacing w:after="0"/>
              <w:rPr>
                <w:sz w:val="19"/>
                <w:szCs w:val="19"/>
                <w:color w:val="auto"/>
              </w:rPr>
            </w:pPr>
          </w:p>
        </w:tc>
        <w:tc>
          <w:tcPr>
            <w:tcW w:w="106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(71.0)</w:t>
            </w:r>
          </w:p>
        </w:tc>
        <w:tc>
          <w:tcPr>
            <w:tcW w:w="380" w:type="dxa"/>
            <w:vAlign w:val="bottom"/>
            <w:tcBorders>
              <w:bottom w:val="single" w:sz="8" w:color="auto"/>
            </w:tcBorders>
            <w:shd w:val="clear" w:color="auto" w:fill="D4D4D4"/>
          </w:tcPr>
          <w:p>
            <w:pPr>
              <w:spacing w:after="0"/>
              <w:rPr>
                <w:sz w:val="19"/>
                <w:szCs w:val="19"/>
                <w:color w:val="auto"/>
              </w:rPr>
            </w:pPr>
          </w:p>
        </w:tc>
        <w:tc>
          <w:tcPr>
            <w:tcW w:w="1020" w:type="dxa"/>
            <w:vAlign w:val="bottom"/>
            <w:tcBorders>
              <w:bottom w:val="single" w:sz="8" w:color="auto"/>
            </w:tcBorders>
            <w:shd w:val="clear" w:color="auto" w:fill="D4D4D4"/>
          </w:tcPr>
          <w:p>
            <w:pPr>
              <w:jc w:val="right"/>
              <w:spacing w:after="0"/>
              <w:rPr>
                <w:sz w:val="20"/>
                <w:szCs w:val="20"/>
                <w:color w:val="auto"/>
              </w:rPr>
            </w:pPr>
            <w:r>
              <w:rPr>
                <w:rFonts w:ascii="Arial" w:cs="Arial" w:eastAsia="Arial" w:hAnsi="Arial"/>
                <w:sz w:val="18"/>
                <w:szCs w:val="18"/>
                <w:color w:val="auto"/>
              </w:rPr>
              <w:t>(48.3)</w:t>
            </w:r>
          </w:p>
        </w:tc>
        <w:tc>
          <w:tcPr>
            <w:tcW w:w="3500" w:type="dxa"/>
            <w:vAlign w:val="bottom"/>
            <w:shd w:val="clear" w:color="auto" w:fill="D4D4D4"/>
          </w:tcPr>
          <w:p>
            <w:pPr>
              <w:ind w:left="14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23"/>
        </w:trPr>
        <w:tc>
          <w:tcPr>
            <w:tcW w:w="3540" w:type="dxa"/>
            <w:vAlign w:val="bottom"/>
          </w:tcPr>
          <w:p>
            <w:pPr>
              <w:ind w:left="520"/>
              <w:spacing w:after="0"/>
              <w:rPr>
                <w:sz w:val="20"/>
                <w:szCs w:val="20"/>
                <w:color w:val="auto"/>
              </w:rPr>
            </w:pPr>
            <w:r>
              <w:rPr>
                <w:rFonts w:ascii="Arial" w:cs="Arial" w:eastAsia="Arial" w:hAnsi="Arial"/>
                <w:sz w:val="18"/>
                <w:szCs w:val="18"/>
                <w:color w:val="auto"/>
              </w:rPr>
              <w:t>Net of tax</w:t>
            </w: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344.0</w:t>
            </w:r>
          </w:p>
        </w:tc>
        <w:tc>
          <w:tcPr>
            <w:tcW w:w="36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267.3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D4D4D4"/>
          </w:tcPr>
          <w:p>
            <w:pPr>
              <w:spacing w:after="0"/>
              <w:rPr>
                <w:sz w:val="22"/>
                <w:szCs w:val="22"/>
                <w:color w:val="auto"/>
              </w:rPr>
            </w:pPr>
          </w:p>
        </w:tc>
        <w:tc>
          <w:tcPr>
            <w:tcW w:w="320" w:type="dxa"/>
            <w:vAlign w:val="bottom"/>
            <w:shd w:val="clear" w:color="auto" w:fill="D4D4D4"/>
          </w:tcPr>
          <w:p>
            <w:pPr>
              <w:spacing w:after="0"/>
              <w:rPr>
                <w:sz w:val="22"/>
                <w:szCs w:val="22"/>
                <w:color w:val="auto"/>
              </w:rPr>
            </w:pPr>
          </w:p>
        </w:tc>
        <w:tc>
          <w:tcPr>
            <w:tcW w:w="1060" w:type="dxa"/>
            <w:vAlign w:val="bottom"/>
            <w:shd w:val="clear" w:color="auto" w:fill="D4D4D4"/>
          </w:tcPr>
          <w:p>
            <w:pPr>
              <w:spacing w:after="0"/>
              <w:rPr>
                <w:sz w:val="22"/>
                <w:szCs w:val="22"/>
                <w:color w:val="auto"/>
              </w:rPr>
            </w:pPr>
          </w:p>
        </w:tc>
        <w:tc>
          <w:tcPr>
            <w:tcW w:w="360" w:type="dxa"/>
            <w:vAlign w:val="bottom"/>
            <w:shd w:val="clear" w:color="auto" w:fill="D4D4D4"/>
          </w:tcPr>
          <w:p>
            <w:pPr>
              <w:spacing w:after="0"/>
              <w:rPr>
                <w:sz w:val="22"/>
                <w:szCs w:val="22"/>
                <w:color w:val="auto"/>
              </w:rPr>
            </w:pPr>
          </w:p>
        </w:tc>
        <w:tc>
          <w:tcPr>
            <w:tcW w:w="1060" w:type="dxa"/>
            <w:vAlign w:val="bottom"/>
            <w:shd w:val="clear" w:color="auto" w:fill="D4D4D4"/>
          </w:tcPr>
          <w:p>
            <w:pPr>
              <w:spacing w:after="0"/>
              <w:rPr>
                <w:sz w:val="22"/>
                <w:szCs w:val="22"/>
                <w:color w:val="auto"/>
              </w:rPr>
            </w:pPr>
          </w:p>
        </w:tc>
        <w:tc>
          <w:tcPr>
            <w:tcW w:w="380" w:type="dxa"/>
            <w:vAlign w:val="bottom"/>
            <w:shd w:val="clear" w:color="auto" w:fill="D4D4D4"/>
          </w:tcPr>
          <w:p>
            <w:pPr>
              <w:spacing w:after="0"/>
              <w:rPr>
                <w:sz w:val="22"/>
                <w:szCs w:val="22"/>
                <w:color w:val="auto"/>
              </w:rPr>
            </w:pPr>
          </w:p>
        </w:tc>
        <w:tc>
          <w:tcPr>
            <w:tcW w:w="1020" w:type="dxa"/>
            <w:vAlign w:val="bottom"/>
            <w:shd w:val="clear" w:color="auto" w:fill="D4D4D4"/>
          </w:tcPr>
          <w:p>
            <w:pPr>
              <w:spacing w:after="0"/>
              <w:rPr>
                <w:sz w:val="22"/>
                <w:szCs w:val="22"/>
                <w:color w:val="auto"/>
              </w:rPr>
            </w:pPr>
          </w:p>
        </w:tc>
        <w:tc>
          <w:tcPr>
            <w:tcW w:w="3500" w:type="dxa"/>
            <w:vAlign w:val="bottom"/>
            <w:shd w:val="clear" w:color="auto" w:fill="D4D4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Other,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13.9</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350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168"/>
        </w:trPr>
        <w:tc>
          <w:tcPr>
            <w:tcW w:w="3540" w:type="dxa"/>
            <w:vAlign w:val="bottom"/>
            <w:shd w:val="clear" w:color="auto" w:fill="D4D4D4"/>
          </w:tcPr>
          <w:p>
            <w:pPr>
              <w:ind w:left="140"/>
              <w:spacing w:after="0" w:line="168" w:lineRule="exact"/>
              <w:rPr>
                <w:sz w:val="20"/>
                <w:szCs w:val="20"/>
                <w:color w:val="auto"/>
              </w:rPr>
            </w:pPr>
            <w:r>
              <w:rPr>
                <w:rFonts w:ascii="Arial" w:cs="Arial" w:eastAsia="Arial" w:hAnsi="Arial"/>
                <w:sz w:val="18"/>
                <w:szCs w:val="18"/>
                <w:color w:val="auto"/>
              </w:rPr>
              <w:t>Reclassifications from continuing</w:t>
            </w:r>
          </w:p>
        </w:tc>
        <w:tc>
          <w:tcPr>
            <w:tcW w:w="320" w:type="dxa"/>
            <w:vAlign w:val="bottom"/>
            <w:shd w:val="clear" w:color="auto" w:fill="D4D4D4"/>
          </w:tcPr>
          <w:p>
            <w:pPr>
              <w:spacing w:after="0"/>
              <w:rPr>
                <w:sz w:val="14"/>
                <w:szCs w:val="14"/>
                <w:color w:val="auto"/>
              </w:rPr>
            </w:pPr>
          </w:p>
        </w:tc>
        <w:tc>
          <w:tcPr>
            <w:tcW w:w="1060" w:type="dxa"/>
            <w:vAlign w:val="bottom"/>
            <w:vMerge w:val="restart"/>
            <w:shd w:val="clear" w:color="auto" w:fill="D4D4D4"/>
          </w:tcPr>
          <w:p>
            <w:pPr>
              <w:jc w:val="right"/>
              <w:ind w:right="33"/>
              <w:spacing w:after="0"/>
              <w:rPr>
                <w:sz w:val="20"/>
                <w:szCs w:val="20"/>
                <w:color w:val="auto"/>
              </w:rPr>
            </w:pPr>
            <w:r>
              <w:rPr>
                <w:rFonts w:ascii="Arial" w:cs="Arial" w:eastAsia="Arial" w:hAnsi="Arial"/>
                <w:sz w:val="18"/>
                <w:szCs w:val="18"/>
                <w:b w:val="1"/>
                <w:bCs w:val="1"/>
                <w:color w:val="auto"/>
              </w:rPr>
              <w:t>357.9</w:t>
            </w:r>
          </w:p>
        </w:tc>
        <w:tc>
          <w:tcPr>
            <w:tcW w:w="360" w:type="dxa"/>
            <w:vAlign w:val="bottom"/>
            <w:shd w:val="clear" w:color="auto" w:fill="D4D4D4"/>
          </w:tcPr>
          <w:p>
            <w:pPr>
              <w:spacing w:after="0"/>
              <w:rPr>
                <w:sz w:val="14"/>
                <w:szCs w:val="14"/>
                <w:color w:val="auto"/>
              </w:rPr>
            </w:pPr>
          </w:p>
        </w:tc>
        <w:tc>
          <w:tcPr>
            <w:tcW w:w="1060" w:type="dxa"/>
            <w:vAlign w:val="bottom"/>
            <w:shd w:val="clear" w:color="auto" w:fill="D4D4D4"/>
          </w:tcPr>
          <w:p>
            <w:pPr>
              <w:spacing w:after="0"/>
              <w:rPr>
                <w:sz w:val="14"/>
                <w:szCs w:val="14"/>
                <w:color w:val="auto"/>
              </w:rPr>
            </w:pPr>
          </w:p>
        </w:tc>
        <w:tc>
          <w:tcPr>
            <w:tcW w:w="380" w:type="dxa"/>
            <w:vAlign w:val="bottom"/>
            <w:shd w:val="clear" w:color="auto" w:fill="D4D4D4"/>
          </w:tcPr>
          <w:p>
            <w:pPr>
              <w:spacing w:after="0"/>
              <w:rPr>
                <w:sz w:val="14"/>
                <w:szCs w:val="14"/>
                <w:color w:val="auto"/>
              </w:rPr>
            </w:pPr>
          </w:p>
        </w:tc>
        <w:tc>
          <w:tcPr>
            <w:tcW w:w="1020" w:type="dxa"/>
            <w:vAlign w:val="bottom"/>
            <w:shd w:val="clear" w:color="auto" w:fill="D4D4D4"/>
          </w:tcPr>
          <w:p>
            <w:pPr>
              <w:spacing w:after="0"/>
              <w:rPr>
                <w:sz w:val="14"/>
                <w:szCs w:val="14"/>
                <w:color w:val="auto"/>
              </w:rPr>
            </w:pPr>
          </w:p>
        </w:tc>
        <w:tc>
          <w:tcPr>
            <w:tcW w:w="3500" w:type="dxa"/>
            <w:vAlign w:val="bottom"/>
            <w:shd w:val="clear" w:color="auto" w:fill="D4D4D4"/>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D4D4D4"/>
          </w:tcPr>
          <w:p>
            <w:pPr>
              <w:ind w:left="140"/>
              <w:spacing w:after="0"/>
              <w:rPr>
                <w:sz w:val="20"/>
                <w:szCs w:val="20"/>
                <w:color w:val="auto"/>
              </w:rPr>
            </w:pPr>
            <w:r>
              <w:rPr>
                <w:rFonts w:ascii="Arial" w:cs="Arial" w:eastAsia="Arial" w:hAnsi="Arial"/>
                <w:sz w:val="18"/>
                <w:szCs w:val="18"/>
                <w:color w:val="auto"/>
              </w:rPr>
              <w:t>operations (net of tax)</w:t>
            </w:r>
          </w:p>
        </w:tc>
        <w:tc>
          <w:tcPr>
            <w:tcW w:w="320" w:type="dxa"/>
            <w:vAlign w:val="bottom"/>
            <w:shd w:val="clear" w:color="auto" w:fill="D4D4D4"/>
          </w:tcPr>
          <w:p>
            <w:pPr>
              <w:spacing w:after="0"/>
              <w:rPr>
                <w:sz w:val="18"/>
                <w:szCs w:val="18"/>
                <w:color w:val="auto"/>
              </w:rPr>
            </w:pPr>
          </w:p>
        </w:tc>
        <w:tc>
          <w:tcPr>
            <w:tcW w:w="1060" w:type="dxa"/>
            <w:vAlign w:val="bottom"/>
            <w:vMerge w:val="continue"/>
            <w:shd w:val="clear" w:color="auto" w:fill="D4D4D4"/>
          </w:tcPr>
          <w:p>
            <w:pPr>
              <w:spacing w:after="0"/>
              <w:rPr>
                <w:sz w:val="18"/>
                <w:szCs w:val="18"/>
                <w:color w:val="auto"/>
              </w:rPr>
            </w:pPr>
          </w:p>
        </w:tc>
        <w:tc>
          <w:tcPr>
            <w:tcW w:w="360" w:type="dxa"/>
            <w:vAlign w:val="bottom"/>
            <w:shd w:val="clear" w:color="auto" w:fill="D4D4D4"/>
          </w:tcPr>
          <w:p>
            <w:pPr>
              <w:spacing w:after="0"/>
              <w:rPr>
                <w:sz w:val="18"/>
                <w:szCs w:val="18"/>
                <w:color w:val="auto"/>
              </w:rPr>
            </w:pPr>
          </w:p>
        </w:tc>
        <w:tc>
          <w:tcPr>
            <w:tcW w:w="1060" w:type="dxa"/>
            <w:vAlign w:val="bottom"/>
            <w:shd w:val="clear" w:color="auto" w:fill="D4D4D4"/>
          </w:tcPr>
          <w:p>
            <w:pPr>
              <w:jc w:val="right"/>
              <w:ind w:right="32"/>
              <w:spacing w:after="0"/>
              <w:rPr>
                <w:sz w:val="20"/>
                <w:szCs w:val="20"/>
                <w:color w:val="auto"/>
              </w:rPr>
            </w:pPr>
            <w:r>
              <w:rPr>
                <w:rFonts w:ascii="Arial" w:cs="Arial" w:eastAsia="Arial" w:hAnsi="Arial"/>
                <w:sz w:val="18"/>
                <w:szCs w:val="18"/>
                <w:color w:val="auto"/>
              </w:rPr>
              <w:t>283.4</w:t>
            </w:r>
          </w:p>
        </w:tc>
        <w:tc>
          <w:tcPr>
            <w:tcW w:w="380" w:type="dxa"/>
            <w:vAlign w:val="bottom"/>
            <w:shd w:val="clear" w:color="auto" w:fill="D4D4D4"/>
          </w:tcPr>
          <w:p>
            <w:pPr>
              <w:spacing w:after="0"/>
              <w:rPr>
                <w:sz w:val="18"/>
                <w:szCs w:val="18"/>
                <w:color w:val="auto"/>
              </w:rPr>
            </w:pPr>
          </w:p>
        </w:tc>
        <w:tc>
          <w:tcPr>
            <w:tcW w:w="1020" w:type="dxa"/>
            <w:vAlign w:val="bottom"/>
            <w:shd w:val="clear" w:color="auto" w:fill="D4D4D4"/>
          </w:tcPr>
          <w:p>
            <w:pPr>
              <w:jc w:val="right"/>
              <w:spacing w:after="0"/>
              <w:rPr>
                <w:sz w:val="20"/>
                <w:szCs w:val="20"/>
                <w:color w:val="auto"/>
              </w:rPr>
            </w:pPr>
            <w:r>
              <w:rPr>
                <w:rFonts w:ascii="Arial" w:cs="Arial" w:eastAsia="Arial" w:hAnsi="Arial"/>
                <w:sz w:val="18"/>
                <w:szCs w:val="18"/>
                <w:color w:val="auto"/>
              </w:rPr>
              <w:t>130.2</w:t>
            </w:r>
          </w:p>
        </w:tc>
        <w:tc>
          <w:tcPr>
            <w:tcW w:w="3500" w:type="dxa"/>
            <w:vAlign w:val="bottom"/>
            <w:shd w:val="clear" w:color="auto" w:fill="D4D4D4"/>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Reclassifications from discontinued</w:t>
            </w:r>
          </w:p>
        </w:tc>
        <w:tc>
          <w:tcPr>
            <w:tcW w:w="320" w:type="dxa"/>
            <w:vAlign w:val="bottom"/>
          </w:tcPr>
          <w:p>
            <w:pPr>
              <w:spacing w:after="0"/>
              <w:rPr>
                <w:sz w:val="16"/>
                <w:szCs w:val="16"/>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4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operations (net of tax)</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3500" w:type="dxa"/>
            <w:vAlign w:val="bottom"/>
            <w:tcBorders>
              <w:bottom w:val="single" w:sz="8" w:color="D4D4D4"/>
            </w:tcBorders>
          </w:tcPr>
          <w:p>
            <w:pPr>
              <w:ind w:left="140"/>
              <w:spacing w:after="0"/>
              <w:rPr>
                <w:sz w:val="20"/>
                <w:szCs w:val="20"/>
                <w:color w:val="auto"/>
              </w:rPr>
            </w:pPr>
            <w:r>
              <w:rPr>
                <w:rFonts w:ascii="Arial" w:cs="Arial" w:eastAsia="Arial" w:hAnsi="Arial"/>
                <w:sz w:val="18"/>
                <w:szCs w:val="18"/>
                <w:color w:val="auto"/>
              </w:rPr>
              <w:t>Net income from discontinued operations</w:t>
            </w:r>
          </w:p>
        </w:tc>
        <w:tc>
          <w:tcPr>
            <w:tcW w:w="0" w:type="dxa"/>
            <w:vAlign w:val="bottom"/>
          </w:tcPr>
          <w:p>
            <w:pPr>
              <w:spacing w:after="0"/>
              <w:rPr>
                <w:sz w:val="1"/>
                <w:szCs w:val="1"/>
                <w:color w:val="auto"/>
              </w:rPr>
            </w:pPr>
          </w:p>
        </w:tc>
      </w:tr>
      <w:tr>
        <w:trPr>
          <w:trHeight w:val="168"/>
        </w:trPr>
        <w:tc>
          <w:tcPr>
            <w:tcW w:w="3540" w:type="dxa"/>
            <w:vAlign w:val="bottom"/>
            <w:shd w:val="clear" w:color="auto" w:fill="D4D4D4"/>
          </w:tcPr>
          <w:p>
            <w:pPr>
              <w:ind w:left="140"/>
              <w:spacing w:after="0" w:line="168" w:lineRule="exact"/>
              <w:rPr>
                <w:sz w:val="20"/>
                <w:szCs w:val="20"/>
                <w:color w:val="auto"/>
              </w:rPr>
            </w:pPr>
            <w:r>
              <w:rPr>
                <w:rFonts w:ascii="Arial" w:cs="Arial" w:eastAsia="Arial" w:hAnsi="Arial"/>
                <w:sz w:val="18"/>
                <w:szCs w:val="18"/>
                <w:color w:val="auto"/>
                <w:w w:val="99"/>
              </w:rPr>
              <w:t>Total reclassifications for the period, net of</w:t>
            </w:r>
          </w:p>
        </w:tc>
        <w:tc>
          <w:tcPr>
            <w:tcW w:w="320" w:type="dxa"/>
            <w:vAlign w:val="bottom"/>
            <w:vMerge w:val="restart"/>
            <w:shd w:val="clear" w:color="auto" w:fill="D4D4D4"/>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D4D4D4"/>
          </w:tcPr>
          <w:p>
            <w:pPr>
              <w:jc w:val="right"/>
              <w:ind w:right="33"/>
              <w:spacing w:after="0"/>
              <w:rPr>
                <w:sz w:val="20"/>
                <w:szCs w:val="20"/>
                <w:color w:val="auto"/>
              </w:rPr>
            </w:pPr>
            <w:r>
              <w:rPr>
                <w:rFonts w:ascii="Arial" w:cs="Arial" w:eastAsia="Arial" w:hAnsi="Arial"/>
                <w:sz w:val="18"/>
                <w:szCs w:val="18"/>
                <w:b w:val="1"/>
                <w:bCs w:val="1"/>
                <w:color w:val="auto"/>
              </w:rPr>
              <w:t>357.9</w:t>
            </w:r>
          </w:p>
        </w:tc>
        <w:tc>
          <w:tcPr>
            <w:tcW w:w="360" w:type="dxa"/>
            <w:vAlign w:val="bottom"/>
            <w:vMerge w:val="restart"/>
            <w:shd w:val="clear" w:color="auto" w:fill="D4D4D4"/>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D4D4D4"/>
          </w:tcPr>
          <w:p>
            <w:pPr>
              <w:jc w:val="right"/>
              <w:ind w:right="32"/>
              <w:spacing w:after="0"/>
              <w:rPr>
                <w:sz w:val="20"/>
                <w:szCs w:val="20"/>
                <w:color w:val="auto"/>
              </w:rPr>
            </w:pPr>
            <w:r>
              <w:rPr>
                <w:rFonts w:ascii="Arial" w:cs="Arial" w:eastAsia="Arial" w:hAnsi="Arial"/>
                <w:sz w:val="18"/>
                <w:szCs w:val="18"/>
                <w:color w:val="auto"/>
              </w:rPr>
              <w:t>283.4</w:t>
            </w:r>
          </w:p>
        </w:tc>
        <w:tc>
          <w:tcPr>
            <w:tcW w:w="380" w:type="dxa"/>
            <w:vAlign w:val="bottom"/>
            <w:vMerge w:val="restart"/>
            <w:shd w:val="clear" w:color="auto" w:fill="D4D4D4"/>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D4D4D4"/>
          </w:tcPr>
          <w:p>
            <w:pPr>
              <w:jc w:val="right"/>
              <w:spacing w:after="0"/>
              <w:rPr>
                <w:sz w:val="20"/>
                <w:szCs w:val="20"/>
                <w:color w:val="auto"/>
              </w:rPr>
            </w:pPr>
            <w:r>
              <w:rPr>
                <w:rFonts w:ascii="Arial" w:cs="Arial" w:eastAsia="Arial" w:hAnsi="Arial"/>
                <w:sz w:val="18"/>
                <w:szCs w:val="18"/>
                <w:color w:val="auto"/>
              </w:rPr>
              <w:t>214.2</w:t>
            </w:r>
          </w:p>
        </w:tc>
        <w:tc>
          <w:tcPr>
            <w:tcW w:w="3500" w:type="dxa"/>
            <w:vAlign w:val="bottom"/>
            <w:shd w:val="clear" w:color="auto" w:fill="D4D4D4"/>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D4D4D4"/>
            </w:tcBorders>
            <w:shd w:val="clear" w:color="auto" w:fill="D4D4D4"/>
          </w:tcPr>
          <w:p>
            <w:pPr>
              <w:ind w:left="140"/>
              <w:spacing w:after="0" w:line="203" w:lineRule="exact"/>
              <w:rPr>
                <w:sz w:val="20"/>
                <w:szCs w:val="20"/>
                <w:color w:val="auto"/>
              </w:rPr>
            </w:pPr>
            <w:r>
              <w:rPr>
                <w:rFonts w:ascii="Arial" w:cs="Arial" w:eastAsia="Arial" w:hAnsi="Arial"/>
                <w:sz w:val="18"/>
                <w:szCs w:val="18"/>
                <w:color w:val="auto"/>
              </w:rPr>
              <w:t>tax</w:t>
            </w:r>
          </w:p>
        </w:tc>
        <w:tc>
          <w:tcPr>
            <w:tcW w:w="320" w:type="dxa"/>
            <w:vAlign w:val="bottom"/>
            <w:tcBorders>
              <w:bottom w:val="single" w:sz="8" w:color="auto"/>
            </w:tcBorders>
            <w:vMerge w:val="continue"/>
            <w:shd w:val="clear" w:color="auto" w:fill="D4D4D4"/>
          </w:tcPr>
          <w:p>
            <w:pPr>
              <w:spacing w:after="0"/>
              <w:rPr>
                <w:sz w:val="19"/>
                <w:szCs w:val="19"/>
                <w:color w:val="auto"/>
              </w:rPr>
            </w:pPr>
          </w:p>
        </w:tc>
        <w:tc>
          <w:tcPr>
            <w:tcW w:w="1060" w:type="dxa"/>
            <w:vAlign w:val="bottom"/>
            <w:tcBorders>
              <w:bottom w:val="single" w:sz="8" w:color="auto"/>
            </w:tcBorders>
            <w:vMerge w:val="continue"/>
            <w:shd w:val="clear" w:color="auto" w:fill="D4D4D4"/>
          </w:tcPr>
          <w:p>
            <w:pPr>
              <w:spacing w:after="0"/>
              <w:rPr>
                <w:sz w:val="19"/>
                <w:szCs w:val="19"/>
                <w:color w:val="auto"/>
              </w:rPr>
            </w:pPr>
          </w:p>
        </w:tc>
        <w:tc>
          <w:tcPr>
            <w:tcW w:w="360" w:type="dxa"/>
            <w:vAlign w:val="bottom"/>
            <w:tcBorders>
              <w:bottom w:val="single" w:sz="8" w:color="auto"/>
            </w:tcBorders>
            <w:vMerge w:val="continue"/>
            <w:shd w:val="clear" w:color="auto" w:fill="D4D4D4"/>
          </w:tcPr>
          <w:p>
            <w:pPr>
              <w:spacing w:after="0"/>
              <w:rPr>
                <w:sz w:val="19"/>
                <w:szCs w:val="19"/>
                <w:color w:val="auto"/>
              </w:rPr>
            </w:pPr>
          </w:p>
        </w:tc>
        <w:tc>
          <w:tcPr>
            <w:tcW w:w="1060" w:type="dxa"/>
            <w:vAlign w:val="bottom"/>
            <w:tcBorders>
              <w:bottom w:val="single" w:sz="8" w:color="auto"/>
            </w:tcBorders>
            <w:vMerge w:val="continue"/>
            <w:shd w:val="clear" w:color="auto" w:fill="D4D4D4"/>
          </w:tcPr>
          <w:p>
            <w:pPr>
              <w:spacing w:after="0"/>
              <w:rPr>
                <w:sz w:val="19"/>
                <w:szCs w:val="19"/>
                <w:color w:val="auto"/>
              </w:rPr>
            </w:pPr>
          </w:p>
        </w:tc>
        <w:tc>
          <w:tcPr>
            <w:tcW w:w="380" w:type="dxa"/>
            <w:vAlign w:val="bottom"/>
            <w:tcBorders>
              <w:bottom w:val="single" w:sz="8" w:color="auto"/>
            </w:tcBorders>
            <w:vMerge w:val="continue"/>
            <w:shd w:val="clear" w:color="auto" w:fill="D4D4D4"/>
          </w:tcPr>
          <w:p>
            <w:pPr>
              <w:spacing w:after="0"/>
              <w:rPr>
                <w:sz w:val="19"/>
                <w:szCs w:val="19"/>
                <w:color w:val="auto"/>
              </w:rPr>
            </w:pPr>
          </w:p>
        </w:tc>
        <w:tc>
          <w:tcPr>
            <w:tcW w:w="1020" w:type="dxa"/>
            <w:vAlign w:val="bottom"/>
            <w:tcBorders>
              <w:bottom w:val="single" w:sz="8" w:color="auto"/>
            </w:tcBorders>
            <w:vMerge w:val="continue"/>
            <w:shd w:val="clear" w:color="auto" w:fill="D4D4D4"/>
          </w:tcPr>
          <w:p>
            <w:pPr>
              <w:spacing w:after="0"/>
              <w:rPr>
                <w:sz w:val="19"/>
                <w:szCs w:val="19"/>
                <w:color w:val="auto"/>
              </w:rPr>
            </w:pPr>
          </w:p>
        </w:tc>
        <w:tc>
          <w:tcPr>
            <w:tcW w:w="3500" w:type="dxa"/>
            <w:vAlign w:val="bottom"/>
            <w:tcBorders>
              <w:bottom w:val="single" w:sz="8" w:color="D4D4D4"/>
            </w:tcBorders>
            <w:shd w:val="clear" w:color="auto" w:fill="D4D4D4"/>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00" w:type="dxa"/>
            <w:vAlign w:val="bottom"/>
          </w:tcPr>
          <w:p>
            <w:pPr>
              <w:ind w:left="3240"/>
              <w:spacing w:after="0"/>
              <w:rPr>
                <w:sz w:val="20"/>
                <w:szCs w:val="20"/>
                <w:color w:val="auto"/>
              </w:rPr>
            </w:pPr>
            <w:r>
              <w:rPr>
                <w:rFonts w:ascii="Arial" w:cs="Arial" w:eastAsia="Arial" w:hAnsi="Arial"/>
                <w:sz w:val="18"/>
                <w:szCs w:val="18"/>
                <w:b w:val="1"/>
                <w:bCs w:val="1"/>
                <w:i w:val="1"/>
                <w:iCs w:val="1"/>
                <w:color w:val="auto"/>
                <w:w w:val="79"/>
              </w:rPr>
              <w:t>109</w:t>
            </w: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18: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23"/>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339.8</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359.6</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400.6</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29"/>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Net investment gains on equity securities (Note 7)</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(176.9)</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(1,442.2)</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(401.2)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Debt extinguishment loss (Note 11)</w:t>
            </w: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405.2</w:t>
            </w:r>
          </w:p>
        </w:tc>
        <w:tc>
          <w:tcPr>
            <w:tcW w:w="38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252.5</w:t>
            </w:r>
          </w:p>
        </w:tc>
      </w:tr>
      <w:tr>
        <w:trPr>
          <w:trHeight w:val="229"/>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Gain on sale of antibiotic business in China (Note 3)</w:t>
            </w:r>
          </w:p>
        </w:tc>
        <w:tc>
          <w:tcPr>
            <w:tcW w:w="340" w:type="dxa"/>
            <w:vAlign w:val="bottom"/>
            <w:shd w:val="clear" w:color="auto" w:fill="D8D8D8"/>
          </w:tcPr>
          <w:p>
            <w:pPr>
              <w:spacing w:after="0"/>
              <w:rPr>
                <w:sz w:val="19"/>
                <w:szCs w:val="19"/>
                <w:color w:val="auto"/>
              </w:rPr>
            </w:pPr>
          </w:p>
        </w:tc>
        <w:tc>
          <w:tcPr>
            <w:tcW w:w="112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19"/>
                <w:szCs w:val="19"/>
                <w:color w:val="auto"/>
              </w:rPr>
            </w:pPr>
          </w:p>
        </w:tc>
        <w:tc>
          <w:tcPr>
            <w:tcW w:w="114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19"/>
                <w:szCs w:val="19"/>
                <w:color w:val="auto"/>
              </w:rPr>
            </w:pPr>
          </w:p>
        </w:tc>
        <w:tc>
          <w:tcPr>
            <w:tcW w:w="10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(309.8)</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(289.7)</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29"/>
        </w:trPr>
        <w:tc>
          <w:tcPr>
            <w:tcW w:w="678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(51.4)</w:t>
            </w:r>
          </w:p>
        </w:tc>
        <w:tc>
          <w:tcPr>
            <w:tcW w:w="38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195.5</w:t>
            </w:r>
          </w:p>
        </w:tc>
        <w:tc>
          <w:tcPr>
            <w:tcW w:w="38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Discontinued Operations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The earnings attributable to the divested, noncontrolling interest for the period from the initial public offering until disposition were not material.</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result of the disposition, in the first quarter of 2019, we recognized a gain related to the disposition of approximately $3.7 billion, and we presented Elanco, including the gain related to the disposition, as discontinued operations in our consolidated financial statements for all periods presented.</w:t>
      </w:r>
    </w:p>
    <w:p>
      <w:pPr>
        <w:spacing w:after="0" w:line="94"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Revenue and net income from discontinued operations in 2019 was $580.0 million and $3.68 billion, respectively. There were no discontinued operations in 2020 and 2021.</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gain related to the disposition of Elanco in the consolidated statement of cash flows includes the operating results of Elanco through the disposition date, which were not material. Net cash flows of our discontinued operations for operating and investing activities were not material for the year ended December 31, 2019.</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entered into a transitional services agreement (TSA) with Elanco to facilitate the orderly transfer of various services to Elanco. The TSA related primarily to administrative services, which were generally provided over 24 months from the date of disposition, and is now complete. This agreement was not material and did not confer upon us the ability to influence the operating and/or financial policies of Elanco subsequent to the disposition date.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10" w:name="page111"/>
    <w:bookmarkEnd w:id="110"/>
    <w:p>
      <w:pPr>
        <w:spacing w:after="0"/>
        <w:rPr>
          <w:sz w:val="20"/>
          <w:szCs w:val="20"/>
          <w:color w:val="auto"/>
        </w:rPr>
      </w:pPr>
      <w:r>
        <w:rPr>
          <w:rFonts w:ascii="Arial" w:cs="Arial" w:eastAsia="Arial" w:hAnsi="Arial"/>
          <w:sz w:val="32"/>
          <w:szCs w:val="32"/>
          <w:i w:val="1"/>
          <w:iCs w:val="1"/>
          <w:color w:val="auto"/>
        </w:rPr>
        <w:t>Management's Reports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for Financial Statements—Eli Lilly and Company and Subsidiaries</w:t>
      </w:r>
    </w:p>
    <w:p>
      <w:pPr>
        <w:spacing w:after="0" w:line="139"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available on our lilly.com website and on the internal LillyNow website to enable reporting of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Red Book</w:t>
      </w:r>
      <w:r>
        <w:rPr>
          <w:rFonts w:ascii="Arial" w:cs="Arial" w:eastAsia="Arial" w:hAnsi="Arial"/>
          <w:sz w:val="18"/>
          <w:szCs w:val="18"/>
          <w:color w:val="auto"/>
        </w:rPr>
        <w:t>, the chief executive officer and all financial management must sign a financial code of ethics, which further reinforces their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fiduciary responsibilities.</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(PCAOB ID: 42).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audit committee includes six nonemployee members of the board of directors, all of whom are independent from our company. The committee charter, which is available on our website, outlines the members' roles and responsibilities. It is the audit committee's responsibility to appoint an independent registered public accounting firm subject to shareholder ratification, pre-approve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9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operate under a code of conduct and are subject to the highest level of ethical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Reporting—Eli Lilly and Company and Subsidiaries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9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conducted an evaluation of the effectiveness of our internal control over financial reporting based on the framework in "Internal Control— Integrated Framework" (2013) issued by the Committee of Sponsoring Organizations of the Treadway Commission.</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111" w:name="page112"/>
    <w:bookmarkEnd w:id="111"/>
    <w:p>
      <w:pPr>
        <w:ind w:right="720"/>
        <w:spacing w:after="0" w:line="254"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2021.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effectiveness of internal control over financial reporting as of December 31, 2021 has been audited by Ernst &amp; Young LLP, an independent registered public accounting firm, as stated in their attestation report, which appears herein. Their responsibility is to evaluate whether internal control over financial reporting was designed and operating effectively.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ind w:left="20"/>
              <w:spacing w:after="0"/>
              <w:rPr>
                <w:sz w:val="20"/>
                <w:szCs w:val="20"/>
                <w:color w:val="auto"/>
              </w:rPr>
            </w:pPr>
            <w:r>
              <w:rPr>
                <w:rFonts w:ascii="Arial" w:cs="Arial" w:eastAsia="Arial" w:hAnsi="Arial"/>
                <w:sz w:val="18"/>
                <w:szCs w:val="18"/>
                <w:color w:val="auto"/>
              </w:rPr>
              <w:t>David A. Ricks</w:t>
            </w:r>
          </w:p>
        </w:tc>
        <w:tc>
          <w:tcPr>
            <w:tcW w:w="6620" w:type="dxa"/>
            <w:vAlign w:val="bottom"/>
          </w:tcPr>
          <w:p>
            <w:pPr>
              <w:ind w:left="1020"/>
              <w:spacing w:after="0"/>
              <w:rPr>
                <w:sz w:val="20"/>
                <w:szCs w:val="20"/>
                <w:color w:val="auto"/>
              </w:rPr>
            </w:pPr>
            <w:r>
              <w:rPr>
                <w:rFonts w:ascii="Arial" w:cs="Arial" w:eastAsia="Arial" w:hAnsi="Arial"/>
                <w:sz w:val="18"/>
                <w:szCs w:val="18"/>
                <w:color w:val="auto"/>
              </w:rPr>
              <w:t>Anat Ashkenazi</w:t>
            </w:r>
          </w:p>
        </w:tc>
      </w:tr>
      <w:tr>
        <w:trPr>
          <w:trHeight w:val="235"/>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Chair, President, and Chief Executive Officer</w:t>
            </w:r>
          </w:p>
        </w:tc>
        <w:tc>
          <w:tcPr>
            <w:tcW w:w="6620" w:type="dxa"/>
            <w:vAlign w:val="bottom"/>
          </w:tcPr>
          <w:p>
            <w:pPr>
              <w:ind w:left="1020"/>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February 23, 2022</w:t>
            </w:r>
          </w:p>
        </w:tc>
        <w:tc>
          <w:tcPr>
            <w:tcW w:w="6620" w:type="dxa"/>
            <w:vAlign w:val="bottom"/>
          </w:tcPr>
          <w:p>
            <w:pPr>
              <w:spacing w:after="0"/>
              <w:rPr>
                <w:sz w:val="24"/>
                <w:szCs w:val="24"/>
                <w:color w:val="auto"/>
              </w:rPr>
            </w:pPr>
          </w:p>
        </w:tc>
      </w:tr>
      <w:tr>
        <w:trPr>
          <w:trHeight w:val="810"/>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112</w:t>
            </w:r>
          </w:p>
        </w:tc>
        <w:tc>
          <w:tcPr>
            <w:tcW w:w="662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6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12" w:name="page113"/>
    <w:bookmarkEnd w:id="112"/>
    <w:p>
      <w:pPr>
        <w:spacing w:after="0"/>
        <w:rPr>
          <w:sz w:val="20"/>
          <w:szCs w:val="20"/>
          <w:color w:val="auto"/>
        </w:rPr>
      </w:pPr>
      <w:r>
        <w:rPr>
          <w:rFonts w:ascii="Arial" w:cs="Arial" w:eastAsia="Arial" w:hAnsi="Arial"/>
          <w:sz w:val="32"/>
          <w:szCs w:val="32"/>
          <w:i w:val="1"/>
          <w:i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2021 and 2020, the related consolidated statements of operations, comprehensive income (loss),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3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23, 2022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113" w:name="page114"/>
    <w:bookmarkEnd w:id="113"/>
    <w:p>
      <w:pPr>
        <w:ind w:left="2100"/>
        <w:spacing w:after="0"/>
        <w:rPr>
          <w:sz w:val="20"/>
          <w:szCs w:val="20"/>
          <w:color w:val="auto"/>
        </w:rPr>
      </w:pPr>
      <w:r>
        <w:rPr>
          <w:rFonts w:ascii="Arial" w:cs="Arial" w:eastAsia="Arial" w:hAnsi="Arial"/>
          <w:sz w:val="18"/>
          <w:szCs w:val="18"/>
          <w:b w:val="1"/>
          <w:bCs w:val="1"/>
          <w:i w:val="1"/>
          <w:iCs w:val="1"/>
          <w:color w:val="auto"/>
        </w:rPr>
        <w:t>Medicaid, Managed Care, and Medicare sales rebate accruals</w:t>
      </w:r>
    </w:p>
    <w:p>
      <w:pPr>
        <w:spacing w:after="0" w:line="12" w:lineRule="exact"/>
        <w:rPr>
          <w:sz w:val="20"/>
          <w:szCs w:val="20"/>
          <w:color w:val="auto"/>
        </w:rPr>
      </w:pPr>
    </w:p>
    <w:p>
      <w:pPr>
        <w:ind w:left="60"/>
        <w:spacing w:after="0"/>
        <w:tabs>
          <w:tab w:leader="none" w:pos="20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described in Note 2 to the consolidated financial statements under the caption "Net Product Revenue," the</w:t>
      </w:r>
    </w:p>
    <w:p>
      <w:pPr>
        <w:ind w:left="2100" w:right="160" w:hanging="2039"/>
        <w:spacing w:after="0" w:line="215" w:lineRule="auto"/>
        <w:tabs>
          <w:tab w:leader="none" w:pos="20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Company establishes provisions for sales rebate and discounts in the same period as the related sales occur. At December 31, 2021 the Company had $6,845.8 million in sales rebate and discount accruals. A large portion of these accruals are rebates associated with sales in the United States for which payment for purchase of the product is covered by Medicaid, Managed Care, and Medicare.</w:t>
      </w:r>
    </w:p>
    <w:p>
      <w:pPr>
        <w:spacing w:after="0" w:line="203" w:lineRule="exact"/>
        <w:rPr>
          <w:sz w:val="20"/>
          <w:szCs w:val="20"/>
          <w:color w:val="auto"/>
        </w:rPr>
      </w:pPr>
    </w:p>
    <w:p>
      <w:pPr>
        <w:ind w:left="2100"/>
        <w:spacing w:after="0" w:line="207" w:lineRule="auto"/>
        <w:rPr>
          <w:sz w:val="20"/>
          <w:szCs w:val="20"/>
          <w:color w:val="auto"/>
        </w:rPr>
      </w:pPr>
      <w:r>
        <w:rPr>
          <w:rFonts w:ascii="Arial" w:cs="Arial" w:eastAsia="Arial" w:hAnsi="Arial"/>
          <w:sz w:val="18"/>
          <w:szCs w:val="18"/>
          <w:color w:val="auto"/>
        </w:rPr>
        <w:t>Auditing the Medicaid, Managed Care, and Medicare sales rebate and discount liabilities is challenging because of the subjectivity of certain assumptions required to estimate the rebate liabilities. In calculating the appropriate accrual amount, the Company considers historical Medicaid, Managed Care, and Medicare rebate payments by product as a percentage of their historical sales as well as any significant changes in sales trends, the lag in payment timing, an evaluation of the current Medicaid and Medicare laws and interpretations, the percentage of products that are sold via Medicaid, Managed Care, and Medicare, and product pricing. For Medicaid, there is significant complexity associated with calculating the legislated Medicaid rebates. Management utilizes employees with legislative experience and knowledge in developing assumptions used to calculate Medicaid rebates. Similarly, for Managed Care and Medicare, given variability in prescription drug costs, continued historical year over year increases in enrollees and variability in prescription data, historical rebate information may not be predictive for management to estimate the rebate accrual and thus, management supplements its historical data analysis with qualitative adjustments based upon current utilization.</w:t>
      </w:r>
    </w:p>
    <w:p>
      <w:pPr>
        <w:sectPr>
          <w:pgSz w:w="11900" w:h="16838" w:orient="portrait"/>
          <w:cols w:equalWidth="0" w:num="1">
            <w:col w:w="11180"/>
          </w:cols>
          <w:pgMar w:left="320" w:top="1129" w:right="399" w:bottom="1440" w:gutter="0" w:footer="0" w:header="0"/>
        </w:sectPr>
      </w:pPr>
    </w:p>
    <w:p>
      <w:pPr>
        <w:spacing w:after="0" w:line="5" w:lineRule="exact"/>
        <w:rPr>
          <w:sz w:val="20"/>
          <w:szCs w:val="20"/>
          <w:color w:val="auto"/>
        </w:rPr>
      </w:pPr>
    </w:p>
    <w:p>
      <w:pPr>
        <w:ind w:left="60"/>
        <w:spacing w:after="0" w:line="234"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tested the Company's controls addressing the identified risks of material misstatement related to the valuation</w:t>
      </w:r>
    </w:p>
    <w:p>
      <w:pPr>
        <w:ind w:right="180"/>
        <w:spacing w:after="0"/>
        <w:rPr>
          <w:sz w:val="20"/>
          <w:szCs w:val="20"/>
          <w:color w:val="auto"/>
        </w:rPr>
      </w:pPr>
      <w:r>
        <w:rPr>
          <w:rFonts w:ascii="Arial" w:cs="Arial" w:eastAsia="Arial" w:hAnsi="Arial"/>
          <w:sz w:val="17"/>
          <w:szCs w:val="17"/>
          <w:color w:val="auto"/>
        </w:rPr>
        <w:t>of the sales rebate and discount liabilities. This included testing controls over management's review of the significant assumptions used to calculate the Medicaid, Managed Care, and Medicare rebate liabilities, including</w:t>
      </w:r>
    </w:p>
    <w:p>
      <w:pPr>
        <w:spacing w:after="0" w:line="219" w:lineRule="auto"/>
        <w:rPr>
          <w:sz w:val="20"/>
          <w:szCs w:val="20"/>
          <w:color w:val="auto"/>
        </w:rPr>
      </w:pPr>
      <w:r>
        <w:rPr>
          <w:rFonts w:ascii="Arial" w:cs="Arial" w:eastAsia="Arial" w:hAnsi="Arial"/>
          <w:sz w:val="18"/>
          <w:szCs w:val="18"/>
          <w:color w:val="auto"/>
        </w:rPr>
        <w:t>the significant assumptions discussed above. This testing also included management's control to compare actual</w:t>
      </w:r>
    </w:p>
    <w:p>
      <w:pPr>
        <w:spacing w:after="0" w:line="1"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activity to forecasted activity and controls to ensure the data used to evaluate the significant assumptions was complete and accurate.</w:t>
      </w:r>
    </w:p>
    <w:p>
      <w:pPr>
        <w:spacing w:after="0" w:line="202" w:lineRule="exact"/>
        <w:rPr>
          <w:sz w:val="20"/>
          <w:szCs w:val="20"/>
          <w:color w:val="auto"/>
        </w:rPr>
      </w:pPr>
    </w:p>
    <w:p>
      <w:pPr>
        <w:ind w:right="40"/>
        <w:spacing w:after="0" w:line="207" w:lineRule="auto"/>
        <w:rPr>
          <w:sz w:val="20"/>
          <w:szCs w:val="20"/>
          <w:color w:val="auto"/>
        </w:rPr>
      </w:pPr>
      <w:r>
        <w:rPr>
          <w:rFonts w:ascii="Arial" w:cs="Arial" w:eastAsia="Arial" w:hAnsi="Arial"/>
          <w:sz w:val="18"/>
          <w:szCs w:val="18"/>
          <w:color w:val="auto"/>
        </w:rPr>
        <w:t>Our audit procedures included, among others, evaluating for reasonableness the significant assumptions in light of economic trends, product profiles, and other regulatory factors. Our testing involved assessing the historical accuracy of management's estimates by comparing actual activity to previous estimates and performing analytical procedures, based on internal and external data sources, to evaluate the completeness of the reserves. Additionally, our procedures included reviewing a sample of contracts, testing a sample of rebate payments and testing the underlying data used in management's evaluation. For Medicaid, we involved our professionals with an understanding of the statutory reimbursement requirements to assess the consistency of the Company's</w:t>
      </w:r>
    </w:p>
    <w:p>
      <w:pPr>
        <w:spacing w:after="0" w:line="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calculation methodologies with the applicable government regulations and policy. For Medicare we evaluated the reasonableness of assumptions made by management in estimating the Medicare coverage gap liability.</w:t>
      </w:r>
    </w:p>
    <w:p>
      <w:pPr>
        <w:spacing w:after="0" w:line="200" w:lineRule="exact"/>
        <w:rPr>
          <w:sz w:val="20"/>
          <w:szCs w:val="20"/>
          <w:color w:val="auto"/>
        </w:rPr>
      </w:pPr>
    </w:p>
    <w:p>
      <w:pPr>
        <w:sectPr>
          <w:pgSz w:w="11900" w:h="16838" w:orient="portrait"/>
          <w:cols w:equalWidth="0" w:num="2">
            <w:col w:w="1880" w:space="220"/>
            <w:col w:w="9080"/>
          </w:cols>
          <w:pgMar w:left="320" w:top="1129" w:right="39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9" w:right="399" w:bottom="1440" w:gutter="0" w:footer="0" w:header="0"/>
          <w:type w:val="continuous"/>
        </w:sectPr>
      </w:pPr>
    </w:p>
    <w:bookmarkStart w:id="114" w:name="page115"/>
    <w:bookmarkEnd w:id="114"/>
    <w:p>
      <w:pPr>
        <w:ind w:left="2100"/>
        <w:spacing w:after="0"/>
        <w:rPr>
          <w:sz w:val="20"/>
          <w:szCs w:val="20"/>
          <w:color w:val="auto"/>
        </w:rPr>
      </w:pPr>
      <w:r>
        <w:rPr>
          <w:rFonts w:ascii="Arial" w:cs="Arial" w:eastAsia="Arial" w:hAnsi="Arial"/>
          <w:sz w:val="18"/>
          <w:szCs w:val="18"/>
          <w:b w:val="1"/>
          <w:bCs w:val="1"/>
          <w:i w:val="1"/>
          <w:iCs w:val="1"/>
          <w:color w:val="auto"/>
        </w:rPr>
        <w:t>Retirement Benefits - Valuation of Alternative Investments</w:t>
      </w:r>
    </w:p>
    <w:p>
      <w:pPr>
        <w:spacing w:after="0" w:line="12" w:lineRule="exact"/>
        <w:rPr>
          <w:sz w:val="20"/>
          <w:szCs w:val="20"/>
          <w:color w:val="auto"/>
        </w:rPr>
      </w:pPr>
    </w:p>
    <w:p>
      <w:pPr>
        <w:ind w:left="60"/>
        <w:spacing w:after="0"/>
        <w:tabs>
          <w:tab w:leader="none" w:pos="20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described in Note 15 to the consolidated financial statements under the caption "Benefit Plan Investments," the</w:t>
      </w:r>
    </w:p>
    <w:p>
      <w:pPr>
        <w:ind w:left="2100" w:right="100" w:hanging="2039"/>
        <w:spacing w:after="0" w:line="211" w:lineRule="auto"/>
        <w:tabs>
          <w:tab w:leader="none" w:pos="20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Company's benefit plan investment policies are set with specific consideration of return and risk requirements in relationship to the respective liabilities. At December 31, 2021 the Company had $19,777.4 million in plan assets related to the defined benefit pension plans and retiree health benefit plans. Approximately 38 percent of the total pension and retiree health assets are in hedge funds and private equity-like investment funds ("alternative investments"). These alternative investments are valued using significant unobservable inputs or are valued at net asset value (NAV) reported by the counterparty, adjusted as necessary.</w:t>
      </w:r>
    </w:p>
    <w:p>
      <w:pPr>
        <w:spacing w:after="0" w:line="204" w:lineRule="exact"/>
        <w:rPr>
          <w:sz w:val="20"/>
          <w:szCs w:val="20"/>
          <w:color w:val="auto"/>
        </w:rPr>
      </w:pPr>
    </w:p>
    <w:p>
      <w:pPr>
        <w:ind w:left="2100" w:right="120"/>
        <w:spacing w:after="0" w:line="213" w:lineRule="auto"/>
        <w:rPr>
          <w:sz w:val="20"/>
          <w:szCs w:val="20"/>
          <w:color w:val="auto"/>
        </w:rPr>
      </w:pPr>
      <w:r>
        <w:rPr>
          <w:rFonts w:ascii="Arial" w:cs="Arial" w:eastAsia="Arial" w:hAnsi="Arial"/>
          <w:sz w:val="18"/>
          <w:szCs w:val="18"/>
          <w:color w:val="auto"/>
        </w:rPr>
        <w:t>Auditing the fair value of these alternative investments is challenging because of the higher estimation uncertainty of the inputs to the fair value calculations, including the underlying net asset values ("NAVs"), discounted cash flow valuations, comparable market valuations, and adjustments for currency, credit, liquidity and other risks. Additionally, certain information regarding the fair value of these alternative investments is based on unaudited information available to management at the time of valuation.</w:t>
      </w:r>
    </w:p>
    <w:p>
      <w:pPr>
        <w:ind w:left="60" w:right="900"/>
        <w:spacing w:after="0" w:line="210" w:lineRule="auto"/>
        <w:rPr>
          <w:sz w:val="20"/>
          <w:szCs w:val="20"/>
          <w:color w:val="auto"/>
        </w:rPr>
      </w:pPr>
      <w:r>
        <w:rPr>
          <w:rFonts w:ascii="Arial" w:cs="Arial" w:eastAsia="Arial" w:hAnsi="Arial"/>
          <w:sz w:val="18"/>
          <w:szCs w:val="18"/>
          <w:i w:val="1"/>
          <w:iCs w:val="1"/>
          <w:color w:val="auto"/>
        </w:rPr>
        <w:t xml:space="preserve">How We Addressed </w:t>
      </w:r>
      <w:r>
        <w:rPr>
          <w:rFonts w:ascii="Arial" w:cs="Arial" w:eastAsia="Arial" w:hAnsi="Arial"/>
          <w:sz w:val="18"/>
          <w:szCs w:val="18"/>
          <w:color w:val="auto"/>
        </w:rPr>
        <w:t>We tested the Company's controls addressing the risks of material misstatement relating to valuation of</w:t>
      </w:r>
      <w:r>
        <w:rPr>
          <w:rFonts w:ascii="Arial" w:cs="Arial" w:eastAsia="Arial" w:hAnsi="Arial"/>
          <w:sz w:val="18"/>
          <w:szCs w:val="18"/>
          <w:i w:val="1"/>
          <w:iCs w:val="1"/>
          <w:color w:val="auto"/>
        </w:rPr>
        <w:t xml:space="preserve"> the Matter in Our Audit </w:t>
      </w:r>
      <w:r>
        <w:rPr>
          <w:rFonts w:ascii="Arial" w:cs="Arial" w:eastAsia="Arial" w:hAnsi="Arial"/>
          <w:sz w:val="18"/>
          <w:szCs w:val="18"/>
          <w:color w:val="auto"/>
        </w:rPr>
        <w:t>alternative investments. This included testing management's review controls over alternative investment</w:t>
      </w:r>
    </w:p>
    <w:p>
      <w:pPr>
        <w:spacing w:after="0" w:line="1" w:lineRule="exact"/>
        <w:rPr>
          <w:sz w:val="20"/>
          <w:szCs w:val="20"/>
          <w:color w:val="auto"/>
        </w:rPr>
      </w:pPr>
    </w:p>
    <w:p>
      <w:pPr>
        <w:ind w:left="2100" w:right="600"/>
        <w:spacing w:after="0" w:line="227" w:lineRule="auto"/>
        <w:rPr>
          <w:sz w:val="20"/>
          <w:szCs w:val="20"/>
          <w:color w:val="auto"/>
        </w:rPr>
      </w:pPr>
      <w:r>
        <w:rPr>
          <w:rFonts w:ascii="Arial" w:cs="Arial" w:eastAsia="Arial" w:hAnsi="Arial"/>
          <w:sz w:val="18"/>
          <w:szCs w:val="18"/>
          <w:color w:val="auto"/>
        </w:rPr>
        <w:t>valuation, which included a comparison of returns to benchmarks and in-person or telephonic meetings with investment firms to discuss valuation policies and procedures, as well as portfolio performance.</w:t>
      </w:r>
    </w:p>
    <w:p>
      <w:pPr>
        <w:spacing w:after="0" w:line="175" w:lineRule="exact"/>
        <w:rPr>
          <w:sz w:val="20"/>
          <w:szCs w:val="20"/>
          <w:color w:val="auto"/>
        </w:rPr>
      </w:pPr>
    </w:p>
    <w:p>
      <w:pPr>
        <w:ind w:left="2100" w:right="120"/>
        <w:spacing w:after="0" w:line="210" w:lineRule="auto"/>
        <w:rPr>
          <w:sz w:val="20"/>
          <w:szCs w:val="20"/>
          <w:color w:val="auto"/>
        </w:rPr>
      </w:pPr>
      <w:r>
        <w:rPr>
          <w:rFonts w:ascii="Arial" w:cs="Arial" w:eastAsia="Arial" w:hAnsi="Arial"/>
          <w:sz w:val="18"/>
          <w:szCs w:val="18"/>
          <w:color w:val="auto"/>
        </w:rPr>
        <w:t>Our audit procedures included, among others, comparing fund returns to selected relevant benchmarks and understanding variations, obtaining the latest audited financial statements and comparing to the Company's estimated fair values and reconciling any differences. We also inquired of management about changes to the investment portfolio and/or related investment strategies and considerations. We assessed the historical accuracy of management's estimates by comparing actual activity to previous estimates. We evaluated for contrary evidence by confirming the fair value of the investments and ownership interest directly with the trustees and a sample of managers at year end.</w:t>
      </w:r>
    </w:p>
    <w:p>
      <w:pPr>
        <w:spacing w:after="0" w:line="200" w:lineRule="exact"/>
        <w:rPr>
          <w:sz w:val="20"/>
          <w:szCs w:val="20"/>
          <w:color w:val="auto"/>
        </w:rPr>
      </w:pPr>
    </w:p>
    <w:p>
      <w:pPr>
        <w:spacing w:after="0" w:line="2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Ernst &amp; Young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15" w:name="page116"/>
    <w:bookmarkEnd w:id="115"/>
    <w:p>
      <w:pPr>
        <w:spacing w:after="0"/>
        <w:rPr>
          <w:sz w:val="20"/>
          <w:szCs w:val="20"/>
          <w:color w:val="auto"/>
        </w:rPr>
      </w:pPr>
      <w:r>
        <w:rPr>
          <w:rFonts w:ascii="Arial" w:cs="Arial" w:eastAsia="Arial" w:hAnsi="Arial"/>
          <w:sz w:val="32"/>
          <w:szCs w:val="32"/>
          <w:i w:val="1"/>
          <w:i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2021, based on criteria established in Internal Control — 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2021, based on the COSO criteria.</w:t>
      </w:r>
    </w:p>
    <w:p>
      <w:pPr>
        <w:spacing w:after="0" w:line="23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shareholders' equity and cash flows for each of the three years in the period ended December 31, 2021, and the related notes and our report dated February 23, 2022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9" w:right="379" w:bottom="1440" w:gutter="0" w:footer="0" w:header="0"/>
        </w:sectPr>
      </w:pPr>
    </w:p>
    <w:bookmarkStart w:id="116" w:name="page117"/>
    <w:bookmarkEnd w:id="116"/>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/s/</w:t>
        <w:tab/>
        <w:t>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7" w:name="page118"/>
    <w:bookmarkEnd w:id="117"/>
    <w:p>
      <w:pPr>
        <w:ind w:left="1300" w:right="1840" w:hanging="1295"/>
        <w:spacing w:after="0" w:line="286" w:lineRule="auto"/>
        <w:rPr>
          <w:sz w:val="20"/>
          <w:szCs w:val="20"/>
          <w:color w:val="auto"/>
        </w:rPr>
      </w:pPr>
      <w:r>
        <w:rPr>
          <w:rFonts w:ascii="Arial" w:cs="Arial" w:eastAsia="Arial" w:hAnsi="Arial"/>
          <w:sz w:val="32"/>
          <w:szCs w:val="32"/>
          <w:b w:val="1"/>
          <w:bCs w:val="1"/>
          <w:i w:val="1"/>
          <w:iCs w:val="1"/>
          <w:color w:val="auto"/>
        </w:rPr>
        <w:t>Item 9. Changes in and Disagreements with Accountants on Accounting and Financial Disclosure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9A.Controls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management, with the participation of David A. Ricks, president and chief executive officer, and Anat Ashkenazi, senior vice president and chief financial officer, evaluated our disclosure controls and procedures (as such term is defined in Rules 13a-15(e) and 15d-15(e) under the Securities Exchange Act of 1934) as of December 31, 2021, and concluded that they were effective.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Ricks and Ms. Ashkenazi provided a report on behalf of management on our internal control over financial reporting, in which management concluded that the company's internal control over financial reporting is effective at December 31, 2021 based on the framework in "Internal Control—Integrated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Due to the inherent limitations, no evaluation over internal control can provide absolute assurance that no material misstatements or fraud exist.</w:t>
      </w:r>
    </w:p>
    <w:p>
      <w:pPr>
        <w:spacing w:after="0" w:line="9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addition, Ernst &amp; Young LLP, the company's independent registered public accounting firm, issued an attestation report on the company's internal control over financial reporting as of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You can find the full text of management's report and Ernst &amp; Young's attestation report in Item 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During the fourth quarter of 2021,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9B.Other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ind w:right="1180"/>
        <w:spacing w:after="0" w:line="286" w:lineRule="auto"/>
        <w:rPr>
          <w:sz w:val="20"/>
          <w:szCs w:val="20"/>
          <w:color w:val="auto"/>
        </w:rPr>
      </w:pPr>
      <w:r>
        <w:rPr>
          <w:rFonts w:ascii="Arial" w:cs="Arial" w:eastAsia="Arial" w:hAnsi="Arial"/>
          <w:sz w:val="32"/>
          <w:szCs w:val="32"/>
          <w:b w:val="1"/>
          <w:bCs w:val="1"/>
          <w:i w:val="1"/>
          <w:iCs w:val="1"/>
          <w:color w:val="auto"/>
        </w:rPr>
        <w:t>Item 9C. Disclosure Regarding Foreign Jurisdictions that Prevent Inspections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118" w:name="page119"/>
    <w:bookmarkEnd w:id="118"/>
    <w:p>
      <w:pPr>
        <w:spacing w:after="0"/>
        <w:rPr>
          <w:sz w:val="20"/>
          <w:szCs w:val="20"/>
          <w:color w:val="auto"/>
        </w:rPr>
      </w:pPr>
      <w:r>
        <w:rPr>
          <w:rFonts w:ascii="Arial" w:cs="Arial" w:eastAsia="Arial" w:hAnsi="Arial"/>
          <w:sz w:val="32"/>
          <w:szCs w:val="32"/>
          <w:b w:val="1"/>
          <w:bCs w:val="1"/>
          <w:color w:val="auto"/>
        </w:rPr>
        <w:t>Part III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10. Directors, Executive Officers, and 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3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Information relating to our board of directors is found in our Definitive Proxy Statement, to be dated on or about March 18, 2022 (Proxy Statement), under "Governance - Board Operations and Governance" and is incorporated in this Annual Report on Form 10-K by reference.</w:t>
      </w:r>
    </w:p>
    <w:p>
      <w:pPr>
        <w:spacing w:after="0" w:line="6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Information relating to our executive officers is found at Item 1, "Business - Executive Officers of the Company" and is incorporated by reference herein.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relating to our code of ethics is found in our Proxy Statement under "Governance - Board Oversight of Strategy, Compliance, and Risk Management - Code of Ethics" and is incorporated in this Annual Report on Form 10-K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"Shareholder Engagement on Governance Issues - Shareholder Recommendations and Nominations for Director Candidates" and is incorporated in this Annual Report on Form 10-K by reference.</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of directors has appointed an audit committee consisting entirely of independent directors in accordance with applicable Securities and Exchange Commission and New York Stock Exchange requirements for audit committees. Information about our audit committee is found in our Proxy Statement under "Governance - Membership and Meetings of the Board and Its Committees - Audit Committee" and is incorporated in this Annual Report on Form 10-K by reference.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11. Executive Compensation</w:t>
      </w:r>
    </w:p>
    <w:p>
      <w:pPr>
        <w:spacing w:after="0" w:line="153"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Information on director compensation, executive compensation, and compensation committee matters can be found in the Proxy Statement under "Governance - Director Compensation," "- Membership and Meetings of the Board and Its Committees - Compensation Committee," "Compensation - Compensation Discussion and Analysis," and "- Executive Compensation." Such information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19" w:name="page120"/>
    <w:bookmarkEnd w:id="119"/>
    <w:p>
      <w:pPr>
        <w:spacing w:after="0"/>
        <w:rPr>
          <w:sz w:val="20"/>
          <w:szCs w:val="20"/>
          <w:color w:val="auto"/>
        </w:rPr>
      </w:pPr>
      <w:r>
        <w:rPr>
          <w:rFonts w:ascii="Arial" w:cs="Arial" w:eastAsia="Arial" w:hAnsi="Arial"/>
          <w:sz w:val="32"/>
          <w:szCs w:val="32"/>
          <w:b w:val="1"/>
          <w:bCs w:val="1"/>
          <w:i w:val="1"/>
          <w:iCs w:val="1"/>
          <w:color w:val="auto"/>
        </w:rPr>
        <w:t>Item 12. Security Ownership of Certain Beneficial Owners and</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auto"/>
        </w:rPr>
        <w:t>Management and Related Stockholder Matters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and incorporated in this Annual Report on Form 10-K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presents information as of December 31, 2021 regarding the company's compensation plans under which shares of the company's common stock have been authorized for issuance.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 Number of securities to</w:t>
            </w:r>
          </w:p>
        </w:tc>
        <w:tc>
          <w:tcPr>
            <w:tcW w:w="17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rPr>
              <w:t>(b) Weighted-average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be issued upon exercise</w:t>
            </w:r>
          </w:p>
        </w:tc>
        <w:tc>
          <w:tcPr>
            <w:tcW w:w="17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exercise price of</w:t>
            </w: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of outstanding options,</w:t>
            </w:r>
          </w:p>
        </w:tc>
        <w:tc>
          <w:tcPr>
            <w:tcW w:w="17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outstanding options,</w:t>
            </w:r>
          </w:p>
        </w:tc>
        <w:tc>
          <w:tcPr>
            <w:tcW w:w="2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6"/>
        </w:trPr>
        <w:tc>
          <w:tcPr>
            <w:tcW w:w="4940" w:type="dxa"/>
            <w:vAlign w:val="bottom"/>
            <w:tcBorders>
              <w:bottom w:val="single" w:sz="8" w:color="auto"/>
            </w:tcBorders>
            <w:vMerge w:val="continue"/>
          </w:tcPr>
          <w:p>
            <w:pPr>
              <w:spacing w:after="0"/>
              <w:rPr>
                <w:sz w:val="15"/>
                <w:szCs w:val="15"/>
                <w:color w:val="auto"/>
              </w:rPr>
            </w:pPr>
          </w:p>
        </w:tc>
        <w:tc>
          <w:tcPr>
            <w:tcW w:w="2040" w:type="dxa"/>
            <w:vAlign w:val="bottom"/>
            <w:tcBorders>
              <w:bottom w:val="single" w:sz="8" w:color="auto"/>
            </w:tcBorders>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99"/>
              </w:rPr>
              <w:t xml:space="preserve">warrants, and rights </w:t>
            </w:r>
            <w:r>
              <w:rPr>
                <w:rFonts w:ascii="Arial" w:cs="Arial" w:eastAsia="Arial" w:hAnsi="Arial"/>
                <w:sz w:val="18"/>
                <w:szCs w:val="18"/>
                <w:b w:val="1"/>
                <w:bCs w:val="1"/>
                <w:color w:val="auto"/>
                <w:w w:val="99"/>
                <w:vertAlign w:val="superscript"/>
              </w:rPr>
              <w:t>(1)</w:t>
            </w:r>
          </w:p>
        </w:tc>
        <w:tc>
          <w:tcPr>
            <w:tcW w:w="17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warrants, 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223"/>
        </w:trPr>
        <w:tc>
          <w:tcPr>
            <w:tcW w:w="4940" w:type="dxa"/>
            <w:vAlign w:val="bottom"/>
            <w:shd w:val="clear" w:color="auto" w:fill="D8D8D8"/>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040" w:type="dxa"/>
            <w:vAlign w:val="bottom"/>
            <w:gridSpan w:val="2"/>
            <w:shd w:val="clear" w:color="auto" w:fill="D8D8D8"/>
          </w:tcPr>
          <w:p>
            <w:pPr>
              <w:ind w:left="162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D8D8D8"/>
          </w:tcPr>
          <w:p>
            <w:pPr>
              <w:ind w:left="1180"/>
              <w:spacing w:after="0"/>
              <w:rPr>
                <w:sz w:val="20"/>
                <w:szCs w:val="20"/>
                <w:color w:val="auto"/>
              </w:rPr>
            </w:pPr>
            <w:r>
              <w:rPr>
                <w:rFonts w:ascii="Arial" w:cs="Arial" w:eastAsia="Arial" w:hAnsi="Arial"/>
                <w:sz w:val="18"/>
                <w:szCs w:val="18"/>
                <w:color w:val="auto"/>
              </w:rPr>
              <w:t>—</w:t>
            </w:r>
          </w:p>
        </w:tc>
        <w:tc>
          <w:tcPr>
            <w:tcW w:w="2560" w:type="dxa"/>
            <w:vAlign w:val="bottom"/>
            <w:shd w:val="clear" w:color="auto" w:fill="D8D8D8"/>
          </w:tcPr>
          <w:p>
            <w:pPr>
              <w:jc w:val="right"/>
              <w:ind w:right="1"/>
              <w:spacing w:after="0"/>
              <w:rPr>
                <w:sz w:val="20"/>
                <w:szCs w:val="20"/>
                <w:color w:val="auto"/>
              </w:rPr>
            </w:pPr>
            <w:r>
              <w:rPr>
                <w:rFonts w:ascii="Arial" w:cs="Arial" w:eastAsia="Arial" w:hAnsi="Arial"/>
                <w:sz w:val="18"/>
                <w:szCs w:val="18"/>
                <w:color w:val="auto"/>
              </w:rPr>
              <w:t>50,646,706</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18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8D8D8"/>
            </w:tcBorders>
          </w:tcPr>
          <w:p>
            <w:pPr>
              <w:spacing w:after="0"/>
              <w:rPr>
                <w:sz w:val="19"/>
                <w:szCs w:val="19"/>
                <w:color w:val="auto"/>
              </w:rPr>
            </w:pPr>
          </w:p>
        </w:tc>
        <w:tc>
          <w:tcPr>
            <w:tcW w:w="1700" w:type="dxa"/>
            <w:vAlign w:val="bottom"/>
            <w:tcBorders>
              <w:bottom w:val="single" w:sz="8" w:color="D8D8D8"/>
            </w:tcBorders>
          </w:tcPr>
          <w:p>
            <w:pPr>
              <w:ind w:left="118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D8D8D8"/>
          </w:tcPr>
          <w:p>
            <w:pPr>
              <w:ind w:left="1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8D8D8"/>
            </w:tcBorders>
            <w:shd w:val="clear" w:color="auto" w:fill="D8D8D8"/>
          </w:tcPr>
          <w:p>
            <w:pPr>
              <w:spacing w:after="0"/>
              <w:rPr>
                <w:sz w:val="20"/>
                <w:szCs w:val="20"/>
                <w:color w:val="auto"/>
              </w:rPr>
            </w:pPr>
          </w:p>
        </w:tc>
        <w:tc>
          <w:tcPr>
            <w:tcW w:w="1700" w:type="dxa"/>
            <w:vAlign w:val="bottom"/>
            <w:tcBorders>
              <w:bottom w:val="single" w:sz="8" w:color="D8D8D8"/>
            </w:tcBorders>
            <w:shd w:val="clear" w:color="auto" w:fill="D8D8D8"/>
          </w:tcPr>
          <w:p>
            <w:pPr>
              <w:ind w:left="118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shd w:val="clear" w:color="auto" w:fill="D8D8D8"/>
          </w:tcPr>
          <w:p>
            <w:pPr>
              <w:jc w:val="right"/>
              <w:ind w:right="1"/>
              <w:spacing w:after="0"/>
              <w:rPr>
                <w:sz w:val="20"/>
                <w:szCs w:val="20"/>
                <w:color w:val="auto"/>
              </w:rPr>
            </w:pPr>
            <w:r>
              <w:rPr>
                <w:rFonts w:ascii="Arial" w:cs="Arial" w:eastAsia="Arial" w:hAnsi="Arial"/>
                <w:sz w:val="18"/>
                <w:szCs w:val="18"/>
                <w:color w:val="auto"/>
              </w:rPr>
              <w:t>50,646,706</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5,605,694 shares are underlying outstanding equity awards other than options.</w:t>
      </w:r>
    </w:p>
    <w:p>
      <w:pPr>
        <w:spacing w:after="0" w:line="200" w:lineRule="exact"/>
        <w:rPr>
          <w:sz w:val="20"/>
          <w:szCs w:val="20"/>
          <w:color w:val="auto"/>
        </w:rPr>
      </w:pPr>
    </w:p>
    <w:p>
      <w:pPr>
        <w:spacing w:after="0" w:line="316" w:lineRule="exact"/>
        <w:rPr>
          <w:sz w:val="20"/>
          <w:szCs w:val="20"/>
          <w:color w:val="auto"/>
        </w:rPr>
      </w:pPr>
    </w:p>
    <w:p>
      <w:pPr>
        <w:ind w:left="1300" w:right="500" w:hanging="1295"/>
        <w:spacing w:after="0" w:line="286" w:lineRule="auto"/>
        <w:rPr>
          <w:sz w:val="20"/>
          <w:szCs w:val="20"/>
          <w:color w:val="auto"/>
        </w:rPr>
      </w:pPr>
      <w:r>
        <w:rPr>
          <w:rFonts w:ascii="Arial" w:cs="Arial" w:eastAsia="Arial" w:hAnsi="Arial"/>
          <w:sz w:val="32"/>
          <w:szCs w:val="32"/>
          <w:b w:val="1"/>
          <w:bCs w:val="1"/>
          <w:i w:val="1"/>
          <w:iCs w:val="1"/>
          <w:color w:val="auto"/>
        </w:rPr>
        <w:t>Item 13. Certain Relationships and Related Transactions, and Director Independence</w:t>
      </w: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Information relating to the policies and procedures for approval of related person transactions by our board of directors can be found in the Proxy Statement under "Governance - Highlights of the Company's Corporate Governance - Conflicts of Interest and Transactions with Related Persons." Such information is incorporated in this Annual Report on Form 10-K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3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Information relating to director independence can be found in the Proxy Statement under "Governance - Director Independence" and is incorporated in this Annual Report on Form 10-K by reference.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14. Principal Accountant Fees and Services</w:t>
      </w:r>
    </w:p>
    <w:p>
      <w:pPr>
        <w:spacing w:after="0" w:line="15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"Audit Matters - Item 3. Ratification of the Appointment of the Independent Auditor - Audit Committee Report - Services Performed by the Independent Auditor" and "- Independent Auditor Fees." Such information is incorporated in this Annual Report on Form 10-K by reference.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20" w:name="page121"/>
    <w:bookmarkEnd w:id="120"/>
    <w:p>
      <w:pPr>
        <w:spacing w:after="0"/>
        <w:rPr>
          <w:sz w:val="20"/>
          <w:szCs w:val="20"/>
          <w:color w:val="auto"/>
        </w:rPr>
      </w:pPr>
      <w:r>
        <w:rPr>
          <w:rFonts w:ascii="Arial" w:cs="Arial" w:eastAsia="Arial" w:hAnsi="Arial"/>
          <w:sz w:val="32"/>
          <w:szCs w:val="32"/>
          <w:b w:val="1"/>
          <w:bCs w:val="1"/>
          <w:i w:val="1"/>
          <w:iCs w:val="1"/>
          <w:color w:val="auto"/>
        </w:rPr>
        <w:t>Item 15. Exhibits and Financial Statement Schedules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(a)1.</w:t>
      </w:r>
      <w:r>
        <w:rPr>
          <w:sz w:val="20"/>
          <w:szCs w:val="20"/>
          <w:color w:val="auto"/>
        </w:rPr>
        <w:tab/>
      </w:r>
      <w:r>
        <w:rPr>
          <w:rFonts w:ascii="Arial" w:cs="Arial" w:eastAsia="Arial" w:hAnsi="Arial"/>
          <w:sz w:val="17"/>
          <w:szCs w:val="17"/>
          <w:b w:val="1"/>
          <w:bCs w:val="1"/>
          <w:color w:val="auto"/>
        </w:rPr>
        <w:t>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2021, 2020, and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(Loss)—Years Ended December 31, 2021, 2020, and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Balance Sheets—December 31, 2021 and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2021, 2020, and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2021, 2020, and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4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(a)2.</w:t>
      </w:r>
      <w:r>
        <w:rPr>
          <w:sz w:val="20"/>
          <w:szCs w:val="20"/>
          <w:color w:val="auto"/>
        </w:rPr>
        <w:tab/>
      </w:r>
      <w:r>
        <w:rPr>
          <w:rFonts w:ascii="Arial" w:cs="Arial" w:eastAsia="Arial" w:hAnsi="Arial"/>
          <w:sz w:val="17"/>
          <w:szCs w:val="17"/>
          <w:b w:val="1"/>
          <w:bCs w:val="1"/>
          <w:color w:val="auto"/>
        </w:rPr>
        <w:t>Financial Statement Schedules</w:t>
      </w:r>
    </w:p>
    <w:p>
      <w:pPr>
        <w:spacing w:after="0" w:line="13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9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1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(a)3.</w:t>
      </w:r>
      <w:r>
        <w:rPr>
          <w:sz w:val="20"/>
          <w:szCs w:val="20"/>
          <w:color w:val="auto"/>
        </w:rPr>
        <w:tab/>
      </w:r>
      <w:r>
        <w:rPr>
          <w:rFonts w:ascii="Arial" w:cs="Arial" w:eastAsia="Arial" w:hAnsi="Arial"/>
          <w:sz w:val="17"/>
          <w:szCs w:val="17"/>
          <w:b w:val="1"/>
          <w:bCs w:val="1"/>
          <w:color w:val="auto"/>
        </w:rPr>
        <w:t>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20" w:type="dxa"/>
            <w:vAlign w:val="bottom"/>
            <w:gridSpan w:val="8"/>
          </w:tcPr>
          <w:p>
            <w:pP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rFonts w:ascii="Arial" w:cs="Arial" w:eastAsia="Arial" w:hAnsi="Arial"/>
                <w:sz w:val="18"/>
                <w:szCs w:val="18"/>
                <w:color w:val="0000FF"/>
                <w:w w:val="95"/>
              </w:rPr>
            </w:pPr>
            <w:hyperlink r:id="rId163">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20" w:type="dxa"/>
            <w:vAlign w:val="bottom"/>
            <w:gridSpan w:val="2"/>
          </w:tcPr>
          <w:p>
            <w:pPr>
              <w:spacing w:after="0"/>
              <w:rPr>
                <w:rFonts w:ascii="Arial" w:cs="Arial" w:eastAsia="Arial" w:hAnsi="Arial"/>
                <w:sz w:val="18"/>
                <w:szCs w:val="18"/>
                <w:color w:val="0000FF"/>
                <w:w w:val="99"/>
              </w:rPr>
            </w:pPr>
            <w:hyperlink r:id="rId163">
              <w:r>
                <w:rPr>
                  <w:rFonts w:ascii="Arial" w:cs="Arial" w:eastAsia="Arial" w:hAnsi="Arial"/>
                  <w:sz w:val="18"/>
                  <w:szCs w:val="18"/>
                  <w:color w:val="0000FF"/>
                  <w:w w:val="99"/>
                </w:rPr>
                <w:t>Amended Articles of Incorporation</w:t>
              </w:r>
            </w:hyperlink>
          </w:p>
        </w:tc>
        <w:tc>
          <w:tcPr>
            <w:tcW w:w="2840" w:type="dxa"/>
            <w:vAlign w:val="bottom"/>
          </w:tcPr>
          <w:p>
            <w:pPr>
              <w:spacing w:after="0"/>
              <w:rPr>
                <w:sz w:val="21"/>
                <w:szCs w:val="21"/>
                <w:color w:val="auto"/>
              </w:rPr>
            </w:pPr>
          </w:p>
        </w:tc>
        <w:tc>
          <w:tcPr>
            <w:tcW w:w="4220" w:type="dxa"/>
            <w:vAlign w:val="bottom"/>
            <w:gridSpan w:val="8"/>
          </w:tcPr>
          <w:p>
            <w:pPr>
              <w:spacing w:after="0"/>
              <w:rPr>
                <w:rFonts w:ascii="Arial" w:cs="Arial" w:eastAsia="Arial" w:hAnsi="Arial"/>
                <w:sz w:val="18"/>
                <w:szCs w:val="18"/>
                <w:color w:val="0000FF"/>
              </w:rPr>
            </w:pPr>
            <w:hyperlink r:id="rId163">
              <w:r>
                <w:rPr>
                  <w:rFonts w:ascii="Arial" w:cs="Arial" w:eastAsia="Arial" w:hAnsi="Arial"/>
                  <w:sz w:val="18"/>
                  <w:szCs w:val="18"/>
                  <w:color w:val="0000FF"/>
                </w:rPr>
                <w:t>Incorporated by reference to Exhibit 3.1 to the</w:t>
              </w:r>
            </w:hyperlink>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200" w:type="dxa"/>
            <w:vAlign w:val="bottom"/>
            <w:gridSpan w:val="7"/>
          </w:tcPr>
          <w:p>
            <w:pPr>
              <w:spacing w:after="0" w:line="156" w:lineRule="exact"/>
              <w:rPr>
                <w:rFonts w:ascii="Arial" w:cs="Arial" w:eastAsia="Arial" w:hAnsi="Arial"/>
                <w:sz w:val="18"/>
                <w:szCs w:val="18"/>
                <w:color w:val="0000FF"/>
                <w:w w:val="99"/>
              </w:rPr>
            </w:pPr>
            <w:hyperlink r:id="rId163">
              <w:r>
                <w:rPr>
                  <w:rFonts w:ascii="Arial" w:cs="Arial" w:eastAsia="Arial" w:hAnsi="Arial"/>
                  <w:sz w:val="18"/>
                  <w:szCs w:val="18"/>
                  <w:color w:val="0000FF"/>
                  <w:w w:val="99"/>
                </w:rPr>
                <w:t>Company's Annual Report on Form 10-K for the year</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2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ended December 31, 2013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gridSpan w:val="2"/>
          </w:tcPr>
          <w:p>
            <w:pPr>
              <w:spacing w:after="0"/>
              <w:rPr>
                <w:rFonts w:ascii="Arial" w:cs="Arial" w:eastAsia="Arial" w:hAnsi="Arial"/>
                <w:sz w:val="18"/>
                <w:szCs w:val="18"/>
                <w:color w:val="0000FF"/>
              </w:rPr>
            </w:pPr>
            <w:hyperlink r:id="rId16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0" w:type="dxa"/>
            <w:vAlign w:val="bottom"/>
          </w:tcPr>
          <w:p>
            <w:pPr>
              <w:spacing w:after="0"/>
              <w:rPr>
                <w:sz w:val="22"/>
                <w:szCs w:val="22"/>
                <w:color w:val="auto"/>
              </w:rPr>
            </w:pPr>
          </w:p>
        </w:tc>
        <w:tc>
          <w:tcPr>
            <w:tcW w:w="2720" w:type="dxa"/>
            <w:vAlign w:val="bottom"/>
            <w:gridSpan w:val="2"/>
          </w:tcPr>
          <w:p>
            <w:pPr>
              <w:spacing w:after="0"/>
              <w:rPr>
                <w:rFonts w:ascii="Arial" w:cs="Arial" w:eastAsia="Arial" w:hAnsi="Arial"/>
                <w:sz w:val="18"/>
                <w:szCs w:val="18"/>
                <w:color w:val="0000FF"/>
              </w:rPr>
            </w:pPr>
            <w:hyperlink r:id="rId164">
              <w:r>
                <w:rPr>
                  <w:rFonts w:ascii="Arial" w:cs="Arial" w:eastAsia="Arial" w:hAnsi="Arial"/>
                  <w:sz w:val="18"/>
                  <w:szCs w:val="18"/>
                  <w:color w:val="0000FF"/>
                </w:rPr>
                <w:t>Bylaws, as amended</w:t>
              </w:r>
            </w:hyperlink>
          </w:p>
        </w:tc>
        <w:tc>
          <w:tcPr>
            <w:tcW w:w="2840" w:type="dxa"/>
            <w:vAlign w:val="bottom"/>
          </w:tcPr>
          <w:p>
            <w:pPr>
              <w:spacing w:after="0"/>
              <w:rPr>
                <w:sz w:val="22"/>
                <w:szCs w:val="22"/>
                <w:color w:val="auto"/>
              </w:rPr>
            </w:pPr>
          </w:p>
        </w:tc>
        <w:tc>
          <w:tcPr>
            <w:tcW w:w="4220" w:type="dxa"/>
            <w:vAlign w:val="bottom"/>
            <w:gridSpan w:val="8"/>
          </w:tcPr>
          <w:p>
            <w:pPr>
              <w:spacing w:after="0"/>
              <w:rPr>
                <w:rFonts w:ascii="Arial" w:cs="Arial" w:eastAsia="Arial" w:hAnsi="Arial"/>
                <w:sz w:val="18"/>
                <w:szCs w:val="18"/>
                <w:color w:val="0000FF"/>
              </w:rPr>
            </w:pPr>
            <w:hyperlink r:id="rId164">
              <w:r>
                <w:rPr>
                  <w:rFonts w:ascii="Arial" w:cs="Arial" w:eastAsia="Arial" w:hAnsi="Arial"/>
                  <w:sz w:val="18"/>
                  <w:szCs w:val="18"/>
                  <w:color w:val="0000FF"/>
                </w:rPr>
                <w:t>Incorporated by reference to Exhibit 3.1 to the</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0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4"/>
          </w:tcPr>
          <w:p>
            <w:pPr>
              <w:spacing w:after="0" w:line="157" w:lineRule="exact"/>
              <w:rPr>
                <w:rFonts w:ascii="Arial" w:cs="Arial" w:eastAsia="Arial" w:hAnsi="Arial"/>
                <w:sz w:val="18"/>
                <w:szCs w:val="18"/>
                <w:color w:val="0000FF"/>
              </w:rPr>
            </w:pPr>
            <w:hyperlink r:id="rId164">
              <w:r>
                <w:rPr>
                  <w:rFonts w:ascii="Arial" w:cs="Arial" w:eastAsia="Arial" w:hAnsi="Arial"/>
                  <w:sz w:val="18"/>
                  <w:szCs w:val="18"/>
                  <w:color w:val="0000FF"/>
                </w:rPr>
                <w:t>Company's Current Report on Form 8-K filed</w:t>
              </w:r>
            </w:hyperlink>
          </w:p>
        </w:tc>
        <w:tc>
          <w:tcPr>
            <w:tcW w:w="580" w:type="dxa"/>
            <w:vAlign w:val="bottom"/>
            <w:gridSpan w:val="3"/>
          </w:tcPr>
          <w:p>
            <w:pPr>
              <w:spacing w:after="0" w:line="157" w:lineRule="exact"/>
              <w:rPr>
                <w:rFonts w:ascii="Arial" w:cs="Arial" w:eastAsia="Arial" w:hAnsi="Arial"/>
                <w:sz w:val="18"/>
                <w:szCs w:val="18"/>
                <w:color w:val="0000FF"/>
              </w:rPr>
            </w:pPr>
            <w:hyperlink r:id="rId164">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164">
              <w:r>
                <w:rPr>
                  <w:rFonts w:ascii="Arial" w:cs="Arial" w:eastAsia="Arial" w:hAnsi="Arial"/>
                  <w:sz w:val="18"/>
                  <w:szCs w:val="18"/>
                  <w:color w:val="0000FF"/>
                  <w:w w:val="98"/>
                </w:rPr>
                <w:t>December 16, 2021</w:t>
              </w:r>
            </w:hyperlink>
          </w:p>
        </w:tc>
        <w:tc>
          <w:tcPr>
            <w:tcW w:w="2220" w:type="dxa"/>
            <w:vAlign w:val="bottom"/>
            <w:tcBorders>
              <w:top w:val="single" w:sz="8" w:color="0000FF"/>
            </w:tcBorders>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240"/>
          </w:cols>
          <w:pgMar w:left="320" w:top="1075"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260" w:type="dxa"/>
            <w:vAlign w:val="bottom"/>
          </w:tcPr>
          <w:p>
            <w:pPr>
              <w:jc w:val="right"/>
              <w:spacing w:after="0"/>
              <w:rPr>
                <w:rFonts w:ascii="Arial" w:cs="Arial" w:eastAsia="Arial" w:hAnsi="Arial"/>
                <w:sz w:val="18"/>
                <w:szCs w:val="18"/>
                <w:color w:val="0000FF"/>
                <w:w w:val="95"/>
              </w:rPr>
            </w:pPr>
            <w:hyperlink r:id="rId16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820" w:type="dxa"/>
            <w:vAlign w:val="bottom"/>
          </w:tcPr>
          <w:p>
            <w:pPr>
              <w:spacing w:after="0"/>
              <w:rPr>
                <w:sz w:val="18"/>
                <w:szCs w:val="18"/>
                <w:color w:val="auto"/>
              </w:rPr>
            </w:pPr>
          </w:p>
        </w:tc>
        <w:tc>
          <w:tcPr>
            <w:tcW w:w="5240" w:type="dxa"/>
            <w:vAlign w:val="bottom"/>
            <w:gridSpan w:val="7"/>
          </w:tcPr>
          <w:p>
            <w:pPr>
              <w:spacing w:after="0"/>
              <w:rPr>
                <w:rFonts w:ascii="Arial" w:cs="Arial" w:eastAsia="Arial" w:hAnsi="Arial"/>
                <w:sz w:val="18"/>
                <w:szCs w:val="18"/>
                <w:color w:val="0000FF"/>
              </w:rPr>
            </w:pPr>
            <w:hyperlink r:id="rId165">
              <w:r>
                <w:rPr>
                  <w:rFonts w:ascii="Arial" w:cs="Arial" w:eastAsia="Arial" w:hAnsi="Arial"/>
                  <w:sz w:val="18"/>
                  <w:szCs w:val="18"/>
                  <w:color w:val="0000FF"/>
                </w:rPr>
                <w:t>Indenture, dated February 1, 1991, between the Company and</w:t>
              </w:r>
            </w:hyperlink>
          </w:p>
        </w:tc>
      </w:tr>
      <w:tr>
        <w:trPr>
          <w:trHeight w:val="156"/>
        </w:trPr>
        <w:tc>
          <w:tcPr>
            <w:tcW w:w="26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5"/>
          </w:tcPr>
          <w:p>
            <w:pPr>
              <w:spacing w:after="0" w:line="157" w:lineRule="exact"/>
              <w:rPr>
                <w:rFonts w:ascii="Arial" w:cs="Arial" w:eastAsia="Arial" w:hAnsi="Arial"/>
                <w:sz w:val="18"/>
                <w:szCs w:val="18"/>
                <w:color w:val="0000FF"/>
                <w:w w:val="98"/>
              </w:rPr>
            </w:pPr>
            <w:hyperlink r:id="rId165">
              <w:r>
                <w:rPr>
                  <w:rFonts w:ascii="Arial" w:cs="Arial" w:eastAsia="Arial" w:hAnsi="Arial"/>
                  <w:sz w:val="18"/>
                  <w:szCs w:val="18"/>
                  <w:color w:val="0000FF"/>
                  <w:w w:val="98"/>
                </w:rPr>
                <w:t>Deutsche Bank Trust Company Americas, as successor trustee</w:t>
              </w:r>
            </w:hyperlink>
          </w:p>
        </w:tc>
        <w:tc>
          <w:tcPr>
            <w:tcW w:w="10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tcPr>
          <w:p>
            <w:pPr>
              <w:ind w:left="20"/>
              <w:spacing w:after="0" w:line="157" w:lineRule="exact"/>
              <w:rPr>
                <w:rFonts w:ascii="Arial" w:cs="Arial" w:eastAsia="Arial" w:hAnsi="Arial"/>
                <w:sz w:val="18"/>
                <w:szCs w:val="18"/>
                <w:color w:val="0000FF"/>
                <w:w w:val="79"/>
              </w:rPr>
            </w:pPr>
            <w:hyperlink r:id="rId165">
              <w:r>
                <w:rPr>
                  <w:rFonts w:ascii="Arial" w:cs="Arial" w:eastAsia="Arial" w:hAnsi="Arial"/>
                  <w:sz w:val="18"/>
                  <w:szCs w:val="18"/>
                  <w:color w:val="0000FF"/>
                  <w:w w:val="79"/>
                </w:rPr>
                <w:t>to</w:t>
              </w:r>
            </w:hyperlink>
          </w:p>
        </w:tc>
      </w:tr>
      <w:tr>
        <w:trPr>
          <w:trHeight w:val="155"/>
        </w:trPr>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40" w:type="dxa"/>
            <w:vAlign w:val="bottom"/>
            <w:gridSpan w:val="7"/>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Citibank, N.A., as Trustee</w:t>
              </w:r>
            </w:hyperlink>
          </w:p>
        </w:tc>
      </w:tr>
      <w:tr>
        <w:trPr>
          <w:trHeight w:val="20"/>
        </w:trPr>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260" w:type="dxa"/>
            <w:vAlign w:val="bottom"/>
          </w:tcPr>
          <w:p>
            <w:pPr>
              <w:jc w:val="right"/>
              <w:spacing w:after="0"/>
              <w:rPr>
                <w:rFonts w:ascii="Arial" w:cs="Arial" w:eastAsia="Arial" w:hAnsi="Arial"/>
                <w:sz w:val="18"/>
                <w:szCs w:val="18"/>
                <w:color w:val="0000FF"/>
                <w:w w:val="95"/>
              </w:rPr>
            </w:pPr>
            <w:hyperlink r:id="rId166">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820" w:type="dxa"/>
            <w:vAlign w:val="bottom"/>
          </w:tcPr>
          <w:p>
            <w:pPr>
              <w:spacing w:after="0"/>
              <w:rPr>
                <w:sz w:val="22"/>
                <w:szCs w:val="22"/>
                <w:color w:val="auto"/>
              </w:rPr>
            </w:pPr>
          </w:p>
        </w:tc>
        <w:tc>
          <w:tcPr>
            <w:tcW w:w="5240" w:type="dxa"/>
            <w:vAlign w:val="bottom"/>
            <w:gridSpan w:val="7"/>
          </w:tcPr>
          <w:p>
            <w:pPr>
              <w:spacing w:after="0"/>
              <w:rPr>
                <w:rFonts w:ascii="Arial" w:cs="Arial" w:eastAsia="Arial" w:hAnsi="Arial"/>
                <w:sz w:val="18"/>
                <w:szCs w:val="18"/>
                <w:color w:val="0000FF"/>
              </w:rPr>
            </w:pPr>
            <w:hyperlink r:id="rId166">
              <w:r>
                <w:rPr>
                  <w:rFonts w:ascii="Arial" w:cs="Arial" w:eastAsia="Arial" w:hAnsi="Arial"/>
                  <w:sz w:val="18"/>
                  <w:szCs w:val="18"/>
                  <w:color w:val="0000FF"/>
                </w:rPr>
                <w:t>Tripartite Agreement, dated September 13, 2007, appointing</w:t>
              </w:r>
            </w:hyperlink>
          </w:p>
        </w:tc>
      </w:tr>
      <w:tr>
        <w:trPr>
          <w:trHeight w:val="20"/>
        </w:trPr>
        <w:tc>
          <w:tcPr>
            <w:tcW w:w="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5"/>
        </w:trPr>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40" w:type="dxa"/>
            <w:vAlign w:val="bottom"/>
            <w:gridSpan w:val="7"/>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Deutsche Bank Trust Company Americas as Successor Trustee</w:t>
              </w:r>
            </w:hyperlink>
          </w:p>
        </w:tc>
      </w:tr>
      <w:tr>
        <w:trPr>
          <w:trHeight w:val="155"/>
        </w:trPr>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under the Indenture listed in Exhibit 4.1</w:t>
              </w:r>
            </w:hyperlink>
          </w:p>
        </w:tc>
        <w:tc>
          <w:tcPr>
            <w:tcW w:w="16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r>
      <w:tr>
        <w:trPr>
          <w:trHeight w:val="263"/>
        </w:trPr>
        <w:tc>
          <w:tcPr>
            <w:tcW w:w="260" w:type="dxa"/>
            <w:vAlign w:val="bottom"/>
            <w:tcBorders>
              <w:bottom w:val="single" w:sz="8" w:color="0000FF"/>
            </w:tcBorders>
          </w:tcPr>
          <w:p>
            <w:pPr>
              <w:jc w:val="right"/>
              <w:spacing w:after="0"/>
              <w:rPr>
                <w:rFonts w:ascii="Arial" w:cs="Arial" w:eastAsia="Arial" w:hAnsi="Arial"/>
                <w:sz w:val="18"/>
                <w:szCs w:val="18"/>
                <w:color w:val="0000FF"/>
                <w:w w:val="95"/>
              </w:rPr>
            </w:pPr>
            <w:hyperlink r:id="rId16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820" w:type="dxa"/>
            <w:vAlign w:val="bottom"/>
          </w:tcPr>
          <w:p>
            <w:pPr>
              <w:spacing w:after="0"/>
              <w:rPr>
                <w:sz w:val="22"/>
                <w:szCs w:val="22"/>
                <w:color w:val="auto"/>
              </w:rPr>
            </w:pPr>
          </w:p>
        </w:tc>
        <w:tc>
          <w:tcPr>
            <w:tcW w:w="3640" w:type="dxa"/>
            <w:vAlign w:val="bottom"/>
            <w:tcBorders>
              <w:bottom w:val="single" w:sz="8" w:color="0000FF"/>
            </w:tcBorders>
            <w:gridSpan w:val="3"/>
          </w:tcPr>
          <w:p>
            <w:pPr>
              <w:spacing w:after="0"/>
              <w:rPr>
                <w:rFonts w:ascii="Arial" w:cs="Arial" w:eastAsia="Arial" w:hAnsi="Arial"/>
                <w:sz w:val="18"/>
                <w:szCs w:val="18"/>
                <w:color w:val="0000FF"/>
                <w:w w:val="99"/>
              </w:rPr>
            </w:pPr>
            <w:hyperlink r:id="rId167">
              <w:r>
                <w:rPr>
                  <w:rFonts w:ascii="Arial" w:cs="Arial" w:eastAsia="Arial" w:hAnsi="Arial"/>
                  <w:sz w:val="18"/>
                  <w:szCs w:val="18"/>
                  <w:color w:val="0000FF"/>
                  <w:w w:val="99"/>
                </w:rPr>
                <w:t>Description of the Company's Common Stock</w:t>
              </w:r>
            </w:hyperlink>
          </w:p>
        </w:tc>
        <w:tc>
          <w:tcPr>
            <w:tcW w:w="1600" w:type="dxa"/>
            <w:vAlign w:val="bottom"/>
            <w:gridSpan w:val="4"/>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720"/>
        <w:spacing w:after="0" w:line="219"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Incorporated by reference to Exhibit 4.1 to the</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Company's Registration Statement on Form S-3,</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Registration No. 333-186979</w:t>
        </w:r>
      </w:hyperlink>
    </w:p>
    <w:p>
      <w:pPr>
        <w:spacing w:after="0" w:line="68" w:lineRule="exact"/>
        <w:rPr>
          <w:rFonts w:ascii="Arial" w:cs="Arial" w:eastAsia="Arial" w:hAnsi="Arial"/>
          <w:sz w:val="18"/>
          <w:szCs w:val="18"/>
          <w:u w:val="single" w:color="auto"/>
          <w:color w:val="0000FF"/>
        </w:rPr>
      </w:pPr>
    </w:p>
    <w:p>
      <w:pPr>
        <w:ind w:right="380"/>
        <w:spacing w:after="0" w:line="219"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Incorporated by reference to Exhibit 4.2 to the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ended December 31, 2008</w:t>
        </w:r>
      </w:hyperlink>
    </w:p>
    <w:p>
      <w:pPr>
        <w:spacing w:after="0" w:line="68" w:lineRule="exact"/>
        <w:rPr>
          <w:rFonts w:ascii="Arial" w:cs="Arial" w:eastAsia="Arial" w:hAnsi="Arial"/>
          <w:sz w:val="18"/>
          <w:szCs w:val="18"/>
          <w:u w:val="single" w:color="auto"/>
          <w:color w:val="0000FF"/>
        </w:rPr>
      </w:pPr>
    </w:p>
    <w:p>
      <w:pPr>
        <w:ind w:right="380"/>
        <w:spacing w:after="0" w:line="219"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Incorporated by reference to Exhibit 4.3 to the</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ended December 31, 2019</w:t>
        </w:r>
      </w:hyperlink>
    </w:p>
    <w:p>
      <w:pPr>
        <w:spacing w:after="0" w:line="37" w:lineRule="exact"/>
        <w:rPr>
          <w:rFonts w:ascii="Arial" w:cs="Arial" w:eastAsia="Arial" w:hAnsi="Arial"/>
          <w:sz w:val="18"/>
          <w:szCs w:val="18"/>
          <w:u w:val="single" w:color="auto"/>
          <w:color w:val="0000FF"/>
        </w:rPr>
      </w:pPr>
    </w:p>
    <w:p>
      <w:pPr>
        <w:sectPr>
          <w:pgSz w:w="11900" w:h="16838" w:orient="portrait"/>
          <w:cols w:equalWidth="0" w:num="2">
            <w:col w:w="6340" w:space="320"/>
            <w:col w:w="4580"/>
          </w:cols>
          <w:pgMar w:left="320" w:top="1075"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80" w:type="dxa"/>
            <w:vAlign w:val="bottom"/>
            <w:gridSpan w:val="2"/>
          </w:tcPr>
          <w:p>
            <w:pPr>
              <w:jc w:val="right"/>
              <w:ind w:right="820"/>
              <w:spacing w:after="0"/>
              <w:rPr>
                <w:rFonts w:ascii="Arial" w:cs="Arial" w:eastAsia="Arial" w:hAnsi="Arial"/>
                <w:sz w:val="18"/>
                <w:szCs w:val="18"/>
                <w:color w:val="0000FF"/>
                <w:w w:val="95"/>
              </w:rPr>
            </w:pPr>
            <w:hyperlink r:id="rId168">
              <w:r>
                <w:rPr>
                  <w:rFonts w:ascii="Arial" w:cs="Arial" w:eastAsia="Arial" w:hAnsi="Arial"/>
                  <w:sz w:val="18"/>
                  <w:szCs w:val="18"/>
                  <w:color w:val="0000FF"/>
                  <w:w w:val="95"/>
                </w:rPr>
                <w:t>4.</w:t>
              </w:r>
              <w:r>
                <w:rPr>
                  <w:rFonts w:ascii="Arial" w:cs="Arial" w:eastAsia="Arial" w:hAnsi="Arial"/>
                  <w:sz w:val="18"/>
                  <w:szCs w:val="18"/>
                  <w:u w:val="single" w:color="auto"/>
                  <w:color w:val="0000FF"/>
                  <w:w w:val="95"/>
                </w:rPr>
                <w:t>4</w:t>
              </w:r>
            </w:hyperlink>
          </w:p>
        </w:tc>
        <w:tc>
          <w:tcPr>
            <w:tcW w:w="5060" w:type="dxa"/>
            <w:vAlign w:val="bottom"/>
            <w:gridSpan w:val="3"/>
          </w:tcPr>
          <w:p>
            <w:pPr>
              <w:spacing w:after="0"/>
              <w:rPr>
                <w:rFonts w:ascii="Arial" w:cs="Arial" w:eastAsia="Arial" w:hAnsi="Arial"/>
                <w:sz w:val="18"/>
                <w:szCs w:val="18"/>
                <w:color w:val="0000FF"/>
              </w:rPr>
            </w:pPr>
            <w:hyperlink r:id="rId168">
              <w:r>
                <w:rPr>
                  <w:rFonts w:ascii="Arial" w:cs="Arial" w:eastAsia="Arial" w:hAnsi="Arial"/>
                  <w:sz w:val="18"/>
                  <w:szCs w:val="18"/>
                  <w:color w:val="0000FF"/>
                </w:rPr>
                <w:t>Description of the Company's 1.000% Notes due 2022, 1.625%</w:t>
              </w:r>
            </w:hyperlink>
          </w:p>
        </w:tc>
      </w:tr>
      <w:tr>
        <w:trPr>
          <w:trHeight w:val="156"/>
        </w:trPr>
        <w:tc>
          <w:tcPr>
            <w:tcW w:w="26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3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168">
              <w:r>
                <w:rPr>
                  <w:rFonts w:ascii="Arial" w:cs="Arial" w:eastAsia="Arial" w:hAnsi="Arial"/>
                  <w:sz w:val="18"/>
                  <w:szCs w:val="18"/>
                  <w:color w:val="0000FF"/>
                  <w:w w:val="99"/>
                </w:rPr>
                <w:t>Notes due 2026, and 2.125% Notes due 2030</w:t>
              </w:r>
            </w:hyperlink>
          </w:p>
        </w:tc>
        <w:tc>
          <w:tcPr>
            <w:tcW w:w="13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80"/>
        <w:spacing w:after="0" w:line="219"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Incorporated by reference to Exhibit 4.4 to the</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ended December 31, 2019</w:t>
        </w:r>
      </w:hyperlink>
    </w:p>
    <w:p>
      <w:pPr>
        <w:spacing w:after="0" w:line="37" w:lineRule="exact"/>
        <w:rPr>
          <w:rFonts w:ascii="Arial" w:cs="Arial" w:eastAsia="Arial" w:hAnsi="Arial"/>
          <w:sz w:val="18"/>
          <w:szCs w:val="18"/>
          <w:u w:val="single" w:color="auto"/>
          <w:color w:val="0000FF"/>
        </w:rPr>
      </w:pPr>
    </w:p>
    <w:p>
      <w:pPr>
        <w:sectPr>
          <w:pgSz w:w="11900" w:h="16838" w:orient="portrait"/>
          <w:cols w:equalWidth="0" w:num="2">
            <w:col w:w="6140" w:space="520"/>
            <w:col w:w="4580"/>
          </w:cols>
          <w:pgMar w:left="320" w:top="1075"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260" w:type="dxa"/>
            <w:vAlign w:val="bottom"/>
          </w:tcPr>
          <w:p>
            <w:pPr>
              <w:jc w:val="right"/>
              <w:spacing w:after="0"/>
              <w:rPr>
                <w:rFonts w:ascii="Arial" w:cs="Arial" w:eastAsia="Arial" w:hAnsi="Arial"/>
                <w:sz w:val="18"/>
                <w:szCs w:val="18"/>
                <w:color w:val="0000FF"/>
                <w:w w:val="95"/>
              </w:rPr>
            </w:pPr>
            <w:hyperlink r:id="rId16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5</w:t>
              </w:r>
            </w:hyperlink>
          </w:p>
        </w:tc>
        <w:tc>
          <w:tcPr>
            <w:tcW w:w="820" w:type="dxa"/>
            <w:vAlign w:val="bottom"/>
          </w:tcPr>
          <w:p>
            <w:pPr>
              <w:spacing w:after="0"/>
              <w:rPr>
                <w:sz w:val="18"/>
                <w:szCs w:val="18"/>
                <w:color w:val="auto"/>
              </w:rPr>
            </w:pPr>
          </w:p>
        </w:tc>
        <w:tc>
          <w:tcPr>
            <w:tcW w:w="4240" w:type="dxa"/>
            <w:vAlign w:val="bottom"/>
          </w:tcPr>
          <w:p>
            <w:pPr>
              <w:spacing w:after="0"/>
              <w:rPr>
                <w:rFonts w:ascii="Arial" w:cs="Arial" w:eastAsia="Arial" w:hAnsi="Arial"/>
                <w:sz w:val="18"/>
                <w:szCs w:val="18"/>
                <w:color w:val="0000FF"/>
                <w:w w:val="99"/>
              </w:rPr>
            </w:pPr>
            <w:hyperlink r:id="rId169">
              <w:r>
                <w:rPr>
                  <w:rFonts w:ascii="Arial" w:cs="Arial" w:eastAsia="Arial" w:hAnsi="Arial"/>
                  <w:sz w:val="18"/>
                  <w:szCs w:val="18"/>
                  <w:color w:val="0000FF"/>
                  <w:w w:val="99"/>
                </w:rPr>
                <w:t>Description of the Company's 6.77% Notes due 2036</w:t>
              </w:r>
            </w:hyperlink>
          </w:p>
        </w:tc>
        <w:tc>
          <w:tcPr>
            <w:tcW w:w="1340" w:type="dxa"/>
            <w:vAlign w:val="bottom"/>
          </w:tcPr>
          <w:p>
            <w:pPr>
              <w:spacing w:after="0"/>
              <w:rPr>
                <w:sz w:val="18"/>
                <w:szCs w:val="18"/>
                <w:color w:val="auto"/>
              </w:rPr>
            </w:pPr>
          </w:p>
        </w:tc>
        <w:tc>
          <w:tcPr>
            <w:tcW w:w="4200" w:type="dxa"/>
            <w:vAlign w:val="bottom"/>
            <w:gridSpan w:val="4"/>
          </w:tcPr>
          <w:p>
            <w:pPr>
              <w:spacing w:after="0"/>
              <w:rPr>
                <w:rFonts w:ascii="Arial" w:cs="Arial" w:eastAsia="Arial" w:hAnsi="Arial"/>
                <w:sz w:val="18"/>
                <w:szCs w:val="18"/>
                <w:color w:val="0000FF"/>
              </w:rPr>
            </w:pPr>
            <w:hyperlink r:id="rId169">
              <w:r>
                <w:rPr>
                  <w:rFonts w:ascii="Arial" w:cs="Arial" w:eastAsia="Arial" w:hAnsi="Arial"/>
                  <w:sz w:val="18"/>
                  <w:szCs w:val="18"/>
                  <w:color w:val="0000FF"/>
                </w:rPr>
                <w:t>Incorporated by reference to Exhibit 4.5 to the</w:t>
              </w:r>
            </w:hyperlink>
          </w:p>
        </w:tc>
      </w:tr>
      <w:tr>
        <w:trPr>
          <w:trHeight w:val="20"/>
        </w:trPr>
        <w:tc>
          <w:tcPr>
            <w:tcW w:w="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0" w:type="dxa"/>
            <w:vAlign w:val="bottom"/>
            <w:gridSpan w:val="4"/>
          </w:tcPr>
          <w:p>
            <w:pPr>
              <w:spacing w:after="0" w:line="15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Company's Annual Report on Form 10-K for the year</w:t>
              </w:r>
            </w:hyperlink>
          </w:p>
        </w:tc>
      </w:tr>
      <w:tr>
        <w:trPr>
          <w:trHeight w:val="155"/>
        </w:trPr>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1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ended December 31, 2019</w:t>
              </w:r>
            </w:hyperlink>
          </w:p>
        </w:tc>
        <w:tc>
          <w:tcPr>
            <w:tcW w:w="20" w:type="dxa"/>
            <w:vAlign w:val="bottom"/>
          </w:tcPr>
          <w:p>
            <w:pPr>
              <w:spacing w:after="0"/>
              <w:rPr>
                <w:sz w:val="13"/>
                <w:szCs w:val="13"/>
                <w:color w:val="auto"/>
              </w:rPr>
            </w:pPr>
          </w:p>
        </w:tc>
      </w:tr>
      <w:tr>
        <w:trPr>
          <w:trHeight w:val="20"/>
        </w:trPr>
        <w:tc>
          <w:tcPr>
            <w:tcW w:w="108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64"/>
        </w:trPr>
        <w:tc>
          <w:tcPr>
            <w:tcW w:w="260" w:type="dxa"/>
            <w:vAlign w:val="bottom"/>
          </w:tcPr>
          <w:p>
            <w:pPr>
              <w:jc w:val="right"/>
              <w:spacing w:after="0"/>
              <w:rPr>
                <w:rFonts w:ascii="Arial" w:cs="Arial" w:eastAsia="Arial" w:hAnsi="Arial"/>
                <w:sz w:val="18"/>
                <w:szCs w:val="18"/>
                <w:color w:val="0000FF"/>
                <w:w w:val="95"/>
              </w:rPr>
            </w:pPr>
            <w:hyperlink r:id="rId17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w:t>
              </w:r>
            </w:hyperlink>
          </w:p>
        </w:tc>
        <w:tc>
          <w:tcPr>
            <w:tcW w:w="820" w:type="dxa"/>
            <w:vAlign w:val="bottom"/>
          </w:tcPr>
          <w:p>
            <w:pPr>
              <w:spacing w:after="0"/>
              <w:rPr>
                <w:sz w:val="22"/>
                <w:szCs w:val="22"/>
                <w:color w:val="auto"/>
              </w:rPr>
            </w:pPr>
          </w:p>
        </w:tc>
        <w:tc>
          <w:tcPr>
            <w:tcW w:w="5580" w:type="dxa"/>
            <w:vAlign w:val="bottom"/>
            <w:gridSpan w:val="2"/>
          </w:tcPr>
          <w:p>
            <w:pPr>
              <w:spacing w:after="0"/>
              <w:rPr>
                <w:rFonts w:ascii="Arial" w:cs="Arial" w:eastAsia="Arial" w:hAnsi="Arial"/>
                <w:sz w:val="18"/>
                <w:szCs w:val="18"/>
                <w:color w:val="0000FF"/>
              </w:rPr>
            </w:pPr>
            <w:hyperlink r:id="rId170">
              <w:r>
                <w:rPr>
                  <w:rFonts w:ascii="Arial" w:cs="Arial" w:eastAsia="Arial" w:hAnsi="Arial"/>
                  <w:sz w:val="18"/>
                  <w:szCs w:val="18"/>
                  <w:color w:val="0000FF"/>
                </w:rPr>
                <w:t>Description of the Company's 7 1/8% Notes due 2025</w:t>
              </w:r>
            </w:hyperlink>
          </w:p>
        </w:tc>
        <w:tc>
          <w:tcPr>
            <w:tcW w:w="4200" w:type="dxa"/>
            <w:vAlign w:val="bottom"/>
            <w:gridSpan w:val="4"/>
          </w:tcPr>
          <w:p>
            <w:pPr>
              <w:spacing w:after="0"/>
              <w:rPr>
                <w:rFonts w:ascii="Arial" w:cs="Arial" w:eastAsia="Arial" w:hAnsi="Arial"/>
                <w:sz w:val="18"/>
                <w:szCs w:val="18"/>
                <w:color w:val="0000FF"/>
              </w:rPr>
            </w:pPr>
            <w:hyperlink r:id="rId170">
              <w:r>
                <w:rPr>
                  <w:rFonts w:ascii="Arial" w:cs="Arial" w:eastAsia="Arial" w:hAnsi="Arial"/>
                  <w:sz w:val="18"/>
                  <w:szCs w:val="18"/>
                  <w:color w:val="0000FF"/>
                </w:rPr>
                <w:t>Incorporated by reference to Exhibit 4.6 to the</w:t>
              </w:r>
            </w:hyperlink>
          </w:p>
        </w:tc>
      </w:tr>
      <w:tr>
        <w:trPr>
          <w:trHeight w:val="20"/>
        </w:trPr>
        <w:tc>
          <w:tcPr>
            <w:tcW w:w="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55"/>
        </w:trPr>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0" w:type="dxa"/>
            <w:vAlign w:val="bottom"/>
            <w:gridSpan w:val="4"/>
          </w:tcPr>
          <w:p>
            <w:pPr>
              <w:spacing w:after="0" w:line="156"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Company's Annual Report on Form 10-K for the year</w:t>
              </w:r>
            </w:hyperlink>
          </w:p>
        </w:tc>
      </w:tr>
      <w:tr>
        <w:trPr>
          <w:trHeight w:val="155"/>
        </w:trPr>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1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ended December 31, 2019</w:t>
              </w:r>
            </w:hyperlink>
          </w:p>
        </w:tc>
        <w:tc>
          <w:tcPr>
            <w:tcW w:w="2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type w:val="continuous"/>
        </w:sectPr>
      </w:pPr>
    </w:p>
    <w:bookmarkStart w:id="121" w:name="page122"/>
    <w:bookmarkEnd w:id="121"/>
    <w:tbl>
      <w:tblPr>
        <w:tblLayout w:type="fixed"/>
        <w:tblInd w:w="20" w:type="dxa"/>
        <w:tblCellMar>
          <w:top w:w="0" w:type="dxa"/>
          <w:left w:w="0" w:type="dxa"/>
          <w:bottom w:w="0" w:type="dxa"/>
          <w:right w:w="0" w:type="dxa"/>
        </w:tblCellMar>
      </w:tblPr>
      <w:tr>
        <w:trPr>
          <w:trHeight w:val="207"/>
        </w:trPr>
        <w:tc>
          <w:tcPr>
            <w:tcW w:w="260" w:type="dxa"/>
            <w:vAlign w:val="bottom"/>
          </w:tcPr>
          <w:p>
            <w:pPr>
              <w:spacing w:after="0"/>
              <w:rPr>
                <w:rFonts w:ascii="Arial" w:cs="Arial" w:eastAsia="Arial" w:hAnsi="Arial"/>
                <w:sz w:val="18"/>
                <w:szCs w:val="18"/>
                <w:color w:val="0000FF"/>
                <w:w w:val="95"/>
              </w:rPr>
            </w:pPr>
            <w:hyperlink r:id="rId17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7</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60" w:type="dxa"/>
            <w:vAlign w:val="bottom"/>
            <w:gridSpan w:val="23"/>
          </w:tcPr>
          <w:p>
            <w:pPr>
              <w:spacing w:after="0"/>
              <w:rPr>
                <w:rFonts w:ascii="Arial" w:cs="Arial" w:eastAsia="Arial" w:hAnsi="Arial"/>
                <w:sz w:val="18"/>
                <w:szCs w:val="18"/>
                <w:color w:val="0000FF"/>
              </w:rPr>
            </w:pPr>
            <w:hyperlink r:id="rId172">
              <w:r>
                <w:rPr>
                  <w:rFonts w:ascii="Arial" w:cs="Arial" w:eastAsia="Arial" w:hAnsi="Arial"/>
                  <w:sz w:val="18"/>
                  <w:szCs w:val="18"/>
                  <w:color w:val="0000FF"/>
                </w:rPr>
                <w:t>Description of the Company's 0.625% Notes due 2031 and</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1.</w:t>
              </w:r>
              <w:r>
                <w:rPr>
                  <w:rFonts w:ascii="Arial" w:cs="Arial" w:eastAsia="Arial" w:hAnsi="Arial"/>
                  <w:sz w:val="18"/>
                  <w:szCs w:val="18"/>
                  <w:u w:val="single" w:color="auto"/>
                  <w:color w:val="0000FF"/>
                  <w:w w:val="99"/>
                </w:rPr>
                <w:t>700%</w:t>
              </w:r>
              <w:r>
                <w:rPr>
                  <w:rFonts w:ascii="Arial" w:cs="Arial" w:eastAsia="Arial" w:hAnsi="Arial"/>
                  <w:sz w:val="18"/>
                  <w:szCs w:val="18"/>
                  <w:color w:val="0000FF"/>
                  <w:w w:val="99"/>
                </w:rPr>
                <w:t xml:space="preserve"> Notes due 2049</w:t>
              </w:r>
            </w:hyperlink>
          </w:p>
        </w:tc>
        <w:tc>
          <w:tcPr>
            <w:tcW w:w="272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rFonts w:ascii="Arial" w:cs="Arial" w:eastAsia="Arial" w:hAnsi="Arial"/>
                <w:sz w:val="18"/>
                <w:szCs w:val="18"/>
                <w:color w:val="0000FF"/>
                <w:w w:val="95"/>
              </w:rPr>
            </w:pPr>
            <w:hyperlink w:anchor="page12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8</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Description of the Company's 0.500% Notes due 2033, 1.125%</w:t>
              </w:r>
            </w:hyperlink>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w:anchor="page127">
              <w:r>
                <w:rPr>
                  <w:rFonts w:ascii="Arial" w:cs="Arial" w:eastAsia="Arial" w:hAnsi="Arial"/>
                  <w:sz w:val="18"/>
                  <w:szCs w:val="18"/>
                  <w:color w:val="0000FF"/>
                  <w:w w:val="99"/>
                </w:rPr>
                <w:t>Notes due 2051, and 1.375% Notes due 2061</w:t>
              </w:r>
            </w:hyperlink>
          </w:p>
        </w:tc>
        <w:tc>
          <w:tcPr>
            <w:tcW w:w="1400" w:type="dxa"/>
            <w:vAlign w:val="bottom"/>
            <w:tcBorders>
              <w:top w:val="single" w:sz="8" w:color="0000FF"/>
            </w:tcBorders>
            <w:gridSpan w:val="11"/>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60" w:type="dxa"/>
            <w:vAlign w:val="bottom"/>
            <w:tcBorders>
              <w:bottom w:val="single" w:sz="8" w:color="0000FF"/>
            </w:tcBorders>
          </w:tcPr>
          <w:p>
            <w:pPr>
              <w:spacing w:after="0"/>
              <w:rPr>
                <w:rFonts w:ascii="Arial" w:cs="Arial" w:eastAsia="Arial" w:hAnsi="Arial"/>
                <w:sz w:val="18"/>
                <w:szCs w:val="18"/>
                <w:color w:val="0000FF"/>
                <w:w w:val="95"/>
              </w:rPr>
            </w:pPr>
            <w:hyperlink w:anchor="page138">
              <w:r>
                <w:rPr>
                  <w:rFonts w:ascii="Arial" w:cs="Arial" w:eastAsia="Arial" w:hAnsi="Arial"/>
                  <w:sz w:val="18"/>
                  <w:szCs w:val="18"/>
                  <w:color w:val="0000FF"/>
                  <w:w w:val="95"/>
                </w:rPr>
                <w:t>4.</w:t>
              </w:r>
              <w:r>
                <w:rPr>
                  <w:rFonts w:ascii="Arial" w:cs="Arial" w:eastAsia="Arial" w:hAnsi="Arial"/>
                  <w:sz w:val="18"/>
                  <w:szCs w:val="18"/>
                  <w:u w:val="single" w:color="auto"/>
                  <w:color w:val="0000FF"/>
                  <w:w w:val="95"/>
                </w:rPr>
                <w:t>9</w:t>
              </w:r>
            </w:hyperlink>
          </w:p>
        </w:tc>
        <w:tc>
          <w:tcPr>
            <w:tcW w:w="100" w:type="dxa"/>
            <w:vAlign w:val="bottom"/>
            <w:tcBorders>
              <w:bottom w:val="single" w:sz="8" w:color="0000FF"/>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34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138">
              <w:r>
                <w:rPr>
                  <w:rFonts w:ascii="Arial" w:cs="Arial" w:eastAsia="Arial" w:hAnsi="Arial"/>
                  <w:sz w:val="18"/>
                  <w:szCs w:val="18"/>
                  <w:color w:val="0000FF"/>
                  <w:w w:val="99"/>
                </w:rPr>
                <w:t>Description of the Company's 1.625% Notes due 2043</w:t>
              </w:r>
            </w:hyperlink>
          </w:p>
        </w:tc>
        <w:tc>
          <w:tcPr>
            <w:tcW w:w="9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gridSpan w:val="2"/>
          </w:tcPr>
          <w:p>
            <w:pPr>
              <w:spacing w:after="0"/>
              <w:rPr>
                <w:rFonts w:ascii="Arial" w:cs="Arial" w:eastAsia="Arial" w:hAnsi="Arial"/>
                <w:sz w:val="18"/>
                <w:szCs w:val="18"/>
                <w:color w:val="0000FF"/>
                <w:w w:val="96"/>
              </w:rPr>
            </w:pPr>
            <w:hyperlink r:id="rId17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rPr>
            </w:pPr>
            <w:hyperlink r:id="rId173">
              <w:r>
                <w:rPr>
                  <w:rFonts w:ascii="Arial" w:cs="Arial" w:eastAsia="Arial" w:hAnsi="Arial"/>
                  <w:sz w:val="18"/>
                  <w:szCs w:val="18"/>
                  <w:color w:val="0000FF"/>
                </w:rPr>
                <w:t>Amended and Restated 2002 Lilly Stock Plan</w:t>
              </w:r>
            </w:hyperlink>
            <w:r>
              <w:rPr>
                <w:rFonts w:ascii="Arial" w:cs="Arial" w:eastAsia="Arial" w:hAnsi="Arial"/>
                <w:sz w:val="8"/>
                <w:szCs w:val="8"/>
                <w:color w:val="000000"/>
              </w:rPr>
              <w:t>(1)</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60" w:type="dxa"/>
            <w:vAlign w:val="bottom"/>
            <w:gridSpan w:val="2"/>
          </w:tcPr>
          <w:p>
            <w:pPr>
              <w:spacing w:after="0"/>
              <w:rPr>
                <w:rFonts w:ascii="Arial" w:cs="Arial" w:eastAsia="Arial" w:hAnsi="Arial"/>
                <w:sz w:val="18"/>
                <w:szCs w:val="18"/>
                <w:color w:val="0000FF"/>
                <w:w w:val="96"/>
              </w:rPr>
            </w:pPr>
            <w:hyperlink w:anchor="page147">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Form of Performance Award under the 2002 Lilly Stock Plan</w:t>
              </w:r>
            </w:hyperlink>
            <w:r>
              <w:rPr>
                <w:rFonts w:ascii="Arial" w:cs="Arial" w:eastAsia="Arial" w:hAnsi="Arial"/>
                <w:sz w:val="8"/>
                <w:szCs w:val="8"/>
                <w:color w:val="000000"/>
              </w:rPr>
              <w:t>(1)</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gridSpan w:val="2"/>
          </w:tcPr>
          <w:p>
            <w:pPr>
              <w:spacing w:after="0"/>
              <w:rPr>
                <w:rFonts w:ascii="Arial" w:cs="Arial" w:eastAsia="Arial" w:hAnsi="Arial"/>
                <w:sz w:val="18"/>
                <w:szCs w:val="18"/>
                <w:color w:val="0000FF"/>
                <w:w w:val="96"/>
              </w:rPr>
            </w:pPr>
            <w:hyperlink w:anchor="page16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Form of Performance Award under the 2002 Lilly Stock Plan (with</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62">
              <w:r>
                <w:rPr>
                  <w:rFonts w:ascii="Arial" w:cs="Arial" w:eastAsia="Arial" w:hAnsi="Arial"/>
                  <w:sz w:val="18"/>
                  <w:szCs w:val="18"/>
                  <w:color w:val="0000FF"/>
                </w:rPr>
                <w:t>non-compete)</w:t>
              </w:r>
              <w:r>
                <w:rPr>
                  <w:rFonts w:ascii="Arial" w:cs="Arial" w:eastAsia="Arial" w:hAnsi="Arial"/>
                  <w:sz w:val="8"/>
                  <w:szCs w:val="8"/>
                  <w:color w:val="000000"/>
                </w:rPr>
                <w:t>(1)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gridSpan w:val="2"/>
          </w:tcPr>
          <w:p>
            <w:pPr>
              <w:spacing w:after="0"/>
              <w:rPr>
                <w:rFonts w:ascii="Arial" w:cs="Arial" w:eastAsia="Arial" w:hAnsi="Arial"/>
                <w:sz w:val="18"/>
                <w:szCs w:val="18"/>
                <w:color w:val="0000FF"/>
                <w:w w:val="96"/>
              </w:rPr>
            </w:pPr>
            <w:hyperlink w:anchor="page17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rPr>
            </w:pPr>
            <w:hyperlink w:anchor="page179">
              <w:r>
                <w:rPr>
                  <w:rFonts w:ascii="Arial" w:cs="Arial" w:eastAsia="Arial" w:hAnsi="Arial"/>
                  <w:sz w:val="18"/>
                  <w:szCs w:val="18"/>
                  <w:color w:val="0000FF"/>
                </w:rPr>
                <w:t>Form of Performance Award under the 2002 Lilly Stock Plan</w:t>
              </w:r>
            </w:hyperlink>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79">
              <w:r>
                <w:rPr>
                  <w:rFonts w:ascii="Arial" w:cs="Arial" w:eastAsia="Arial" w:hAnsi="Arial"/>
                  <w:sz w:val="18"/>
                  <w:szCs w:val="18"/>
                  <w:color w:val="0000FF"/>
                </w:rPr>
                <w:t>(non-executive officer)</w:t>
              </w:r>
              <w:r>
                <w:rPr>
                  <w:rFonts w:ascii="Arial" w:cs="Arial" w:eastAsia="Arial" w:hAnsi="Arial"/>
                  <w:sz w:val="8"/>
                  <w:szCs w:val="8"/>
                  <w:color w:val="000000"/>
                </w:rPr>
                <w:t>(1)</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gridSpan w:val="2"/>
          </w:tcPr>
          <w:p>
            <w:pPr>
              <w:spacing w:after="0"/>
              <w:rPr>
                <w:rFonts w:ascii="Arial" w:cs="Arial" w:eastAsia="Arial" w:hAnsi="Arial"/>
                <w:sz w:val="18"/>
                <w:szCs w:val="18"/>
                <w:color w:val="0000FF"/>
                <w:w w:val="96"/>
              </w:rPr>
            </w:pPr>
            <w:hyperlink w:anchor="page19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rPr>
            </w:pPr>
            <w:hyperlink w:anchor="page193">
              <w:r>
                <w:rPr>
                  <w:rFonts w:ascii="Arial" w:cs="Arial" w:eastAsia="Arial" w:hAnsi="Arial"/>
                  <w:sz w:val="18"/>
                  <w:szCs w:val="18"/>
                  <w:color w:val="0000FF"/>
                </w:rPr>
                <w:t>Form of Shareholder Value Award under the 2002 Lilly Stock</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93">
              <w:r>
                <w:rPr>
                  <w:rFonts w:ascii="Arial" w:cs="Arial" w:eastAsia="Arial" w:hAnsi="Arial"/>
                  <w:sz w:val="18"/>
                  <w:szCs w:val="18"/>
                  <w:color w:val="0000FF"/>
                </w:rPr>
                <w:t>Plan</w:t>
              </w:r>
              <w:r>
                <w:rPr>
                  <w:rFonts w:ascii="Arial" w:cs="Arial" w:eastAsia="Arial" w:hAnsi="Arial"/>
                  <w:sz w:val="8"/>
                  <w:szCs w:val="8"/>
                  <w:color w:val="000000"/>
                </w:rPr>
                <w:t>(1)</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gridSpan w:val="2"/>
          </w:tcPr>
          <w:p>
            <w:pPr>
              <w:spacing w:after="0"/>
              <w:rPr>
                <w:rFonts w:ascii="Arial" w:cs="Arial" w:eastAsia="Arial" w:hAnsi="Arial"/>
                <w:sz w:val="18"/>
                <w:szCs w:val="18"/>
                <w:color w:val="0000FF"/>
                <w:w w:val="96"/>
              </w:rPr>
            </w:pPr>
            <w:hyperlink w:anchor="page206">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hyperlink>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w w:val="99"/>
              </w:rPr>
            </w:pPr>
            <w:hyperlink w:anchor="page206">
              <w:r>
                <w:rPr>
                  <w:rFonts w:ascii="Arial" w:cs="Arial" w:eastAsia="Arial" w:hAnsi="Arial"/>
                  <w:sz w:val="18"/>
                  <w:szCs w:val="18"/>
                  <w:color w:val="0000FF"/>
                  <w:w w:val="99"/>
                </w:rPr>
                <w:t>Form of Shareholder Value Award under the 2002 Lilly Stock Plan</w:t>
              </w:r>
            </w:hyperlink>
          </w:p>
        </w:tc>
        <w:tc>
          <w:tcPr>
            <w:tcW w:w="0" w:type="dxa"/>
            <w:vAlign w:val="bottom"/>
          </w:tcPr>
          <w:p>
            <w:pPr>
              <w:spacing w:after="0"/>
              <w:rPr>
                <w:sz w:val="1"/>
                <w:szCs w:val="1"/>
                <w:color w:val="auto"/>
              </w:rPr>
            </w:pPr>
          </w:p>
        </w:tc>
      </w:tr>
      <w:tr>
        <w:trPr>
          <w:trHeight w:val="156"/>
        </w:trPr>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206">
              <w:r>
                <w:rPr>
                  <w:rFonts w:ascii="Arial" w:cs="Arial" w:eastAsia="Arial" w:hAnsi="Arial"/>
                  <w:sz w:val="18"/>
                  <w:szCs w:val="18"/>
                  <w:color w:val="0000FF"/>
                </w:rPr>
                <w:t>(with non-compete)</w:t>
              </w:r>
              <w:r>
                <w:rPr>
                  <w:rFonts w:ascii="Arial" w:cs="Arial" w:eastAsia="Arial" w:hAnsi="Arial"/>
                  <w:sz w:val="8"/>
                  <w:szCs w:val="8"/>
                  <w:color w:val="000000"/>
                </w:rPr>
                <w:t>(1)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gridSpan w:val="2"/>
          </w:tcPr>
          <w:p>
            <w:pPr>
              <w:spacing w:after="0"/>
              <w:rPr>
                <w:rFonts w:ascii="Arial" w:cs="Arial" w:eastAsia="Arial" w:hAnsi="Arial"/>
                <w:sz w:val="18"/>
                <w:szCs w:val="18"/>
                <w:color w:val="0000FF"/>
                <w:w w:val="96"/>
              </w:rPr>
            </w:pPr>
            <w:hyperlink w:anchor="page22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hyperlink>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w w:val="99"/>
              </w:rPr>
            </w:pPr>
            <w:hyperlink w:anchor="page221">
              <w:r>
                <w:rPr>
                  <w:rFonts w:ascii="Arial" w:cs="Arial" w:eastAsia="Arial" w:hAnsi="Arial"/>
                  <w:sz w:val="18"/>
                  <w:szCs w:val="18"/>
                  <w:color w:val="0000FF"/>
                  <w:w w:val="99"/>
                </w:rPr>
                <w:t>Form of Shareholder Value Award under the 2002 Lilly Stock Plan</w:t>
              </w:r>
            </w:hyperlink>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221">
              <w:r>
                <w:rPr>
                  <w:rFonts w:ascii="Arial" w:cs="Arial" w:eastAsia="Arial" w:hAnsi="Arial"/>
                  <w:sz w:val="18"/>
                  <w:szCs w:val="18"/>
                  <w:color w:val="0000FF"/>
                </w:rPr>
                <w:t>(non-executive officer)</w:t>
              </w:r>
              <w:r>
                <w:rPr>
                  <w:rFonts w:ascii="Arial" w:cs="Arial" w:eastAsia="Arial" w:hAnsi="Arial"/>
                  <w:sz w:val="8"/>
                  <w:szCs w:val="8"/>
                  <w:color w:val="000000"/>
                </w:rPr>
                <w:t>(1)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gridSpan w:val="2"/>
          </w:tcPr>
          <w:p>
            <w:pPr>
              <w:spacing w:after="0"/>
              <w:rPr>
                <w:rFonts w:ascii="Arial" w:cs="Arial" w:eastAsia="Arial" w:hAnsi="Arial"/>
                <w:sz w:val="18"/>
                <w:szCs w:val="18"/>
                <w:color w:val="0000FF"/>
                <w:w w:val="96"/>
              </w:rPr>
            </w:pPr>
            <w:hyperlink w:anchor="page235">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8</w:t>
              </w:r>
            </w:hyperlink>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rPr>
            </w:pPr>
            <w:hyperlink w:anchor="page235">
              <w:r>
                <w:rPr>
                  <w:rFonts w:ascii="Arial" w:cs="Arial" w:eastAsia="Arial" w:hAnsi="Arial"/>
                  <w:sz w:val="18"/>
                  <w:szCs w:val="18"/>
                  <w:color w:val="0000FF"/>
                </w:rPr>
                <w:t>Form of Relative Value Award under the 2002 Lilly Stock Plan</w:t>
              </w:r>
            </w:hyperlink>
            <w:r>
              <w:rPr>
                <w:rFonts w:ascii="Arial" w:cs="Arial" w:eastAsia="Arial" w:hAnsi="Arial"/>
                <w:sz w:val="8"/>
                <w:szCs w:val="8"/>
                <w:color w:val="000000"/>
              </w:rPr>
              <w:t>(1)</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gridSpan w:val="2"/>
          </w:tcPr>
          <w:p>
            <w:pPr>
              <w:spacing w:after="0"/>
              <w:rPr>
                <w:rFonts w:ascii="Arial" w:cs="Arial" w:eastAsia="Arial" w:hAnsi="Arial"/>
                <w:sz w:val="18"/>
                <w:szCs w:val="18"/>
                <w:color w:val="0000FF"/>
                <w:w w:val="96"/>
              </w:rPr>
            </w:pPr>
            <w:hyperlink w:anchor="page24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9</w:t>
              </w:r>
            </w:hyperlink>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rPr>
            </w:pPr>
            <w:hyperlink w:anchor="page249">
              <w:r>
                <w:rPr>
                  <w:rFonts w:ascii="Arial" w:cs="Arial" w:eastAsia="Arial" w:hAnsi="Arial"/>
                  <w:sz w:val="18"/>
                  <w:szCs w:val="18"/>
                  <w:color w:val="0000FF"/>
                </w:rPr>
                <w:t>Form of Relative Value Award under the 2002 Lilly Stock Plan</w:t>
              </w:r>
            </w:hyperlink>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9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249">
              <w:r>
                <w:rPr>
                  <w:rFonts w:ascii="Arial" w:cs="Arial" w:eastAsia="Arial" w:hAnsi="Arial"/>
                  <w:sz w:val="18"/>
                  <w:szCs w:val="18"/>
                  <w:color w:val="0000FF"/>
                </w:rPr>
                <w:t>(with non-compete)</w:t>
              </w:r>
              <w:r>
                <w:rPr>
                  <w:rFonts w:ascii="Arial" w:cs="Arial" w:eastAsia="Arial" w:hAnsi="Arial"/>
                  <w:sz w:val="8"/>
                  <w:szCs w:val="8"/>
                  <w:color w:val="000000"/>
                </w:rPr>
                <w:t>(1)</w:t>
              </w:r>
            </w:hyperlink>
          </w:p>
        </w:tc>
        <w:tc>
          <w:tcPr>
            <w:tcW w:w="14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gridSpan w:val="3"/>
          </w:tcPr>
          <w:p>
            <w:pPr>
              <w:spacing w:after="0"/>
              <w:rPr>
                <w:rFonts w:ascii="Arial" w:cs="Arial" w:eastAsia="Arial" w:hAnsi="Arial"/>
                <w:sz w:val="18"/>
                <w:szCs w:val="18"/>
                <w:color w:val="0000FF"/>
                <w:w w:val="97"/>
              </w:rPr>
            </w:pPr>
            <w:hyperlink w:anchor="page265">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10</w:t>
              </w:r>
            </w:hyperlink>
          </w:p>
        </w:tc>
        <w:tc>
          <w:tcPr>
            <w:tcW w:w="620" w:type="dxa"/>
            <w:vAlign w:val="bottom"/>
          </w:tcPr>
          <w:p>
            <w:pPr>
              <w:spacing w:after="0"/>
              <w:rPr>
                <w:sz w:val="22"/>
                <w:szCs w:val="22"/>
                <w:color w:val="auto"/>
              </w:rPr>
            </w:pPr>
          </w:p>
        </w:tc>
        <w:tc>
          <w:tcPr>
            <w:tcW w:w="5260" w:type="dxa"/>
            <w:vAlign w:val="bottom"/>
            <w:gridSpan w:val="23"/>
          </w:tcPr>
          <w:p>
            <w:pPr>
              <w:spacing w:after="0"/>
              <w:rPr>
                <w:rFonts w:ascii="Arial" w:cs="Arial" w:eastAsia="Arial" w:hAnsi="Arial"/>
                <w:sz w:val="18"/>
                <w:szCs w:val="18"/>
                <w:color w:val="0000FF"/>
              </w:rPr>
            </w:pPr>
            <w:hyperlink w:anchor="page265">
              <w:r>
                <w:rPr>
                  <w:rFonts w:ascii="Arial" w:cs="Arial" w:eastAsia="Arial" w:hAnsi="Arial"/>
                  <w:sz w:val="18"/>
                  <w:szCs w:val="18"/>
                  <w:color w:val="0000FF"/>
                </w:rPr>
                <w:t>Form of Relative Value Award under the 2002 Lilly Stock Plan</w:t>
              </w:r>
            </w:hyperlink>
          </w:p>
        </w:tc>
        <w:tc>
          <w:tcPr>
            <w:tcW w:w="0" w:type="dxa"/>
            <w:vAlign w:val="bottom"/>
          </w:tcPr>
          <w:p>
            <w:pPr>
              <w:spacing w:after="0"/>
              <w:rPr>
                <w:sz w:val="1"/>
                <w:szCs w:val="1"/>
                <w:color w:val="auto"/>
              </w:rPr>
            </w:pPr>
          </w:p>
        </w:tc>
      </w:tr>
      <w:tr>
        <w:trPr>
          <w:trHeight w:val="169"/>
        </w:trPr>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Pr>
          <w:p>
            <w:pPr>
              <w:spacing w:after="0"/>
              <w:rPr>
                <w:sz w:val="14"/>
                <w:szCs w:val="14"/>
                <w:color w:val="auto"/>
              </w:rPr>
            </w:pPr>
          </w:p>
        </w:tc>
        <w:tc>
          <w:tcPr>
            <w:tcW w:w="49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265">
              <w:r>
                <w:rPr>
                  <w:rFonts w:ascii="Arial" w:cs="Arial" w:eastAsia="Arial" w:hAnsi="Arial"/>
                  <w:sz w:val="18"/>
                  <w:szCs w:val="18"/>
                  <w:color w:val="0000FF"/>
                </w:rPr>
                <w:t>(non-executive)</w:t>
              </w:r>
              <w:r>
                <w:rPr>
                  <w:rFonts w:ascii="Arial" w:cs="Arial" w:eastAsia="Arial" w:hAnsi="Arial"/>
                  <w:sz w:val="8"/>
                  <w:szCs w:val="8"/>
                  <w:color w:val="000000"/>
                </w:rPr>
                <w:t>(1)</w:t>
              </w:r>
            </w:hyperlink>
          </w:p>
        </w:tc>
        <w:tc>
          <w:tcPr>
            <w:tcW w:w="14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spacing w:after="0"/>
              <w:rPr>
                <w:rFonts w:ascii="Arial" w:cs="Arial" w:eastAsia="Arial" w:hAnsi="Arial"/>
                <w:sz w:val="18"/>
                <w:szCs w:val="18"/>
                <w:color w:val="0000FF"/>
                <w:w w:val="97"/>
              </w:rPr>
            </w:pPr>
            <w:hyperlink w:anchor="page27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11</w:t>
              </w:r>
            </w:hyperlink>
          </w:p>
        </w:tc>
        <w:tc>
          <w:tcPr>
            <w:tcW w:w="62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FF"/>
              </w:rPr>
            </w:pPr>
            <w:hyperlink w:anchor="page279">
              <w:r>
                <w:rPr>
                  <w:rFonts w:ascii="Arial" w:cs="Arial" w:eastAsia="Arial" w:hAnsi="Arial"/>
                  <w:sz w:val="18"/>
                  <w:szCs w:val="18"/>
                  <w:color w:val="0000FF"/>
                </w:rPr>
                <w:t>Form of Restricted Stock Unit Award under the 2002 Lilly Stock</w:t>
              </w:r>
            </w:hyperlink>
          </w:p>
        </w:tc>
        <w:tc>
          <w:tcPr>
            <w:tcW w:w="0" w:type="dxa"/>
            <w:vAlign w:val="bottom"/>
          </w:tcPr>
          <w:p>
            <w:pPr>
              <w:spacing w:after="0"/>
              <w:rPr>
                <w:sz w:val="1"/>
                <w:szCs w:val="1"/>
                <w:color w:val="auto"/>
              </w:rPr>
            </w:pPr>
          </w:p>
        </w:tc>
      </w:tr>
      <w:tr>
        <w:trPr>
          <w:trHeight w:val="169"/>
        </w:trPr>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Pr>
          <w:p>
            <w:pPr>
              <w:spacing w:after="0"/>
              <w:rPr>
                <w:sz w:val="14"/>
                <w:szCs w:val="14"/>
                <w:color w:val="auto"/>
              </w:rPr>
            </w:pPr>
          </w:p>
        </w:tc>
        <w:tc>
          <w:tcPr>
            <w:tcW w:w="504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279">
              <w:r>
                <w:rPr>
                  <w:rFonts w:ascii="Arial" w:cs="Arial" w:eastAsia="Arial" w:hAnsi="Arial"/>
                  <w:sz w:val="18"/>
                  <w:szCs w:val="18"/>
                  <w:color w:val="0000FF"/>
                </w:rPr>
                <w:t>Plan</w:t>
              </w:r>
              <w:r>
                <w:rPr>
                  <w:rFonts w:ascii="Arial" w:cs="Arial" w:eastAsia="Arial" w:hAnsi="Arial"/>
                  <w:sz w:val="8"/>
                  <w:szCs w:val="8"/>
                  <w:color w:val="000000"/>
                </w:rPr>
                <w:t>(1)</w:t>
              </w:r>
            </w:hyperlink>
          </w:p>
        </w:tc>
        <w:tc>
          <w:tcPr>
            <w:tcW w:w="2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spacing w:after="0"/>
              <w:rPr>
                <w:rFonts w:ascii="Arial" w:cs="Arial" w:eastAsia="Arial" w:hAnsi="Arial"/>
                <w:sz w:val="18"/>
                <w:szCs w:val="18"/>
                <w:color w:val="0000FF"/>
                <w:w w:val="97"/>
              </w:rPr>
            </w:pPr>
            <w:hyperlink r:id="rId174">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12</w:t>
              </w:r>
            </w:hyperlink>
          </w:p>
        </w:tc>
        <w:tc>
          <w:tcPr>
            <w:tcW w:w="62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FF"/>
              </w:rPr>
            </w:pPr>
            <w:hyperlink r:id="rId174">
              <w:r>
                <w:rPr>
                  <w:rFonts w:ascii="Arial" w:cs="Arial" w:eastAsia="Arial" w:hAnsi="Arial"/>
                  <w:sz w:val="18"/>
                  <w:szCs w:val="18"/>
                  <w:color w:val="0000FF"/>
                </w:rPr>
                <w:t>Form of Restricted Stock Unit Award under the 2002 Lilly Stock</w:t>
              </w:r>
            </w:hyperlink>
          </w:p>
        </w:tc>
        <w:tc>
          <w:tcPr>
            <w:tcW w:w="0" w:type="dxa"/>
            <w:vAlign w:val="bottom"/>
          </w:tcPr>
          <w:p>
            <w:pPr>
              <w:spacing w:after="0"/>
              <w:rPr>
                <w:sz w:val="1"/>
                <w:szCs w:val="1"/>
                <w:color w:val="auto"/>
              </w:rPr>
            </w:pPr>
          </w:p>
        </w:tc>
      </w:tr>
      <w:tr>
        <w:trPr>
          <w:trHeight w:val="169"/>
        </w:trPr>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Pr>
          <w:p>
            <w:pPr>
              <w:spacing w:after="0"/>
              <w:rPr>
                <w:sz w:val="14"/>
                <w:szCs w:val="14"/>
                <w:color w:val="auto"/>
              </w:rPr>
            </w:pPr>
          </w:p>
        </w:tc>
        <w:tc>
          <w:tcPr>
            <w:tcW w:w="504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74">
              <w:r>
                <w:rPr>
                  <w:rFonts w:ascii="Arial" w:cs="Arial" w:eastAsia="Arial" w:hAnsi="Arial"/>
                  <w:sz w:val="18"/>
                  <w:szCs w:val="18"/>
                  <w:color w:val="0000FF"/>
                </w:rPr>
                <w:t>Plan (with non-compete)</w:t>
              </w:r>
              <w:r>
                <w:rPr>
                  <w:rFonts w:ascii="Arial" w:cs="Arial" w:eastAsia="Arial" w:hAnsi="Arial"/>
                  <w:sz w:val="8"/>
                  <w:szCs w:val="8"/>
                  <w:color w:val="000000"/>
                </w:rPr>
                <w:t>(1)</w:t>
              </w:r>
            </w:hyperlink>
          </w:p>
        </w:tc>
        <w:tc>
          <w:tcPr>
            <w:tcW w:w="2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restart"/>
          </w:tcPr>
          <w:p>
            <w:pPr>
              <w:spacing w:after="0"/>
              <w:rPr>
                <w:rFonts w:ascii="Arial" w:cs="Arial" w:eastAsia="Arial" w:hAnsi="Arial"/>
                <w:sz w:val="18"/>
                <w:szCs w:val="18"/>
                <w:color w:val="0000FF"/>
                <w:w w:val="97"/>
              </w:rPr>
            </w:pPr>
            <w:hyperlink r:id="rId175">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13</w:t>
              </w:r>
            </w:hyperlink>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60" w:type="dxa"/>
            <w:vAlign w:val="bottom"/>
            <w:tcBorders>
              <w:bottom w:val="single" w:sz="8" w:color="0000FF"/>
            </w:tcBorders>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5260" w:type="dxa"/>
            <w:vAlign w:val="bottom"/>
            <w:gridSpan w:val="23"/>
            <w:vMerge w:val="restart"/>
          </w:tcPr>
          <w:p>
            <w:pPr>
              <w:spacing w:after="0"/>
              <w:rPr>
                <w:rFonts w:ascii="Arial" w:cs="Arial" w:eastAsia="Arial" w:hAnsi="Arial"/>
                <w:sz w:val="18"/>
                <w:szCs w:val="18"/>
                <w:color w:val="0000FF"/>
              </w:rPr>
            </w:pPr>
            <w:hyperlink r:id="rId175">
              <w:r>
                <w:rPr>
                  <w:rFonts w:ascii="Arial" w:cs="Arial" w:eastAsia="Arial" w:hAnsi="Arial"/>
                  <w:sz w:val="18"/>
                  <w:szCs w:val="18"/>
                  <w:color w:val="0000FF"/>
                </w:rPr>
                <w:t>Release Agreement, effective as of February 9, 2021, by and</w:t>
              </w:r>
            </w:hyperlink>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6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0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between Eli Lilly and Company and Joshua L. Smiley</w:t>
              </w:r>
              <w:r>
                <w:rPr>
                  <w:rFonts w:ascii="Arial" w:cs="Arial" w:eastAsia="Arial" w:hAnsi="Arial"/>
                  <w:sz w:val="8"/>
                  <w:szCs w:val="8"/>
                  <w:color w:val="000000"/>
                </w:rPr>
                <w:t>(1)</w:t>
              </w:r>
            </w:hyperlink>
          </w:p>
        </w:tc>
        <w:tc>
          <w:tcPr>
            <w:tcW w:w="3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gridSpan w:val="7"/>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spacing w:after="0"/>
              <w:rPr>
                <w:rFonts w:ascii="Arial" w:cs="Arial" w:eastAsia="Arial" w:hAnsi="Arial"/>
                <w:sz w:val="18"/>
                <w:szCs w:val="18"/>
                <w:color w:val="0000FF"/>
                <w:w w:val="97"/>
              </w:rPr>
            </w:pPr>
            <w:hyperlink r:id="rId176">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14</w:t>
              </w:r>
            </w:hyperlink>
          </w:p>
        </w:tc>
        <w:tc>
          <w:tcPr>
            <w:tcW w:w="62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FF"/>
              </w:rPr>
            </w:pPr>
            <w:hyperlink r:id="rId176">
              <w:r>
                <w:rPr>
                  <w:rFonts w:ascii="Arial" w:cs="Arial" w:eastAsia="Arial" w:hAnsi="Arial"/>
                  <w:sz w:val="18"/>
                  <w:szCs w:val="18"/>
                  <w:color w:val="0000FF"/>
                </w:rPr>
                <w:t>The Lilly Deferred Compensation Plan, as amended</w:t>
              </w:r>
            </w:hyperlink>
            <w:r>
              <w:rPr>
                <w:rFonts w:ascii="Arial" w:cs="Arial" w:eastAsia="Arial" w:hAnsi="Arial"/>
                <w:sz w:val="8"/>
                <w:szCs w:val="8"/>
                <w:color w:val="000000"/>
              </w:rPr>
              <w:t>(1)</w:t>
            </w:r>
          </w:p>
        </w:tc>
        <w:tc>
          <w:tcPr>
            <w:tcW w:w="0" w:type="dxa"/>
            <w:vAlign w:val="bottom"/>
          </w:tcPr>
          <w:p>
            <w:pPr>
              <w:spacing w:after="0"/>
              <w:rPr>
                <w:sz w:val="1"/>
                <w:szCs w:val="1"/>
                <w:color w:val="auto"/>
              </w:rPr>
            </w:pPr>
          </w:p>
        </w:tc>
      </w:tr>
      <w:tr>
        <w:trPr>
          <w:trHeight w:val="615"/>
        </w:trPr>
        <w:tc>
          <w:tcPr>
            <w:tcW w:w="460" w:type="dxa"/>
            <w:vAlign w:val="bottom"/>
            <w:tcBorders>
              <w:top w:val="single" w:sz="8" w:color="0000FF"/>
            </w:tcBorders>
            <w:gridSpan w:val="3"/>
          </w:tcPr>
          <w:p>
            <w:pPr>
              <w:spacing w:after="0"/>
              <w:rPr>
                <w:rFonts w:ascii="Arial" w:cs="Arial" w:eastAsia="Arial" w:hAnsi="Arial"/>
                <w:sz w:val="18"/>
                <w:szCs w:val="18"/>
                <w:color w:val="0000FF"/>
                <w:w w:val="97"/>
              </w:rPr>
            </w:pPr>
            <w:hyperlink r:id="rId177">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15</w:t>
              </w:r>
            </w:hyperlink>
          </w:p>
        </w:tc>
        <w:tc>
          <w:tcPr>
            <w:tcW w:w="620" w:type="dxa"/>
            <w:vAlign w:val="bottom"/>
          </w:tcPr>
          <w:p>
            <w:pPr>
              <w:spacing w:after="0"/>
              <w:rPr>
                <w:sz w:val="24"/>
                <w:szCs w:val="24"/>
                <w:color w:val="auto"/>
              </w:rPr>
            </w:pPr>
          </w:p>
        </w:tc>
        <w:tc>
          <w:tcPr>
            <w:tcW w:w="4140" w:type="dxa"/>
            <w:vAlign w:val="bottom"/>
            <w:tcBorders>
              <w:top w:val="single" w:sz="8" w:color="0000FF"/>
            </w:tcBorders>
            <w:gridSpan w:val="11"/>
          </w:tcPr>
          <w:p>
            <w:pPr>
              <w:spacing w:after="0"/>
              <w:rPr>
                <w:rFonts w:ascii="Arial" w:cs="Arial" w:eastAsia="Arial" w:hAnsi="Arial"/>
                <w:sz w:val="18"/>
                <w:szCs w:val="18"/>
                <w:color w:val="0000FF"/>
              </w:rPr>
            </w:pPr>
            <w:hyperlink r:id="rId177">
              <w:r>
                <w:rPr>
                  <w:rFonts w:ascii="Arial" w:cs="Arial" w:eastAsia="Arial" w:hAnsi="Arial"/>
                  <w:sz w:val="18"/>
                  <w:szCs w:val="18"/>
                  <w:color w:val="0000FF"/>
                </w:rPr>
                <w:t>The Lilly Directors' Deferral Plan, as amended</w:t>
              </w:r>
            </w:hyperlink>
            <w:r>
              <w:rPr>
                <w:rFonts w:ascii="Arial" w:cs="Arial" w:eastAsia="Arial" w:hAnsi="Arial"/>
                <w:sz w:val="8"/>
                <w:szCs w:val="8"/>
                <w:color w:val="000000"/>
              </w:rPr>
              <w:t>(1)</w:t>
            </w:r>
          </w:p>
        </w:tc>
        <w:tc>
          <w:tcPr>
            <w:tcW w:w="11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gridSpan w:val="7"/>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60" w:type="dxa"/>
            <w:vAlign w:val="bottom"/>
            <w:gridSpan w:val="3"/>
          </w:tcPr>
          <w:p>
            <w:pPr>
              <w:spacing w:after="0"/>
              <w:rPr>
                <w:rFonts w:ascii="Arial" w:cs="Arial" w:eastAsia="Arial" w:hAnsi="Arial"/>
                <w:sz w:val="18"/>
                <w:szCs w:val="18"/>
                <w:color w:val="0000FF"/>
                <w:w w:val="97"/>
              </w:rPr>
            </w:pPr>
            <w:hyperlink r:id="rId178">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16</w:t>
              </w:r>
            </w:hyperlink>
          </w:p>
        </w:tc>
        <w:tc>
          <w:tcPr>
            <w:tcW w:w="620" w:type="dxa"/>
            <w:vAlign w:val="bottom"/>
          </w:tcPr>
          <w:p>
            <w:pPr>
              <w:spacing w:after="0"/>
              <w:rPr>
                <w:sz w:val="24"/>
                <w:szCs w:val="24"/>
                <w:color w:val="auto"/>
              </w:rPr>
            </w:pPr>
          </w:p>
        </w:tc>
        <w:tc>
          <w:tcPr>
            <w:tcW w:w="5260" w:type="dxa"/>
            <w:vAlign w:val="bottom"/>
            <w:gridSpan w:val="23"/>
          </w:tcPr>
          <w:p>
            <w:pPr>
              <w:spacing w:after="0"/>
              <w:rPr>
                <w:rFonts w:ascii="Arial" w:cs="Arial" w:eastAsia="Arial" w:hAnsi="Arial"/>
                <w:sz w:val="18"/>
                <w:szCs w:val="18"/>
                <w:color w:val="0000FF"/>
              </w:rPr>
            </w:pPr>
            <w:hyperlink r:id="rId178">
              <w:r>
                <w:rPr>
                  <w:rFonts w:ascii="Arial" w:cs="Arial" w:eastAsia="Arial" w:hAnsi="Arial"/>
                  <w:sz w:val="18"/>
                  <w:szCs w:val="18"/>
                  <w:color w:val="0000FF"/>
                </w:rPr>
                <w:t>The Eli Lilly and Company Bonus Plan, as amended</w:t>
              </w:r>
            </w:hyperlink>
            <w:r>
              <w:rPr>
                <w:rFonts w:ascii="Arial" w:cs="Arial" w:eastAsia="Arial" w:hAnsi="Arial"/>
                <w:sz w:val="8"/>
                <w:szCs w:val="8"/>
                <w:color w:val="000000"/>
              </w:rPr>
              <w:t>(1)</w:t>
            </w:r>
          </w:p>
        </w:tc>
        <w:tc>
          <w:tcPr>
            <w:tcW w:w="0" w:type="dxa"/>
            <w:vAlign w:val="bottom"/>
          </w:tcPr>
          <w:p>
            <w:pPr>
              <w:spacing w:after="0"/>
              <w:rPr>
                <w:sz w:val="1"/>
                <w:szCs w:val="1"/>
                <w:color w:val="auto"/>
              </w:rPr>
            </w:pPr>
          </w:p>
        </w:tc>
      </w:tr>
      <w:tr>
        <w:trPr>
          <w:trHeight w:val="615"/>
        </w:trPr>
        <w:tc>
          <w:tcPr>
            <w:tcW w:w="460" w:type="dxa"/>
            <w:vAlign w:val="bottom"/>
            <w:tcBorders>
              <w:top w:val="single" w:sz="8" w:color="0000FF"/>
            </w:tcBorders>
            <w:gridSpan w:val="3"/>
          </w:tcPr>
          <w:p>
            <w:pPr>
              <w:spacing w:after="0"/>
              <w:rPr>
                <w:rFonts w:ascii="Arial" w:cs="Arial" w:eastAsia="Arial" w:hAnsi="Arial"/>
                <w:sz w:val="18"/>
                <w:szCs w:val="18"/>
                <w:color w:val="0000FF"/>
                <w:w w:val="97"/>
              </w:rPr>
            </w:pPr>
            <w:hyperlink w:anchor="page293">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17</w:t>
              </w:r>
            </w:hyperlink>
          </w:p>
        </w:tc>
        <w:tc>
          <w:tcPr>
            <w:tcW w:w="620" w:type="dxa"/>
            <w:vAlign w:val="bottom"/>
          </w:tcPr>
          <w:p>
            <w:pPr>
              <w:spacing w:after="0"/>
              <w:rPr>
                <w:sz w:val="24"/>
                <w:szCs w:val="24"/>
                <w:color w:val="auto"/>
              </w:rPr>
            </w:pPr>
          </w:p>
        </w:tc>
        <w:tc>
          <w:tcPr>
            <w:tcW w:w="4160" w:type="dxa"/>
            <w:vAlign w:val="bottom"/>
            <w:tcBorders>
              <w:top w:val="single" w:sz="8" w:color="0000FF"/>
            </w:tcBorders>
            <w:gridSpan w:val="12"/>
          </w:tcPr>
          <w:p>
            <w:pPr>
              <w:spacing w:after="0"/>
              <w:rPr>
                <w:rFonts w:ascii="Arial" w:cs="Arial" w:eastAsia="Arial" w:hAnsi="Arial"/>
                <w:sz w:val="18"/>
                <w:szCs w:val="18"/>
                <w:color w:val="0000FF"/>
              </w:rPr>
            </w:pPr>
            <w:hyperlink w:anchor="page293">
              <w:r>
                <w:rPr>
                  <w:rFonts w:ascii="Arial" w:cs="Arial" w:eastAsia="Arial" w:hAnsi="Arial"/>
                  <w:sz w:val="18"/>
                  <w:szCs w:val="18"/>
                  <w:color w:val="0000FF"/>
                </w:rPr>
                <w:t>The Loxo Oncology, Inc. Bonus Plan</w:t>
              </w:r>
              <w:r>
                <w:rPr>
                  <w:rFonts w:ascii="Arial" w:cs="Arial" w:eastAsia="Arial" w:hAnsi="Arial"/>
                  <w:sz w:val="8"/>
                  <w:szCs w:val="8"/>
                  <w:color w:val="0000FF"/>
                </w:rPr>
                <w:t>(1)</w:t>
              </w:r>
            </w:hyperlink>
          </w:p>
        </w:tc>
        <w:tc>
          <w:tcPr>
            <w:tcW w:w="11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340"/>
        <w:spacing w:after="0" w:line="219"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Incorporated by reference to Exhibit 4.7 to the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ended December 31, 2019</w:t>
        </w:r>
      </w:hyperlink>
    </w:p>
    <w:p>
      <w:pPr>
        <w:spacing w:after="0" w:line="6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Attached</w:t>
        </w:r>
      </w:hyperlink>
    </w:p>
    <w:p>
      <w:pPr>
        <w:spacing w:after="0" w:line="77" w:lineRule="exact"/>
        <w:rPr>
          <w:rFonts w:ascii="Arial" w:cs="Arial" w:eastAsia="Arial" w:hAnsi="Arial"/>
          <w:sz w:val="18"/>
          <w:szCs w:val="18"/>
          <w:u w:val="single" w:color="auto"/>
          <w:color w:val="0000FF"/>
        </w:rPr>
      </w:pPr>
    </w:p>
    <w:p>
      <w:pPr>
        <w:ind w:right="540"/>
        <w:spacing w:after="0" w:line="219"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Incorporated by reference to Exhibit 10.1 to the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Company's Quarterly Report on Form 10-Q for the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quarter ended June 30, 2018</w:t>
        </w:r>
      </w:hyperlink>
    </w:p>
    <w:p>
      <w:pPr>
        <w:spacing w:after="0" w:line="6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Attached</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79">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06">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21">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35">
        <w:r>
          <w:rPr>
            <w:rFonts w:ascii="Arial" w:cs="Arial" w:eastAsia="Arial" w:hAnsi="Arial"/>
            <w:sz w:val="18"/>
            <w:szCs w:val="18"/>
            <w:u w:val="single" w:color="auto"/>
            <w:color w:val="0000FF"/>
          </w:rPr>
          <w:t>Attached</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49">
        <w:r>
          <w:rPr>
            <w:rFonts w:ascii="Arial" w:cs="Arial" w:eastAsia="Arial" w:hAnsi="Arial"/>
            <w:sz w:val="18"/>
            <w:szCs w:val="18"/>
            <w:u w:val="single" w:color="auto"/>
            <w:color w:val="0000FF"/>
          </w:rPr>
          <w:t>Attached</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65">
        <w:r>
          <w:rPr>
            <w:rFonts w:ascii="Arial" w:cs="Arial" w:eastAsia="Arial" w:hAnsi="Arial"/>
            <w:sz w:val="18"/>
            <w:szCs w:val="18"/>
            <w:u w:val="single" w:color="auto"/>
            <w:color w:val="0000FF"/>
          </w:rPr>
          <w:t>Attached</w:t>
        </w:r>
      </w:hyperlink>
    </w:p>
    <w:p>
      <w:pPr>
        <w:spacing w:after="0" w:line="279"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79">
        <w:r>
          <w:rPr>
            <w:rFonts w:ascii="Arial" w:cs="Arial" w:eastAsia="Arial" w:hAnsi="Arial"/>
            <w:sz w:val="18"/>
            <w:szCs w:val="18"/>
            <w:u w:val="single" w:color="auto"/>
            <w:color w:val="0000FF"/>
          </w:rPr>
          <w:t>Attached</w:t>
        </w:r>
      </w:hyperlink>
    </w:p>
    <w:p>
      <w:pPr>
        <w:spacing w:after="0" w:line="279" w:lineRule="exact"/>
        <w:rPr>
          <w:rFonts w:ascii="Arial" w:cs="Arial" w:eastAsia="Arial" w:hAnsi="Arial"/>
          <w:sz w:val="18"/>
          <w:szCs w:val="18"/>
          <w:u w:val="single" w:color="auto"/>
          <w:color w:val="0000FF"/>
        </w:rPr>
      </w:pPr>
    </w:p>
    <w:p>
      <w:pPr>
        <w:ind w:right="540"/>
        <w:spacing w:after="0" w:line="219" w:lineRule="auto"/>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Incorporated by reference to Exhibit 10.1 to the</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Company's Quarterly Report on Form 10-Q for the</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quarter ended March 31, 2021</w:t>
        </w:r>
      </w:hyperlink>
    </w:p>
    <w:p>
      <w:pPr>
        <w:spacing w:after="0" w:line="68" w:lineRule="exact"/>
        <w:rPr>
          <w:rFonts w:ascii="Arial" w:cs="Arial" w:eastAsia="Arial" w:hAnsi="Arial"/>
          <w:sz w:val="18"/>
          <w:szCs w:val="18"/>
          <w:u w:val="single" w:color="auto"/>
          <w:color w:val="0000FF"/>
        </w:rPr>
      </w:pPr>
    </w:p>
    <w:p>
      <w:pPr>
        <w:ind w:right="540"/>
        <w:spacing w:after="0" w:line="219" w:lineRule="auto"/>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Incorporated by reference to Exhibit 10.2 to the</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Company's Quarterly Report on Form 10-Q for the</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quarter ended March 31, 2021</w:t>
        </w:r>
      </w:hyperlink>
    </w:p>
    <w:p>
      <w:pPr>
        <w:spacing w:after="0" w:line="68" w:lineRule="exact"/>
        <w:rPr>
          <w:rFonts w:ascii="Arial" w:cs="Arial" w:eastAsia="Arial" w:hAnsi="Arial"/>
          <w:sz w:val="18"/>
          <w:szCs w:val="18"/>
          <w:u w:val="single" w:color="auto"/>
          <w:color w:val="0000FF"/>
        </w:rPr>
      </w:pPr>
    </w:p>
    <w:p>
      <w:pPr>
        <w:ind w:right="440"/>
        <w:spacing w:after="0" w:line="219"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Incorporated by reference to Exhibit 10.5 to the</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ended December 31, 2013</w:t>
        </w:r>
      </w:hyperlink>
    </w:p>
    <w:p>
      <w:pPr>
        <w:spacing w:after="0" w:line="68"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Incorporated by reference to Exhibit 10 to the Company's</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Quarterly Report on Form 10-Q for the quarter ended</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June 30, 2017</w:t>
        </w:r>
      </w:hyperlink>
    </w:p>
    <w:p>
      <w:pPr>
        <w:spacing w:after="0" w:line="68" w:lineRule="exact"/>
        <w:rPr>
          <w:rFonts w:ascii="Arial" w:cs="Arial" w:eastAsia="Arial" w:hAnsi="Arial"/>
          <w:sz w:val="18"/>
          <w:szCs w:val="18"/>
          <w:u w:val="single" w:color="auto"/>
          <w:color w:val="0000FF"/>
        </w:rPr>
      </w:pPr>
    </w:p>
    <w:p>
      <w:pPr>
        <w:ind w:right="340"/>
        <w:spacing w:after="0" w:line="219"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Incorporated by reference to Exhibit 10.14 to the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ended December 31, 2020</w:t>
        </w:r>
      </w:hyperlink>
    </w:p>
    <w:p>
      <w:pPr>
        <w:spacing w:after="0" w:line="6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93">
        <w:r>
          <w:rPr>
            <w:rFonts w:ascii="Arial" w:cs="Arial" w:eastAsia="Arial" w:hAnsi="Arial"/>
            <w:sz w:val="18"/>
            <w:szCs w:val="18"/>
            <w:u w:val="single" w:color="auto"/>
            <w:color w:val="0000FF"/>
          </w:rPr>
          <w:t>Attached</w:t>
        </w:r>
      </w:hyperlink>
    </w:p>
    <w:p>
      <w:pPr>
        <w:sectPr>
          <w:pgSz w:w="11900" w:h="16838" w:orient="portrait"/>
          <w:cols w:equalWidth="0" w:num="2">
            <w:col w:w="6340" w:space="320"/>
            <w:col w:w="4540"/>
          </w:cols>
          <w:pgMar w:left="320" w:top="1296" w:right="379" w:bottom="1440" w:gutter="0" w:footer="0" w:header="0"/>
        </w:sectPr>
      </w:pPr>
    </w:p>
    <w:bookmarkStart w:id="122" w:name="page123"/>
    <w:bookmarkEnd w:id="122"/>
    <w:p>
      <w:pPr>
        <w:ind w:left="1100" w:right="440" w:hanging="1079"/>
        <w:spacing w:after="0" w:line="227" w:lineRule="auto"/>
        <w:tabs>
          <w:tab w:leader="none" w:pos="1080" w:val="left"/>
        </w:tabs>
        <w:rPr>
          <w:rFonts w:ascii="Arial" w:cs="Arial" w:eastAsia="Arial" w:hAnsi="Arial"/>
          <w:sz w:val="18"/>
          <w:szCs w:val="18"/>
          <w:color w:val="0000FF"/>
        </w:rPr>
      </w:pPr>
      <w:hyperlink r:id="rId180">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180">
        <w:r>
          <w:rPr>
            <w:rFonts w:ascii="Arial" w:cs="Arial" w:eastAsia="Arial" w:hAnsi="Arial"/>
            <w:sz w:val="18"/>
            <w:szCs w:val="18"/>
            <w:u w:val="single" w:color="auto"/>
            <w:color w:val="0000FF"/>
          </w:rPr>
          <w:t>2007 Change in Control Severance Pay Plan for Select</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Employees, as amended</w:t>
        </w:r>
        <w:r>
          <w:rPr>
            <w:rFonts w:ascii="Arial" w:cs="Arial" w:eastAsia="Arial" w:hAnsi="Arial"/>
            <w:sz w:val="8"/>
            <w:szCs w:val="8"/>
            <w:color w:val="000000"/>
          </w:rPr>
          <w:t>(1)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380"/>
        <w:spacing w:after="0" w:line="219"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Incorporated by reference to Exhibit 10.15 to the</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Company's Annual Report on Form 10-K for the year</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ended December 31, 2020</w:t>
        </w:r>
      </w:hyperlink>
    </w:p>
    <w:p>
      <w:pPr>
        <w:spacing w:after="0" w:line="37" w:lineRule="exact"/>
        <w:rPr>
          <w:rFonts w:ascii="Arial" w:cs="Arial" w:eastAsia="Arial" w:hAnsi="Arial"/>
          <w:sz w:val="18"/>
          <w:szCs w:val="18"/>
          <w:u w:val="single" w:color="auto"/>
          <w:color w:val="0000FF"/>
        </w:rPr>
      </w:pPr>
    </w:p>
    <w:p>
      <w:pPr>
        <w:sectPr>
          <w:pgSz w:w="11900" w:h="16838" w:orient="portrait"/>
          <w:cols w:equalWidth="0" w:num="2">
            <w:col w:w="5940" w:space="720"/>
            <w:col w:w="4580"/>
          </w:cols>
          <w:pgMar w:left="320" w:top="1327"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200" w:type="dxa"/>
            <w:vAlign w:val="bottom"/>
          </w:tcPr>
          <w:p>
            <w:pPr>
              <w:spacing w:after="0"/>
              <w:rPr>
                <w:rFonts w:ascii="Arial" w:cs="Arial" w:eastAsia="Arial" w:hAnsi="Arial"/>
                <w:sz w:val="18"/>
                <w:szCs w:val="18"/>
                <w:color w:val="0000FF"/>
                <w:w w:val="89"/>
              </w:rPr>
            </w:pPr>
            <w:hyperlink w:anchor="page307">
              <w:r>
                <w:rPr>
                  <w:rFonts w:ascii="Arial" w:cs="Arial" w:eastAsia="Arial" w:hAnsi="Arial"/>
                  <w:sz w:val="18"/>
                  <w:szCs w:val="18"/>
                  <w:color w:val="0000FF"/>
                  <w:w w:val="89"/>
                </w:rPr>
                <w:t>21</w:t>
              </w:r>
            </w:hyperlink>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rFonts w:ascii="Arial" w:cs="Arial" w:eastAsia="Arial" w:hAnsi="Arial"/>
                <w:sz w:val="18"/>
                <w:szCs w:val="18"/>
                <w:color w:val="0000FF"/>
                <w:w w:val="99"/>
              </w:rPr>
            </w:pPr>
            <w:hyperlink w:anchor="page307">
              <w:r>
                <w:rPr>
                  <w:rFonts w:ascii="Arial" w:cs="Arial" w:eastAsia="Arial" w:hAnsi="Arial"/>
                  <w:sz w:val="18"/>
                  <w:szCs w:val="18"/>
                  <w:color w:val="0000FF"/>
                  <w:w w:val="99"/>
                </w:rPr>
                <w:t>List of Subsidiaries</w:t>
              </w:r>
            </w:hyperlink>
          </w:p>
        </w:tc>
        <w:tc>
          <w:tcPr>
            <w:tcW w:w="3780" w:type="dxa"/>
            <w:vAlign w:val="bottom"/>
            <w:gridSpan w:val="7"/>
          </w:tcPr>
          <w:p>
            <w:pPr>
              <w:spacing w:after="0"/>
              <w:rPr>
                <w:sz w:val="17"/>
                <w:szCs w:val="17"/>
                <w:color w:val="auto"/>
              </w:rPr>
            </w:pPr>
          </w:p>
        </w:tc>
        <w:tc>
          <w:tcPr>
            <w:tcW w:w="960" w:type="dxa"/>
            <w:vAlign w:val="bottom"/>
            <w:gridSpan w:val="2"/>
          </w:tcPr>
          <w:p>
            <w:pPr>
              <w:ind w:left="260"/>
              <w:spacing w:after="0"/>
              <w:rPr>
                <w:rFonts w:ascii="Arial" w:cs="Arial" w:eastAsia="Arial" w:hAnsi="Arial"/>
                <w:sz w:val="18"/>
                <w:szCs w:val="18"/>
                <w:color w:val="0000FF"/>
                <w:w w:val="95"/>
              </w:rPr>
            </w:pPr>
            <w:hyperlink w:anchor="page307">
              <w:r>
                <w:rPr>
                  <w:rFonts w:ascii="Arial" w:cs="Arial" w:eastAsia="Arial" w:hAnsi="Arial"/>
                  <w:sz w:val="18"/>
                  <w:szCs w:val="18"/>
                  <w:color w:val="0000FF"/>
                  <w:w w:val="95"/>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r>
      <w:tr>
        <w:trPr>
          <w:trHeight w:val="264"/>
        </w:trPr>
        <w:tc>
          <w:tcPr>
            <w:tcW w:w="200" w:type="dxa"/>
            <w:vAlign w:val="bottom"/>
            <w:tcBorders>
              <w:bottom w:val="single" w:sz="8" w:color="0000FF"/>
            </w:tcBorders>
          </w:tcPr>
          <w:p>
            <w:pPr>
              <w:spacing w:after="0"/>
              <w:rPr>
                <w:rFonts w:ascii="Arial" w:cs="Arial" w:eastAsia="Arial" w:hAnsi="Arial"/>
                <w:sz w:val="18"/>
                <w:szCs w:val="18"/>
                <w:color w:val="0000FF"/>
                <w:w w:val="89"/>
              </w:rPr>
            </w:pPr>
            <w:hyperlink w:anchor="page310">
              <w:r>
                <w:rPr>
                  <w:rFonts w:ascii="Arial" w:cs="Arial" w:eastAsia="Arial" w:hAnsi="Arial"/>
                  <w:sz w:val="18"/>
                  <w:szCs w:val="18"/>
                  <w:color w:val="0000FF"/>
                  <w:w w:val="89"/>
                </w:rPr>
                <w:t>23</w:t>
              </w:r>
            </w:hyperlink>
          </w:p>
        </w:tc>
        <w:tc>
          <w:tcPr>
            <w:tcW w:w="160" w:type="dxa"/>
            <w:vAlign w:val="bottom"/>
            <w:tcBorders>
              <w:bottom w:val="single" w:sz="8" w:color="0000FF"/>
            </w:tcBorders>
          </w:tcPr>
          <w:p>
            <w:pPr>
              <w:spacing w:after="0"/>
              <w:rPr>
                <w:sz w:val="22"/>
                <w:szCs w:val="22"/>
                <w:color w:val="auto"/>
              </w:rPr>
            </w:pPr>
          </w:p>
        </w:tc>
        <w:tc>
          <w:tcPr>
            <w:tcW w:w="720" w:type="dxa"/>
            <w:vAlign w:val="bottom"/>
          </w:tcPr>
          <w:p>
            <w:pPr>
              <w:spacing w:after="0"/>
              <w:rPr>
                <w:sz w:val="22"/>
                <w:szCs w:val="22"/>
                <w:color w:val="auto"/>
              </w:rPr>
            </w:pPr>
          </w:p>
        </w:tc>
        <w:tc>
          <w:tcPr>
            <w:tcW w:w="474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310">
              <w:r>
                <w:rPr>
                  <w:rFonts w:ascii="Arial" w:cs="Arial" w:eastAsia="Arial" w:hAnsi="Arial"/>
                  <w:sz w:val="18"/>
                  <w:szCs w:val="18"/>
                  <w:color w:val="0000FF"/>
                  <w:w w:val="99"/>
                </w:rPr>
                <w:t>Consent of Independent Registered Public Accounting Firm</w:t>
              </w:r>
            </w:hyperlink>
          </w:p>
        </w:tc>
        <w:tc>
          <w:tcPr>
            <w:tcW w:w="560" w:type="dxa"/>
            <w:vAlign w:val="bottom"/>
            <w:gridSpan w:val="2"/>
          </w:tcPr>
          <w:p>
            <w:pPr>
              <w:spacing w:after="0"/>
              <w:rPr>
                <w:sz w:val="22"/>
                <w:szCs w:val="22"/>
                <w:color w:val="auto"/>
              </w:rPr>
            </w:pPr>
          </w:p>
        </w:tc>
        <w:tc>
          <w:tcPr>
            <w:tcW w:w="960" w:type="dxa"/>
            <w:vAlign w:val="bottom"/>
            <w:gridSpan w:val="2"/>
          </w:tcPr>
          <w:p>
            <w:pPr>
              <w:ind w:left="260"/>
              <w:spacing w:after="0"/>
              <w:rPr>
                <w:rFonts w:ascii="Arial" w:cs="Arial" w:eastAsia="Arial" w:hAnsi="Arial"/>
                <w:sz w:val="18"/>
                <w:szCs w:val="18"/>
                <w:color w:val="0000FF"/>
                <w:w w:val="95"/>
              </w:rPr>
            </w:pPr>
            <w:hyperlink w:anchor="page310">
              <w:r>
                <w:rPr>
                  <w:rFonts w:ascii="Arial" w:cs="Arial" w:eastAsia="Arial" w:hAnsi="Arial"/>
                  <w:sz w:val="18"/>
                  <w:szCs w:val="18"/>
                  <w:color w:val="0000FF"/>
                  <w:w w:val="95"/>
                </w:rPr>
                <w:t>Attached</w:t>
              </w:r>
            </w:hyperlink>
          </w:p>
        </w:tc>
      </w:tr>
      <w:tr>
        <w:trPr>
          <w:trHeight w:val="263"/>
        </w:trPr>
        <w:tc>
          <w:tcPr>
            <w:tcW w:w="1080" w:type="dxa"/>
            <w:vAlign w:val="bottom"/>
            <w:gridSpan w:val="3"/>
          </w:tcPr>
          <w:p>
            <w:pPr>
              <w:spacing w:after="0"/>
              <w:rPr>
                <w:rFonts w:ascii="Arial" w:cs="Arial" w:eastAsia="Arial" w:hAnsi="Arial"/>
                <w:sz w:val="18"/>
                <w:szCs w:val="18"/>
                <w:color w:val="0000FF"/>
              </w:rPr>
            </w:pPr>
            <w:hyperlink w:anchor="page31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300" w:type="dxa"/>
            <w:vAlign w:val="bottom"/>
            <w:gridSpan w:val="8"/>
          </w:tcPr>
          <w:p>
            <w:pPr>
              <w:spacing w:after="0"/>
              <w:rPr>
                <w:rFonts w:ascii="Arial" w:cs="Arial" w:eastAsia="Arial" w:hAnsi="Arial"/>
                <w:sz w:val="18"/>
                <w:szCs w:val="18"/>
                <w:color w:val="0000FF"/>
              </w:rPr>
            </w:pPr>
            <w:hyperlink w:anchor="page311">
              <w:r>
                <w:rPr>
                  <w:rFonts w:ascii="Arial" w:cs="Arial" w:eastAsia="Arial" w:hAnsi="Arial"/>
                  <w:sz w:val="18"/>
                  <w:szCs w:val="18"/>
                  <w:color w:val="0000FF"/>
                </w:rPr>
                <w:t>Rule 13a-14(a) Certification of David A. Ricks, Chair, President,</w:t>
              </w:r>
            </w:hyperlink>
          </w:p>
        </w:tc>
        <w:tc>
          <w:tcPr>
            <w:tcW w:w="960" w:type="dxa"/>
            <w:vAlign w:val="bottom"/>
            <w:gridSpan w:val="2"/>
          </w:tcPr>
          <w:p>
            <w:pPr>
              <w:ind w:left="260"/>
              <w:spacing w:after="0"/>
              <w:rPr>
                <w:rFonts w:ascii="Arial" w:cs="Arial" w:eastAsia="Arial" w:hAnsi="Arial"/>
                <w:sz w:val="18"/>
                <w:szCs w:val="18"/>
                <w:color w:val="0000FF"/>
                <w:w w:val="95"/>
              </w:rPr>
            </w:pPr>
            <w:hyperlink w:anchor="page311">
              <w:r>
                <w:rPr>
                  <w:rFonts w:ascii="Arial" w:cs="Arial" w:eastAsia="Arial" w:hAnsi="Arial"/>
                  <w:sz w:val="18"/>
                  <w:szCs w:val="18"/>
                  <w:color w:val="0000FF"/>
                  <w:w w:val="95"/>
                </w:rPr>
                <w:t>Attached</w:t>
              </w:r>
            </w:hyperlink>
          </w:p>
        </w:tc>
      </w:tr>
      <w:tr>
        <w:trPr>
          <w:trHeight w:val="156"/>
        </w:trPr>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50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311">
              <w:r>
                <w:rPr>
                  <w:rFonts w:ascii="Arial" w:cs="Arial" w:eastAsia="Arial" w:hAnsi="Arial"/>
                  <w:sz w:val="18"/>
                  <w:szCs w:val="18"/>
                  <w:color w:val="0000FF"/>
                </w:rPr>
                <w:t>and Chief Executive Officer</w:t>
              </w:r>
            </w:hyperlink>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r>
      <w:tr>
        <w:trPr>
          <w:trHeight w:val="20"/>
        </w:trPr>
        <w:tc>
          <w:tcPr>
            <w:tcW w:w="1080" w:type="dxa"/>
            <w:vAlign w:val="bottom"/>
            <w:gridSpan w:val="3"/>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63"/>
        </w:trPr>
        <w:tc>
          <w:tcPr>
            <w:tcW w:w="1080" w:type="dxa"/>
            <w:vAlign w:val="bottom"/>
            <w:gridSpan w:val="3"/>
          </w:tcPr>
          <w:p>
            <w:pPr>
              <w:spacing w:after="0"/>
              <w:rPr>
                <w:rFonts w:ascii="Arial" w:cs="Arial" w:eastAsia="Arial" w:hAnsi="Arial"/>
                <w:sz w:val="18"/>
                <w:szCs w:val="18"/>
                <w:color w:val="0000FF"/>
              </w:rPr>
            </w:pPr>
            <w:hyperlink w:anchor="page31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300" w:type="dxa"/>
            <w:vAlign w:val="bottom"/>
            <w:gridSpan w:val="8"/>
          </w:tcPr>
          <w:p>
            <w:pPr>
              <w:spacing w:after="0"/>
              <w:rPr>
                <w:rFonts w:ascii="Arial" w:cs="Arial" w:eastAsia="Arial" w:hAnsi="Arial"/>
                <w:sz w:val="18"/>
                <w:szCs w:val="18"/>
                <w:color w:val="0000FF"/>
              </w:rPr>
            </w:pPr>
            <w:hyperlink w:anchor="page312">
              <w:r>
                <w:rPr>
                  <w:rFonts w:ascii="Arial" w:cs="Arial" w:eastAsia="Arial" w:hAnsi="Arial"/>
                  <w:sz w:val="18"/>
                  <w:szCs w:val="18"/>
                  <w:color w:val="0000FF"/>
                </w:rPr>
                <w:t>Rule 13a-14(a) Certification of Anat Ashkenazi, Senior Vice</w:t>
              </w:r>
            </w:hyperlink>
          </w:p>
        </w:tc>
        <w:tc>
          <w:tcPr>
            <w:tcW w:w="960" w:type="dxa"/>
            <w:vAlign w:val="bottom"/>
            <w:gridSpan w:val="2"/>
          </w:tcPr>
          <w:p>
            <w:pPr>
              <w:ind w:left="260"/>
              <w:spacing w:after="0"/>
              <w:rPr>
                <w:rFonts w:ascii="Arial" w:cs="Arial" w:eastAsia="Arial" w:hAnsi="Arial"/>
                <w:sz w:val="18"/>
                <w:szCs w:val="18"/>
                <w:color w:val="0000FF"/>
                <w:w w:val="95"/>
              </w:rPr>
            </w:pPr>
            <w:hyperlink w:anchor="page312">
              <w:r>
                <w:rPr>
                  <w:rFonts w:ascii="Arial" w:cs="Arial" w:eastAsia="Arial" w:hAnsi="Arial"/>
                  <w:sz w:val="18"/>
                  <w:szCs w:val="18"/>
                  <w:color w:val="0000FF"/>
                  <w:w w:val="95"/>
                </w:rPr>
                <w:t>Attached</w:t>
              </w:r>
            </w:hyperlink>
          </w:p>
        </w:tc>
      </w:tr>
      <w:tr>
        <w:trPr>
          <w:trHeight w:val="156"/>
        </w:trPr>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312">
              <w:r>
                <w:rPr>
                  <w:rFonts w:ascii="Arial" w:cs="Arial" w:eastAsia="Arial" w:hAnsi="Arial"/>
                  <w:sz w:val="18"/>
                  <w:szCs w:val="18"/>
                  <w:color w:val="0000FF"/>
                  <w:w w:val="99"/>
                </w:rPr>
                <w:t>President and Chief Financial Officer</w:t>
              </w:r>
            </w:hyperlink>
          </w:p>
        </w:tc>
        <w:tc>
          <w:tcPr>
            <w:tcW w:w="1780" w:type="dxa"/>
            <w:vAlign w:val="bottom"/>
            <w:tcBorders>
              <w:top w:val="single" w:sz="8" w:color="0000FF"/>
            </w:tcBorders>
          </w:tcPr>
          <w:p>
            <w:pPr>
              <w:spacing w:after="0"/>
              <w:rPr>
                <w:sz w:val="13"/>
                <w:szCs w:val="13"/>
                <w:color w:val="auto"/>
              </w:rPr>
            </w:pPr>
          </w:p>
        </w:tc>
        <w:tc>
          <w:tcPr>
            <w:tcW w:w="58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r>
      <w:tr>
        <w:trPr>
          <w:trHeight w:val="263"/>
        </w:trPr>
        <w:tc>
          <w:tcPr>
            <w:tcW w:w="200" w:type="dxa"/>
            <w:vAlign w:val="bottom"/>
          </w:tcPr>
          <w:p>
            <w:pPr>
              <w:spacing w:after="0"/>
              <w:rPr>
                <w:rFonts w:ascii="Arial" w:cs="Arial" w:eastAsia="Arial" w:hAnsi="Arial"/>
                <w:sz w:val="18"/>
                <w:szCs w:val="18"/>
                <w:color w:val="0000FF"/>
                <w:w w:val="89"/>
              </w:rPr>
            </w:pPr>
            <w:hyperlink w:anchor="page313">
              <w:r>
                <w:rPr>
                  <w:rFonts w:ascii="Arial" w:cs="Arial" w:eastAsia="Arial" w:hAnsi="Arial"/>
                  <w:sz w:val="18"/>
                  <w:szCs w:val="18"/>
                  <w:color w:val="0000FF"/>
                  <w:w w:val="89"/>
                </w:rPr>
                <w:t>32</w:t>
              </w:r>
            </w:hyperlink>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60" w:type="dxa"/>
            <w:vAlign w:val="bottom"/>
            <w:gridSpan w:val="2"/>
          </w:tcPr>
          <w:p>
            <w:pPr>
              <w:spacing w:after="0"/>
              <w:rPr>
                <w:rFonts w:ascii="Arial" w:cs="Arial" w:eastAsia="Arial" w:hAnsi="Arial"/>
                <w:sz w:val="18"/>
                <w:szCs w:val="18"/>
                <w:color w:val="0000FF"/>
                <w:w w:val="99"/>
              </w:rPr>
            </w:pPr>
            <w:hyperlink w:anchor="page313">
              <w:r>
                <w:rPr>
                  <w:rFonts w:ascii="Arial" w:cs="Arial" w:eastAsia="Arial" w:hAnsi="Arial"/>
                  <w:sz w:val="18"/>
                  <w:szCs w:val="18"/>
                  <w:color w:val="0000FF"/>
                  <w:w w:val="99"/>
                </w:rPr>
                <w:t>Section 1350 Certification</w:t>
              </w:r>
            </w:hyperlink>
          </w:p>
        </w:tc>
        <w:tc>
          <w:tcPr>
            <w:tcW w:w="3240" w:type="dxa"/>
            <w:vAlign w:val="bottom"/>
            <w:gridSpan w:val="6"/>
          </w:tcPr>
          <w:p>
            <w:pPr>
              <w:spacing w:after="0"/>
              <w:rPr>
                <w:sz w:val="22"/>
                <w:szCs w:val="22"/>
                <w:color w:val="auto"/>
              </w:rPr>
            </w:pPr>
          </w:p>
        </w:tc>
        <w:tc>
          <w:tcPr>
            <w:tcW w:w="960" w:type="dxa"/>
            <w:vAlign w:val="bottom"/>
            <w:gridSpan w:val="2"/>
          </w:tcPr>
          <w:p>
            <w:pPr>
              <w:ind w:left="260"/>
              <w:spacing w:after="0"/>
              <w:rPr>
                <w:rFonts w:ascii="Arial" w:cs="Arial" w:eastAsia="Arial" w:hAnsi="Arial"/>
                <w:sz w:val="18"/>
                <w:szCs w:val="18"/>
                <w:color w:val="0000FF"/>
                <w:w w:val="95"/>
              </w:rPr>
            </w:pPr>
            <w:hyperlink w:anchor="page313">
              <w:r>
                <w:rPr>
                  <w:rFonts w:ascii="Arial" w:cs="Arial" w:eastAsia="Arial" w:hAnsi="Arial"/>
                  <w:sz w:val="18"/>
                  <w:szCs w:val="18"/>
                  <w:color w:val="0000FF"/>
                  <w:w w:val="95"/>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r>
      <w:tr>
        <w:trPr>
          <w:trHeight w:val="304"/>
        </w:trPr>
        <w:tc>
          <w:tcPr>
            <w:tcW w:w="360" w:type="dxa"/>
            <w:vAlign w:val="bottom"/>
            <w:gridSpan w:val="2"/>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5300" w:type="dxa"/>
            <w:vAlign w:val="bottom"/>
            <w:gridSpan w:val="8"/>
          </w:tcPr>
          <w:p>
            <w:pPr>
              <w:spacing w:after="0"/>
              <w:rPr>
                <w:sz w:val="20"/>
                <w:szCs w:val="20"/>
                <w:color w:val="auto"/>
              </w:rPr>
            </w:pPr>
            <w:r>
              <w:rPr>
                <w:rFonts w:ascii="Arial" w:cs="Arial" w:eastAsia="Arial" w:hAnsi="Arial"/>
                <w:sz w:val="18"/>
                <w:szCs w:val="18"/>
                <w:color w:val="auto"/>
              </w:rPr>
              <w:t>Interactive Data File</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w w:val="95"/>
              </w:rPr>
              <w:t>Attached</w:t>
            </w:r>
          </w:p>
        </w:tc>
      </w:tr>
      <w:tr>
        <w:trPr>
          <w:trHeight w:val="242"/>
        </w:trPr>
        <w:tc>
          <w:tcPr>
            <w:tcW w:w="360" w:type="dxa"/>
            <w:vAlign w:val="bottom"/>
            <w:gridSpan w:val="2"/>
          </w:tcPr>
          <w:p>
            <w:pPr>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1"/>
                <w:szCs w:val="21"/>
                <w:color w:val="auto"/>
              </w:rPr>
            </w:pPr>
          </w:p>
        </w:tc>
        <w:tc>
          <w:tcPr>
            <w:tcW w:w="53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in Inline XBRL and</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w w:val="95"/>
              </w:rPr>
              <w:t>Attached</w:t>
            </w:r>
          </w:p>
        </w:tc>
      </w:tr>
      <w:tr>
        <w:trPr>
          <w:trHeight w:val="217"/>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00" w:type="dxa"/>
            <w:vAlign w:val="bottom"/>
            <w:gridSpan w:val="8"/>
          </w:tcPr>
          <w:p>
            <w:pPr>
              <w:spacing w:after="0"/>
              <w:rPr>
                <w:sz w:val="20"/>
                <w:szCs w:val="20"/>
                <w:color w:val="auto"/>
              </w:rPr>
            </w:pPr>
            <w:r>
              <w:rPr>
                <w:rFonts w:ascii="Arial" w:cs="Arial" w:eastAsia="Arial" w:hAnsi="Arial"/>
                <w:sz w:val="18"/>
                <w:szCs w:val="18"/>
                <w:color w:val="auto"/>
              </w:rPr>
              <w:t>contained in Exhibit 101)</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99" w:lineRule="exact"/>
        <w:rPr>
          <w:sz w:val="20"/>
          <w:szCs w:val="20"/>
          <w:color w:val="auto"/>
        </w:rPr>
      </w:pPr>
    </w:p>
    <w:p>
      <w:pPr>
        <w:ind w:left="160" w:hanging="152"/>
        <w:spacing w:after="0"/>
        <w:tabs>
          <w:tab w:leader="none" w:pos="160" w:val="left"/>
        </w:tabs>
        <w:numPr>
          <w:ilvl w:val="0"/>
          <w:numId w:val="57"/>
        </w:numPr>
        <w:rPr>
          <w:rFonts w:ascii="Arial" w:cs="Arial" w:eastAsia="Arial" w:hAnsi="Arial"/>
          <w:sz w:val="9"/>
          <w:szCs w:val="9"/>
          <w:color w:val="auto"/>
        </w:rPr>
      </w:pP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Item 16. Form 10-K Summary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 Lilly and Company</w:t>
      </w:r>
    </w:p>
    <w:p>
      <w:pPr>
        <w:spacing w:after="0" w:line="252" w:lineRule="exact"/>
        <w:rPr>
          <w:sz w:val="20"/>
          <w:szCs w:val="20"/>
          <w:color w:val="auto"/>
        </w:rPr>
      </w:pPr>
    </w:p>
    <w:p>
      <w:pPr>
        <w:ind w:left="20"/>
        <w:spacing w:after="0"/>
        <w:tabs>
          <w:tab w:leader="none" w:pos="620" w:val="left"/>
          <w:tab w:leader="none" w:pos="100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tab/>
        <w:t>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17780</wp:posOffset>
            </wp:positionV>
            <wp:extent cx="39001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David A. Ricks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18" w:right="439" w:bottom="1440" w:gutter="0" w:footer="0" w:header="0"/>
        </w:sectPr>
      </w:pPr>
    </w:p>
    <w:bookmarkStart w:id="124" w:name="page125"/>
    <w:bookmarkEnd w:id="124"/>
    <w:p>
      <w:pPr>
        <w:ind w:right="6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23, 2022 by the following persons on behalf of the Registrant and in the capacities indicated.</w:t>
      </w:r>
    </w:p>
    <w:p>
      <w:pPr>
        <w:spacing w:after="0" w:line="104" w:lineRule="exact"/>
        <w:rPr>
          <w:sz w:val="20"/>
          <w:szCs w:val="20"/>
          <w:color w:val="auto"/>
        </w:rPr>
      </w:pPr>
    </w:p>
    <w:p>
      <w:pPr>
        <w:ind w:left="2560"/>
        <w:spacing w:after="0"/>
        <w:tabs>
          <w:tab w:leader="none" w:pos="84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808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ind w:left="2100"/>
              <w:spacing w:after="0"/>
              <w:rPr>
                <w:sz w:val="20"/>
                <w:szCs w:val="20"/>
                <w:color w:val="auto"/>
              </w:rPr>
            </w:pPr>
            <w:r>
              <w:rPr>
                <w:rFonts w:ascii="Arial" w:cs="Arial" w:eastAsia="Arial" w:hAnsi="Arial"/>
                <w:sz w:val="18"/>
                <w:szCs w:val="18"/>
                <w:color w:val="auto"/>
              </w:rPr>
              <w:t>/s/</w:t>
            </w:r>
          </w:p>
        </w:tc>
        <w:tc>
          <w:tcPr>
            <w:tcW w:w="3380" w:type="dxa"/>
            <w:vAlign w:val="bottom"/>
          </w:tcPr>
          <w:p>
            <w:pPr>
              <w:jc w:val="center"/>
              <w:ind w:right="1890"/>
              <w:spacing w:after="0"/>
              <w:rPr>
                <w:sz w:val="20"/>
                <w:szCs w:val="20"/>
                <w:color w:val="auto"/>
              </w:rPr>
            </w:pPr>
            <w:r>
              <w:rPr>
                <w:rFonts w:ascii="Arial" w:cs="Arial" w:eastAsia="Arial" w:hAnsi="Arial"/>
                <w:sz w:val="18"/>
                <w:szCs w:val="18"/>
                <w:color w:val="auto"/>
                <w:w w:val="99"/>
              </w:rPr>
              <w:t>David A. Ricks</w:t>
            </w:r>
          </w:p>
        </w:tc>
      </w:tr>
      <w:tr>
        <w:trPr>
          <w:trHeight w:val="27"/>
        </w:trPr>
        <w:tc>
          <w:tcPr>
            <w:tcW w:w="5760" w:type="dxa"/>
            <w:vAlign w:val="bottom"/>
            <w:tcBorders>
              <w:bottom w:val="single" w:sz="8" w:color="auto"/>
            </w:tcBorders>
            <w:gridSpan w:val="2"/>
          </w:tcPr>
          <w:p>
            <w:pPr>
              <w:spacing w:after="0"/>
              <w:rPr>
                <w:sz w:val="2"/>
                <w:szCs w:val="2"/>
                <w:color w:val="auto"/>
              </w:rPr>
            </w:pPr>
          </w:p>
        </w:tc>
      </w:tr>
      <w:tr>
        <w:trPr>
          <w:trHeight w:val="223"/>
        </w:trPr>
        <w:tc>
          <w:tcPr>
            <w:tcW w:w="5760" w:type="dxa"/>
            <w:vAlign w:val="bottom"/>
            <w:gridSpan w:val="2"/>
          </w:tcPr>
          <w:p>
            <w:pPr>
              <w:ind w:left="2200"/>
              <w:spacing w:after="0"/>
              <w:rPr>
                <w:sz w:val="20"/>
                <w:szCs w:val="20"/>
                <w:color w:val="auto"/>
              </w:rPr>
            </w:pPr>
            <w:r>
              <w:rPr>
                <w:rFonts w:ascii="Arial" w:cs="Arial" w:eastAsia="Arial" w:hAnsi="Arial"/>
                <w:sz w:val="18"/>
                <w:szCs w:val="18"/>
                <w:color w:val="auto"/>
              </w:rPr>
              <w:t>DAVID A. RICKS</w:t>
            </w:r>
          </w:p>
        </w:tc>
      </w:tr>
      <w:tr>
        <w:trPr>
          <w:trHeight w:val="297"/>
        </w:trPr>
        <w:tc>
          <w:tcPr>
            <w:tcW w:w="2380" w:type="dxa"/>
            <w:vAlign w:val="bottom"/>
          </w:tcPr>
          <w:p>
            <w:pPr>
              <w:ind w:left="2060"/>
              <w:spacing w:after="0"/>
              <w:rPr>
                <w:sz w:val="20"/>
                <w:szCs w:val="20"/>
                <w:color w:val="auto"/>
              </w:rPr>
            </w:pPr>
            <w:r>
              <w:rPr>
                <w:rFonts w:ascii="Arial" w:cs="Arial" w:eastAsia="Arial" w:hAnsi="Arial"/>
                <w:sz w:val="18"/>
                <w:szCs w:val="18"/>
                <w:color w:val="auto"/>
              </w:rPr>
              <w:t>/s/</w:t>
            </w:r>
          </w:p>
        </w:tc>
        <w:tc>
          <w:tcPr>
            <w:tcW w:w="3380" w:type="dxa"/>
            <w:vAlign w:val="bottom"/>
          </w:tcPr>
          <w:p>
            <w:pPr>
              <w:jc w:val="center"/>
              <w:ind w:right="1910"/>
              <w:spacing w:after="0"/>
              <w:rPr>
                <w:sz w:val="20"/>
                <w:szCs w:val="20"/>
                <w:color w:val="auto"/>
              </w:rPr>
            </w:pPr>
            <w:r>
              <w:rPr>
                <w:rFonts w:ascii="Arial" w:cs="Arial" w:eastAsia="Arial" w:hAnsi="Arial"/>
                <w:sz w:val="18"/>
                <w:szCs w:val="18"/>
                <w:color w:val="auto"/>
              </w:rPr>
              <w:t>Anat Ashkenazi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518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ANAT ASHKENAZI</w:t>
      </w:r>
    </w:p>
    <w:p>
      <w:pPr>
        <w:spacing w:after="0" w:line="90" w:lineRule="exact"/>
        <w:rPr>
          <w:sz w:val="20"/>
          <w:szCs w:val="20"/>
          <w:color w:val="auto"/>
        </w:rPr>
      </w:pPr>
    </w:p>
    <w:p>
      <w:pPr>
        <w:ind w:left="1860"/>
        <w:spacing w:after="0"/>
        <w:tabs>
          <w:tab w:leader="none" w:pos="2240" w:val="left"/>
        </w:tabs>
        <w:rPr>
          <w:sz w:val="20"/>
          <w:szCs w:val="20"/>
          <w:color w:val="auto"/>
        </w:rPr>
      </w:pPr>
      <w:r>
        <w:rPr>
          <w:rFonts w:ascii="Arial" w:cs="Arial" w:eastAsia="Arial" w:hAnsi="Arial"/>
          <w:sz w:val="18"/>
          <w:szCs w:val="18"/>
          <w:color w:val="auto"/>
        </w:rPr>
        <w:t>/s/</w:t>
        <w:tab/>
        <w:t>Donald A.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518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DONALD A. ZAKROWSKI</w:t>
      </w:r>
    </w:p>
    <w:p>
      <w:pPr>
        <w:spacing w:after="0" w:line="90" w:lineRule="exact"/>
        <w:rPr>
          <w:sz w:val="20"/>
          <w:szCs w:val="20"/>
          <w:color w:val="auto"/>
        </w:rPr>
      </w:pPr>
    </w:p>
    <w:p>
      <w:pPr>
        <w:ind w:left="2120"/>
        <w:spacing w:after="0"/>
        <w:tabs>
          <w:tab w:leader="none" w:pos="2500" w:val="left"/>
        </w:tabs>
        <w:rPr>
          <w:sz w:val="20"/>
          <w:szCs w:val="20"/>
          <w:color w:val="auto"/>
        </w:rPr>
      </w:pPr>
      <w:r>
        <w:rPr>
          <w:rFonts w:ascii="Arial" w:cs="Arial" w:eastAsia="Arial" w:hAnsi="Arial"/>
          <w:sz w:val="18"/>
          <w:szCs w:val="18"/>
          <w:color w:val="auto"/>
        </w:rPr>
        <w:t>/s/</w:t>
        <w:tab/>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518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RALPH ALVAREZ</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Chair, President, and Chief Executive Officer (principal executive officer)</w:t>
      </w:r>
    </w:p>
    <w:p>
      <w:pPr>
        <w:spacing w:after="0" w:line="175" w:lineRule="exact"/>
        <w:rPr>
          <w:sz w:val="20"/>
          <w:szCs w:val="20"/>
          <w:color w:val="auto"/>
        </w:rPr>
      </w:pPr>
    </w:p>
    <w:p>
      <w:pPr>
        <w:ind w:right="580"/>
        <w:spacing w:after="0" w:line="227" w:lineRule="auto"/>
        <w:rPr>
          <w:sz w:val="20"/>
          <w:szCs w:val="20"/>
          <w:color w:val="auto"/>
        </w:rPr>
      </w:pPr>
      <w:r>
        <w:rPr>
          <w:rFonts w:ascii="Arial" w:cs="Arial" w:eastAsia="Arial" w:hAnsi="Arial"/>
          <w:sz w:val="18"/>
          <w:szCs w:val="18"/>
          <w:color w:val="auto"/>
        </w:rPr>
        <w:t>Senior Vice President and Chief Financial Officer (principal financial officer)</w:t>
      </w:r>
    </w:p>
    <w:p>
      <w:pPr>
        <w:spacing w:after="0" w:line="17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Vice President, Finance, and Chief Accounting Officer (principal accounting officer)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20" w:lineRule="exact"/>
        <w:rPr>
          <w:sz w:val="20"/>
          <w:szCs w:val="20"/>
          <w:color w:val="auto"/>
        </w:rPr>
      </w:pPr>
    </w:p>
    <w:p>
      <w:pPr>
        <w:sectPr>
          <w:pgSz w:w="11900" w:h="16838" w:orient="portrait"/>
          <w:cols w:equalWidth="0" w:num="2">
            <w:col w:w="5760" w:space="240"/>
            <w:col w:w="5240"/>
          </w:cols>
          <w:pgMar w:left="320" w:top="1165"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w:t>
            </w:r>
          </w:p>
        </w:tc>
        <w:tc>
          <w:tcPr>
            <w:tcW w:w="3700" w:type="dxa"/>
            <w:vAlign w:val="bottom"/>
            <w:tcBorders>
              <w:bottom w:val="single" w:sz="8" w:color="auto"/>
            </w:tcBorders>
            <w:gridSpan w:val="2"/>
          </w:tcPr>
          <w:p>
            <w:pPr>
              <w:jc w:val="center"/>
              <w:ind w:right="1570"/>
              <w:spacing w:after="0"/>
              <w:rPr>
                <w:sz w:val="20"/>
                <w:szCs w:val="20"/>
                <w:color w:val="auto"/>
              </w:rPr>
            </w:pPr>
            <w:r>
              <w:rPr>
                <w:rFonts w:ascii="Arial" w:cs="Arial" w:eastAsia="Arial" w:hAnsi="Arial"/>
                <w:sz w:val="18"/>
                <w:szCs w:val="18"/>
                <w:color w:val="auto"/>
                <w:w w:val="99"/>
              </w:rPr>
              <w:t>Katherine Baicker, Ph.D.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KATHERINE BAICKER, Ph.D.</w:t>
            </w:r>
          </w:p>
        </w:tc>
        <w:tc>
          <w:tcPr>
            <w:tcW w:w="860" w:type="dxa"/>
            <w:vAlign w:val="bottom"/>
          </w:tcPr>
          <w:p>
            <w:pPr>
              <w:spacing w:after="0"/>
              <w:rPr>
                <w:sz w:val="19"/>
                <w:szCs w:val="19"/>
                <w:color w:val="auto"/>
              </w:rPr>
            </w:pPr>
          </w:p>
        </w:tc>
      </w:tr>
      <w:tr>
        <w:trPr>
          <w:trHeight w:val="283"/>
        </w:trPr>
        <w:tc>
          <w:tcPr>
            <w:tcW w:w="2360" w:type="dxa"/>
            <w:vAlign w:val="bottom"/>
            <w:tcBorders>
              <w:bottom w:val="single" w:sz="8" w:color="auto"/>
            </w:tcBorders>
            <w:gridSpan w:val="2"/>
          </w:tcPr>
          <w:p>
            <w:pPr>
              <w:ind w:left="198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w w:val="99"/>
              </w:rPr>
              <w:t>Michael L. Eskew</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MICHAEL L. ESKEW</w:t>
            </w:r>
          </w:p>
        </w:tc>
        <w:tc>
          <w:tcPr>
            <w:tcW w:w="860" w:type="dxa"/>
            <w:vAlign w:val="bottom"/>
          </w:tcPr>
          <w:p>
            <w:pPr>
              <w:spacing w:after="0"/>
              <w:rPr>
                <w:sz w:val="19"/>
                <w:szCs w:val="19"/>
                <w:color w:val="auto"/>
              </w:rPr>
            </w:pPr>
          </w:p>
        </w:tc>
      </w:tr>
      <w:tr>
        <w:trPr>
          <w:trHeight w:val="283"/>
        </w:trPr>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2060" w:type="dxa"/>
            <w:vAlign w:val="bottom"/>
          </w:tcPr>
          <w:p>
            <w:pPr>
              <w:spacing w:after="0"/>
              <w:rPr>
                <w:sz w:val="19"/>
                <w:szCs w:val="19"/>
                <w:color w:val="auto"/>
              </w:rPr>
            </w:pPr>
          </w:p>
        </w:tc>
        <w:tc>
          <w:tcPr>
            <w:tcW w:w="3700" w:type="dxa"/>
            <w:vAlign w:val="bottom"/>
            <w:gridSpan w:val="2"/>
          </w:tcPr>
          <w:p>
            <w:pPr>
              <w:jc w:val="center"/>
              <w:ind w:right="1970"/>
              <w:spacing w:after="0"/>
              <w:rPr>
                <w:sz w:val="20"/>
                <w:szCs w:val="20"/>
                <w:color w:val="auto"/>
              </w:rPr>
            </w:pPr>
            <w:r>
              <w:rPr>
                <w:rFonts w:ascii="Arial" w:cs="Arial" w:eastAsia="Arial" w:hAnsi="Arial"/>
                <w:sz w:val="18"/>
                <w:szCs w:val="18"/>
                <w:color w:val="auto"/>
                <w:w w:val="98"/>
              </w:rPr>
              <w:t>J. ERIK FYRWALD</w:t>
            </w:r>
          </w:p>
        </w:tc>
        <w:tc>
          <w:tcPr>
            <w:tcW w:w="860" w:type="dxa"/>
            <w:vAlign w:val="bottom"/>
          </w:tcPr>
          <w:p>
            <w:pPr>
              <w:spacing w:after="0"/>
              <w:rPr>
                <w:sz w:val="19"/>
                <w:szCs w:val="19"/>
                <w:color w:val="auto"/>
              </w:rPr>
            </w:pPr>
          </w:p>
        </w:tc>
      </w:tr>
      <w:tr>
        <w:trPr>
          <w:trHeight w:val="283"/>
        </w:trPr>
        <w:tc>
          <w:tcPr>
            <w:tcW w:w="236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rPr>
              <w:t>Jamere Jackson</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2060" w:type="dxa"/>
            <w:vAlign w:val="bottom"/>
          </w:tcPr>
          <w:p>
            <w:pPr>
              <w:spacing w:after="0"/>
              <w:rPr>
                <w:sz w:val="19"/>
                <w:szCs w:val="19"/>
                <w:color w:val="auto"/>
              </w:rPr>
            </w:pPr>
          </w:p>
        </w:tc>
        <w:tc>
          <w:tcPr>
            <w:tcW w:w="3700" w:type="dxa"/>
            <w:vAlign w:val="bottom"/>
            <w:gridSpan w:val="2"/>
          </w:tcPr>
          <w:p>
            <w:pPr>
              <w:jc w:val="center"/>
              <w:ind w:right="1970"/>
              <w:spacing w:after="0"/>
              <w:rPr>
                <w:sz w:val="20"/>
                <w:szCs w:val="20"/>
                <w:color w:val="auto"/>
              </w:rPr>
            </w:pPr>
            <w:r>
              <w:rPr>
                <w:rFonts w:ascii="Arial" w:cs="Arial" w:eastAsia="Arial" w:hAnsi="Arial"/>
                <w:sz w:val="18"/>
                <w:szCs w:val="18"/>
                <w:color w:val="auto"/>
              </w:rPr>
              <w:t>JAMERE JACKSON</w:t>
            </w:r>
          </w:p>
        </w:tc>
        <w:tc>
          <w:tcPr>
            <w:tcW w:w="860" w:type="dxa"/>
            <w:vAlign w:val="bottom"/>
          </w:tcPr>
          <w:p>
            <w:pPr>
              <w:spacing w:after="0"/>
              <w:rPr>
                <w:sz w:val="19"/>
                <w:szCs w:val="19"/>
                <w:color w:val="auto"/>
              </w:rPr>
            </w:pPr>
          </w:p>
        </w:tc>
      </w:tr>
      <w:tr>
        <w:trPr>
          <w:trHeight w:val="283"/>
        </w:trPr>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94"/>
              </w:rPr>
              <w:t>/s/</w:t>
            </w:r>
          </w:p>
        </w:tc>
        <w:tc>
          <w:tcPr>
            <w:tcW w:w="3700" w:type="dxa"/>
            <w:vAlign w:val="bottom"/>
            <w:tcBorders>
              <w:bottom w:val="single" w:sz="8" w:color="auto"/>
            </w:tcBorders>
            <w:gridSpan w:val="2"/>
          </w:tcPr>
          <w:p>
            <w:pPr>
              <w:jc w:val="center"/>
              <w:ind w:right="1590"/>
              <w:spacing w:after="0"/>
              <w:rPr>
                <w:sz w:val="20"/>
                <w:szCs w:val="20"/>
                <w:color w:val="auto"/>
              </w:rPr>
            </w:pPr>
            <w:r>
              <w:rPr>
                <w:rFonts w:ascii="Arial" w:cs="Arial" w:eastAsia="Arial" w:hAnsi="Arial"/>
                <w:sz w:val="18"/>
                <w:szCs w:val="18"/>
                <w:color w:val="auto"/>
                <w:w w:val="99"/>
              </w:rPr>
              <w:t>Kimberly H. Johnson</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KIMBERLY H. JOHNSON</w:t>
            </w:r>
          </w:p>
        </w:tc>
        <w:tc>
          <w:tcPr>
            <w:tcW w:w="860" w:type="dxa"/>
            <w:vAlign w:val="bottom"/>
          </w:tcPr>
          <w:p>
            <w:pPr>
              <w:spacing w:after="0"/>
              <w:rPr>
                <w:sz w:val="19"/>
                <w:szCs w:val="19"/>
                <w:color w:val="auto"/>
              </w:rPr>
            </w:pPr>
          </w:p>
        </w:tc>
      </w:tr>
      <w:tr>
        <w:trPr>
          <w:trHeight w:val="283"/>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William G. Kaelin, Jr., M.D.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WILLIAM G. KAELIN, JR., M.D.</w:t>
            </w:r>
          </w:p>
        </w:tc>
        <w:tc>
          <w:tcPr>
            <w:tcW w:w="860" w:type="dxa"/>
            <w:vAlign w:val="bottom"/>
          </w:tcPr>
          <w:p>
            <w:pPr>
              <w:spacing w:after="0"/>
              <w:rPr>
                <w:sz w:val="19"/>
                <w:szCs w:val="19"/>
                <w:color w:val="auto"/>
              </w:rPr>
            </w:pPr>
          </w:p>
        </w:tc>
      </w:tr>
      <w:tr>
        <w:trPr>
          <w:trHeight w:val="283"/>
        </w:trPr>
        <w:tc>
          <w:tcPr>
            <w:tcW w:w="236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2060" w:type="dxa"/>
            <w:vAlign w:val="bottom"/>
          </w:tcPr>
          <w:p>
            <w:pPr>
              <w:spacing w:after="0"/>
              <w:rPr>
                <w:sz w:val="19"/>
                <w:szCs w:val="19"/>
                <w:color w:val="auto"/>
              </w:rPr>
            </w:pPr>
          </w:p>
        </w:tc>
        <w:tc>
          <w:tcPr>
            <w:tcW w:w="3700" w:type="dxa"/>
            <w:vAlign w:val="bottom"/>
            <w:gridSpan w:val="2"/>
          </w:tcPr>
          <w:p>
            <w:pPr>
              <w:jc w:val="center"/>
              <w:ind w:right="1970"/>
              <w:spacing w:after="0"/>
              <w:rPr>
                <w:sz w:val="20"/>
                <w:szCs w:val="20"/>
                <w:color w:val="auto"/>
              </w:rPr>
            </w:pPr>
            <w:r>
              <w:rPr>
                <w:rFonts w:ascii="Arial" w:cs="Arial" w:eastAsia="Arial" w:hAnsi="Arial"/>
                <w:sz w:val="18"/>
                <w:szCs w:val="18"/>
                <w:color w:val="auto"/>
              </w:rPr>
              <w:t>JUAN R. LUCIANO</w:t>
            </w:r>
          </w:p>
        </w:tc>
        <w:tc>
          <w:tcPr>
            <w:tcW w:w="860" w:type="dxa"/>
            <w:vAlign w:val="bottom"/>
          </w:tcPr>
          <w:p>
            <w:pPr>
              <w:spacing w:after="0"/>
              <w:rPr>
                <w:sz w:val="19"/>
                <w:szCs w:val="19"/>
                <w:color w:val="auto"/>
              </w:rPr>
            </w:pPr>
          </w:p>
        </w:tc>
      </w:tr>
      <w:tr>
        <w:trPr>
          <w:trHeight w:val="283"/>
        </w:trPr>
        <w:tc>
          <w:tcPr>
            <w:tcW w:w="5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Marschall S. Runge, M.D., Ph.D.</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5760" w:type="dxa"/>
            <w:vAlign w:val="bottom"/>
            <w:gridSpan w:val="3"/>
          </w:tcPr>
          <w:p>
            <w:pPr>
              <w:jc w:val="center"/>
              <w:spacing w:after="0"/>
              <w:rPr>
                <w:sz w:val="20"/>
                <w:szCs w:val="20"/>
                <w:color w:val="auto"/>
              </w:rPr>
            </w:pPr>
            <w:r>
              <w:rPr>
                <w:rFonts w:ascii="Arial" w:cs="Arial" w:eastAsia="Arial" w:hAnsi="Arial"/>
                <w:sz w:val="18"/>
                <w:szCs w:val="18"/>
                <w:color w:val="auto"/>
                <w:w w:val="99"/>
              </w:rPr>
              <w:t>MARSCHALL S. RUNGE, M.D., Ph.D.</w:t>
            </w:r>
          </w:p>
        </w:tc>
        <w:tc>
          <w:tcPr>
            <w:tcW w:w="860" w:type="dxa"/>
            <w:vAlign w:val="bottom"/>
          </w:tcPr>
          <w:p>
            <w:pPr>
              <w:spacing w:after="0"/>
              <w:rPr>
                <w:sz w:val="19"/>
                <w:szCs w:val="19"/>
                <w:color w:val="auto"/>
              </w:rPr>
            </w:pPr>
          </w:p>
        </w:tc>
      </w:tr>
      <w:tr>
        <w:trPr>
          <w:trHeight w:val="283"/>
        </w:trPr>
        <w:tc>
          <w:tcPr>
            <w:tcW w:w="20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94"/>
              </w:rPr>
              <w:t>/s/</w:t>
            </w:r>
          </w:p>
        </w:tc>
        <w:tc>
          <w:tcPr>
            <w:tcW w:w="3700" w:type="dxa"/>
            <w:vAlign w:val="bottom"/>
            <w:tcBorders>
              <w:bottom w:val="single" w:sz="8" w:color="auto"/>
            </w:tcBorders>
            <w:gridSpan w:val="2"/>
          </w:tcPr>
          <w:p>
            <w:pPr>
              <w:jc w:val="center"/>
              <w:ind w:right="1570"/>
              <w:spacing w:after="0"/>
              <w:rPr>
                <w:sz w:val="20"/>
                <w:szCs w:val="20"/>
                <w:color w:val="auto"/>
              </w:rPr>
            </w:pPr>
            <w:r>
              <w:rPr>
                <w:rFonts w:ascii="Arial" w:cs="Arial" w:eastAsia="Arial" w:hAnsi="Arial"/>
                <w:sz w:val="18"/>
                <w:szCs w:val="18"/>
                <w:color w:val="auto"/>
                <w:w w:val="99"/>
              </w:rPr>
              <w:t>Gabrielle Sulzberger</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5760" w:type="dxa"/>
            <w:vAlign w:val="bottom"/>
            <w:gridSpan w:val="3"/>
          </w:tcPr>
          <w:p>
            <w:pPr>
              <w:jc w:val="center"/>
              <w:spacing w:after="0"/>
              <w:rPr>
                <w:sz w:val="20"/>
                <w:szCs w:val="20"/>
                <w:color w:val="auto"/>
              </w:rPr>
            </w:pPr>
            <w:r>
              <w:rPr>
                <w:rFonts w:ascii="Arial" w:cs="Arial" w:eastAsia="Arial" w:hAnsi="Arial"/>
                <w:sz w:val="18"/>
                <w:szCs w:val="18"/>
                <w:color w:val="auto"/>
              </w:rPr>
              <w:t>GABRIELLE SULZBERGER</w:t>
            </w:r>
          </w:p>
        </w:tc>
        <w:tc>
          <w:tcPr>
            <w:tcW w:w="860" w:type="dxa"/>
            <w:vAlign w:val="bottom"/>
          </w:tcPr>
          <w:p>
            <w:pPr>
              <w:spacing w:after="0"/>
              <w:rPr>
                <w:sz w:val="19"/>
                <w:szCs w:val="19"/>
                <w:color w:val="auto"/>
              </w:rPr>
            </w:pPr>
          </w:p>
        </w:tc>
      </w:tr>
      <w:tr>
        <w:trPr>
          <w:trHeight w:val="283"/>
        </w:trPr>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w w:val="94"/>
              </w:rPr>
              <w:t>Jackson P. Tai</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2060" w:type="dxa"/>
            <w:vAlign w:val="bottom"/>
          </w:tcPr>
          <w:p>
            <w:pPr>
              <w:spacing w:after="0"/>
              <w:rPr>
                <w:sz w:val="19"/>
                <w:szCs w:val="19"/>
                <w:color w:val="auto"/>
              </w:rPr>
            </w:pPr>
          </w:p>
        </w:tc>
        <w:tc>
          <w:tcPr>
            <w:tcW w:w="3700" w:type="dxa"/>
            <w:vAlign w:val="bottom"/>
            <w:gridSpan w:val="2"/>
          </w:tcPr>
          <w:p>
            <w:pPr>
              <w:jc w:val="center"/>
              <w:ind w:right="1970"/>
              <w:spacing w:after="0"/>
              <w:rPr>
                <w:sz w:val="20"/>
                <w:szCs w:val="20"/>
                <w:color w:val="auto"/>
              </w:rPr>
            </w:pPr>
            <w:r>
              <w:rPr>
                <w:rFonts w:ascii="Arial" w:cs="Arial" w:eastAsia="Arial" w:hAnsi="Arial"/>
                <w:sz w:val="18"/>
                <w:szCs w:val="18"/>
                <w:color w:val="auto"/>
                <w:w w:val="97"/>
              </w:rPr>
              <w:t>JACKSON P. TAI</w:t>
            </w:r>
          </w:p>
        </w:tc>
        <w:tc>
          <w:tcPr>
            <w:tcW w:w="860" w:type="dxa"/>
            <w:vAlign w:val="bottom"/>
          </w:tcPr>
          <w:p>
            <w:pPr>
              <w:spacing w:after="0"/>
              <w:rPr>
                <w:sz w:val="19"/>
                <w:szCs w:val="19"/>
                <w:color w:val="auto"/>
              </w:rPr>
            </w:pPr>
          </w:p>
        </w:tc>
      </w:tr>
      <w:tr>
        <w:trPr>
          <w:trHeight w:val="283"/>
        </w:trPr>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center"/>
              <w:ind w:right="1870"/>
              <w:spacing w:after="0"/>
              <w:rPr>
                <w:sz w:val="20"/>
                <w:szCs w:val="20"/>
                <w:color w:val="auto"/>
              </w:rPr>
            </w:pPr>
            <w:r>
              <w:rPr>
                <w:rFonts w:ascii="Arial" w:cs="Arial" w:eastAsia="Arial" w:hAnsi="Arial"/>
                <w:sz w:val="18"/>
                <w:szCs w:val="18"/>
                <w:color w:val="auto"/>
                <w:w w:val="99"/>
              </w:rPr>
              <w:t>Karen Walker</w:t>
            </w:r>
          </w:p>
        </w:tc>
        <w:tc>
          <w:tcPr>
            <w:tcW w:w="860" w:type="dxa"/>
            <w:vAlign w:val="bottom"/>
          </w:tcPr>
          <w:p>
            <w:pPr>
              <w:ind w:left="240"/>
              <w:spacing w:after="0"/>
              <w:rPr>
                <w:sz w:val="20"/>
                <w:szCs w:val="20"/>
                <w:color w:val="auto"/>
              </w:rPr>
            </w:pPr>
            <w:r>
              <w:rPr>
                <w:rFonts w:ascii="Arial" w:cs="Arial" w:eastAsia="Arial" w:hAnsi="Arial"/>
                <w:sz w:val="18"/>
                <w:szCs w:val="18"/>
                <w:color w:val="auto"/>
                <w:w w:val="95"/>
              </w:rPr>
              <w:t>Director</w:t>
            </w:r>
          </w:p>
        </w:tc>
      </w:tr>
      <w:tr>
        <w:trPr>
          <w:trHeight w:val="223"/>
        </w:trPr>
        <w:tc>
          <w:tcPr>
            <w:tcW w:w="2060" w:type="dxa"/>
            <w:vAlign w:val="bottom"/>
          </w:tcPr>
          <w:p>
            <w:pPr>
              <w:spacing w:after="0"/>
              <w:rPr>
                <w:sz w:val="19"/>
                <w:szCs w:val="19"/>
                <w:color w:val="auto"/>
              </w:rPr>
            </w:pPr>
          </w:p>
        </w:tc>
        <w:tc>
          <w:tcPr>
            <w:tcW w:w="3700" w:type="dxa"/>
            <w:vAlign w:val="bottom"/>
            <w:gridSpan w:val="2"/>
          </w:tcPr>
          <w:p>
            <w:pPr>
              <w:jc w:val="center"/>
              <w:ind w:right="1950"/>
              <w:spacing w:after="0"/>
              <w:rPr>
                <w:sz w:val="20"/>
                <w:szCs w:val="20"/>
                <w:color w:val="auto"/>
              </w:rPr>
            </w:pPr>
            <w:r>
              <w:rPr>
                <w:rFonts w:ascii="Arial" w:cs="Arial" w:eastAsia="Arial" w:hAnsi="Arial"/>
                <w:sz w:val="18"/>
                <w:szCs w:val="18"/>
                <w:color w:val="auto"/>
                <w:w w:val="99"/>
              </w:rPr>
              <w:t>KAREN WALKER</w:t>
            </w:r>
          </w:p>
        </w:tc>
        <w:tc>
          <w:tcPr>
            <w:tcW w:w="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Trademarks Used In This Report</w:t>
      </w:r>
    </w:p>
    <w:p>
      <w:pPr>
        <w:spacing w:after="0" w:line="13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 xml:space="preserve">Trademarks or service marks owned by Eli Lilly and Company or its affiliates, when first used in each item of this report, appear with an initial capital and are followed by the symbol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w:t>
      </w:r>
      <w:r>
        <w:rPr>
          <w:rFonts w:ascii="Arial" w:cs="Arial" w:eastAsia="Arial" w:hAnsi="Arial"/>
          <w:sz w:val="22"/>
          <w:szCs w:val="22"/>
          <w:color w:val="auto"/>
          <w:vertAlign w:val="superscript"/>
        </w:rPr>
        <w:t>™</w:t>
      </w:r>
      <w:r>
        <w:rPr>
          <w:rFonts w:ascii="Arial" w:cs="Arial" w:eastAsia="Arial" w:hAnsi="Arial"/>
          <w:sz w:val="17"/>
          <w:szCs w:val="17"/>
          <w:color w:val="auto"/>
        </w:rPr>
        <w:t>, as applicable. In subsequent uses of the marks in the item, the symbols may be omitted.</w:t>
      </w: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a trademark of Takeda Pharmaceutical Company Limited.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Byetta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trademark of Amylin Pharmaceuticals, Inc.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3"/>
          <w:szCs w:val="23"/>
          <w:color w:val="auto"/>
          <w:vertAlign w:val="superscript"/>
        </w:rPr>
        <w:t>®</w:t>
      </w:r>
      <w:r>
        <w:rPr>
          <w:rFonts w:ascii="Arial" w:cs="Arial" w:eastAsia="Arial" w:hAnsi="Arial"/>
          <w:sz w:val="18"/>
          <w:szCs w:val="18"/>
          <w:color w:val="auto"/>
        </w:rPr>
        <w:t>, Jardiance</w:t>
      </w:r>
      <w:r>
        <w:rPr>
          <w:rFonts w:ascii="Arial" w:cs="Arial" w:eastAsia="Arial" w:hAnsi="Arial"/>
          <w:sz w:val="23"/>
          <w:szCs w:val="23"/>
          <w:color w:val="auto"/>
          <w:vertAlign w:val="superscript"/>
        </w:rPr>
        <w:t>®</w:t>
      </w:r>
      <w:r>
        <w:rPr>
          <w:rFonts w:ascii="Arial" w:cs="Arial" w:eastAsia="Arial" w:hAnsi="Arial"/>
          <w:sz w:val="18"/>
          <w:szCs w:val="18"/>
          <w:color w:val="auto"/>
        </w:rPr>
        <w:t>, Jentadueto</w:t>
      </w:r>
      <w:r>
        <w:rPr>
          <w:rFonts w:ascii="Arial" w:cs="Arial" w:eastAsia="Arial" w:hAnsi="Arial"/>
          <w:sz w:val="23"/>
          <w:szCs w:val="23"/>
          <w:color w:val="auto"/>
          <w:vertAlign w:val="superscript"/>
        </w:rPr>
        <w:t>®</w:t>
      </w:r>
      <w:r>
        <w:rPr>
          <w:rFonts w:ascii="Arial" w:cs="Arial" w:eastAsia="Arial" w:hAnsi="Arial"/>
          <w:sz w:val="18"/>
          <w:szCs w:val="18"/>
          <w:color w:val="auto"/>
        </w:rPr>
        <w:t>, Synjardy</w:t>
      </w:r>
      <w:r>
        <w:rPr>
          <w:rFonts w:ascii="Arial" w:cs="Arial" w:eastAsia="Arial" w:hAnsi="Arial"/>
          <w:sz w:val="23"/>
          <w:szCs w:val="23"/>
          <w:color w:val="auto"/>
          <w:vertAlign w:val="superscript"/>
        </w:rPr>
        <w:t>®</w:t>
      </w:r>
      <w:r>
        <w:rPr>
          <w:rFonts w:ascii="Arial" w:cs="Arial" w:eastAsia="Arial" w:hAnsi="Arial"/>
          <w:sz w:val="18"/>
          <w:szCs w:val="18"/>
          <w:color w:val="auto"/>
        </w:rPr>
        <w:t>, Trajenta</w:t>
      </w:r>
      <w:r>
        <w:rPr>
          <w:rFonts w:ascii="Arial" w:cs="Arial" w:eastAsia="Arial" w:hAnsi="Arial"/>
          <w:sz w:val="23"/>
          <w:szCs w:val="23"/>
          <w:color w:val="auto"/>
          <w:vertAlign w:val="superscript"/>
        </w:rPr>
        <w:t>®</w:t>
      </w:r>
      <w:r>
        <w:rPr>
          <w:rFonts w:ascii="Arial" w:cs="Arial" w:eastAsia="Arial" w:hAnsi="Arial"/>
          <w:sz w:val="18"/>
          <w:szCs w:val="18"/>
          <w:color w:val="auto"/>
        </w:rPr>
        <w:t>, and Trijardy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trademarks of Boehringer Ingelheim International GmbH.</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trademark of Innovent Biologics (Suzhou) Co., Ltd.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Viagra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is a trademark of G.D. Searle LLC, a Viatris Company.</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126</w:t>
      </w:r>
    </w:p>
    <w:p>
      <w:pPr>
        <w:sectPr>
          <w:pgSz w:w="11900" w:h="16838" w:orient="portrait"/>
          <w:cols w:equalWidth="0" w:num="1">
            <w:col w:w="11200"/>
          </w:cols>
          <w:pgMar w:left="320" w:top="1156"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Exhibit 4.8 Description of the Company’s 0.500% notes due 2033, 1.125% notes due 2051 and 1.375% notes due 2061</w:t>
      </w:r>
    </w:p>
    <w:p>
      <w:pPr>
        <w:spacing w:after="0" w:line="189" w:lineRule="exact"/>
        <w:rPr>
          <w:sz w:val="20"/>
          <w:szCs w:val="20"/>
          <w:color w:val="auto"/>
        </w:rPr>
      </w:pPr>
    </w:p>
    <w:p>
      <w:pPr>
        <w:spacing w:after="0" w:line="225" w:lineRule="auto"/>
        <w:rPr>
          <w:sz w:val="20"/>
          <w:szCs w:val="20"/>
          <w:color w:val="auto"/>
        </w:rPr>
      </w:pPr>
      <w:r>
        <w:rPr>
          <w:rFonts w:ascii="Arial" w:cs="Arial" w:eastAsia="Arial" w:hAnsi="Arial"/>
          <w:sz w:val="17"/>
          <w:szCs w:val="17"/>
          <w:i w:val="1"/>
          <w:iCs w:val="1"/>
          <w:color w:val="auto"/>
        </w:rPr>
        <w:t>The following summary of Eli Lilly and Company’s above referenced debt securities is based on and qualified by the indenture, dated as of February 1, 1991, between us and Deutsche Bank Trust Company Americas (as successor to Citibank, N.A.), as trustee, and the forms of 0.500% notes due September 2033 (the “0.500% notes”), the 1.125% notes due September 2051 (the “1.125% notes”) and the 1.375% notes due September 2061 (the “1.375% notes,” and collectively with the 0.500% notes and the 1.125% notes, the “notes”). For a complete description of the terms and provisions of the notes, refer to the indenture, the form of officers’ certificate setting forth the terms and forms of the notes, all of which are filed as exhibits to the Form 8-A filed with the Securities and Exchange Commission on September 14, 2021. Throughout this exhibit, references to “we,” “the Company,” “our,” and “us” refer to Eli Lilly and Company and not to any of its subsidiaries, unless otherwise indicated.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0.500% notes:</w:t>
      </w:r>
    </w:p>
    <w:p>
      <w:pPr>
        <w:spacing w:after="0" w:line="185" w:lineRule="exact"/>
        <w:rPr>
          <w:sz w:val="20"/>
          <w:szCs w:val="20"/>
          <w:color w:val="auto"/>
        </w:rPr>
      </w:pPr>
    </w:p>
    <w:p>
      <w:pPr>
        <w:ind w:left="1300" w:right="80" w:hanging="644"/>
        <w:spacing w:after="0" w:line="289" w:lineRule="auto"/>
        <w:tabs>
          <w:tab w:leader="none" w:pos="12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were issued in an aggregate initial principal amount of €600,000,000, which remained outstanding as of December 31, 2021, and permit us to issue additional 0.500% notes that may be of the same series as the 0.500% notes as described under “Further Issues;”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mature on September 14, 2033;</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bear interest at a rate of 0.500% per annum;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rank equally with all of our other unsecured and unsubordinated indebtedness;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were issued as a separate series under the indenture, in registered, book-entry form only;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184" w:lineRule="exact"/>
        <w:rPr>
          <w:rFonts w:ascii="Arial" w:cs="Arial" w:eastAsia="Arial" w:hAnsi="Arial"/>
          <w:sz w:val="18"/>
          <w:szCs w:val="18"/>
          <w:color w:val="auto"/>
        </w:rPr>
      </w:pPr>
    </w:p>
    <w:p>
      <w:pPr>
        <w:ind w:left="1300" w:right="360" w:hanging="644"/>
        <w:spacing w:after="0" w:line="235" w:lineRule="auto"/>
        <w:tabs>
          <w:tab w:leader="none" w:pos="1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developments involving United States taxation;</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1.125% notes:</w:t>
      </w:r>
    </w:p>
    <w:p>
      <w:pPr>
        <w:spacing w:after="0" w:line="185" w:lineRule="exact"/>
        <w:rPr>
          <w:sz w:val="20"/>
          <w:szCs w:val="20"/>
          <w:color w:val="auto"/>
        </w:rPr>
      </w:pPr>
    </w:p>
    <w:p>
      <w:pPr>
        <w:ind w:left="1300" w:right="140" w:hanging="644"/>
        <w:spacing w:after="0" w:line="289" w:lineRule="auto"/>
        <w:tabs>
          <w:tab w:leader="none" w:pos="12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were issued in an aggregate initial principal amount of €500,000,000, which remained outstanding as of December 31, 2021 and permit us to issue additional 1.125% notes that may be of the same series as the 1.125% notes as described under “Further Issues;”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mature on September 14, 2051;</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bear interest at a rate of 1.125% per annum;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rank equally with all of our other unsecured and unsubordinated indebtedness;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were issued as a separate series under the indenture, in registered, book-entry form only;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184" w:lineRule="exact"/>
        <w:rPr>
          <w:rFonts w:ascii="Arial" w:cs="Arial" w:eastAsia="Arial" w:hAnsi="Arial"/>
          <w:sz w:val="18"/>
          <w:szCs w:val="18"/>
          <w:color w:val="auto"/>
        </w:rPr>
      </w:pPr>
    </w:p>
    <w:p>
      <w:pPr>
        <w:ind w:left="1300" w:right="360" w:hanging="644"/>
        <w:spacing w:after="0" w:line="235" w:lineRule="auto"/>
        <w:tabs>
          <w:tab w:leader="none" w:pos="12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developments involving United States taxation;</w:t>
      </w:r>
    </w:p>
    <w:p>
      <w:pPr>
        <w:sectPr>
          <w:pgSz w:w="11900" w:h="16838" w:orient="portrait"/>
          <w:cols w:equalWidth="0" w:num="1">
            <w:col w:w="11180"/>
          </w:cols>
          <w:pgMar w:left="320" w:top="1404" w:right="399" w:bottom="1440" w:gutter="0" w:footer="0" w:header="0"/>
        </w:sectPr>
      </w:pPr>
    </w:p>
    <w:bookmarkStart w:id="127" w:name="page128"/>
    <w:bookmarkEnd w:id="127"/>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1.375% notes:</w:t>
      </w:r>
    </w:p>
    <w:p>
      <w:pPr>
        <w:spacing w:after="0" w:line="185" w:lineRule="exact"/>
        <w:rPr>
          <w:sz w:val="20"/>
          <w:szCs w:val="20"/>
          <w:color w:val="auto"/>
        </w:rPr>
      </w:pPr>
    </w:p>
    <w:p>
      <w:pPr>
        <w:ind w:left="1300" w:right="200" w:hanging="644"/>
        <w:spacing w:after="0" w:line="289" w:lineRule="auto"/>
        <w:tabs>
          <w:tab w:leader="none" w:pos="12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were issued in an aggregate initial principal amount of €700,000,000, which remained outstanding as of December 31, 2021 and permit us to issue additional 1.375% notes that may be of the same series as the 1.375% notes as described under “Further Issues;”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mature on September 14, 2061;</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bear interest at a rate of 1.375% per annum;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rank equally with all of our other unsecured and unsubordinated indebtedness;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were issued as a separate series under the indenture, in registered, book-entry form only;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184" w:lineRule="exact"/>
        <w:rPr>
          <w:rFonts w:ascii="Arial" w:cs="Arial" w:eastAsia="Arial" w:hAnsi="Arial"/>
          <w:sz w:val="18"/>
          <w:szCs w:val="18"/>
          <w:color w:val="auto"/>
        </w:rPr>
      </w:pPr>
    </w:p>
    <w:p>
      <w:pPr>
        <w:ind w:left="1300" w:right="420" w:hanging="644"/>
        <w:spacing w:after="0" w:line="235" w:lineRule="auto"/>
        <w:tabs>
          <w:tab w:leader="none" w:pos="12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developments involving United States taxation;</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185" w:lineRule="exact"/>
        <w:rPr>
          <w:sz w:val="20"/>
          <w:szCs w:val="20"/>
          <w:color w:val="auto"/>
        </w:rPr>
      </w:pPr>
    </w:p>
    <w:p>
      <w:pPr>
        <w:ind w:right="440"/>
        <w:spacing w:after="0" w:line="224" w:lineRule="auto"/>
        <w:rPr>
          <w:sz w:val="20"/>
          <w:szCs w:val="20"/>
          <w:color w:val="auto"/>
        </w:rPr>
      </w:pPr>
      <w:r>
        <w:rPr>
          <w:rFonts w:ascii="Arial" w:cs="Arial" w:eastAsia="Arial" w:hAnsi="Arial"/>
          <w:sz w:val="18"/>
          <w:szCs w:val="18"/>
          <w:color w:val="auto"/>
        </w:rPr>
        <w:t>The indenture and the notes do not limit the amount of indebtedness that we may incur or the amount of securities that may be issued by us or our subsidiaries, and contain no financial covenants or similar restrictions on us or our subsidiaries, except as described under the captions “Limitation on Liens” and “Limitation on Sale and Leaseback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89"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We will pay interest on the notes annually on September 14 of each year, commencing on September 14, 2022, to the persons in whose names such notes are registered at the close of business on August 31 (whether or not a business day), immediately preceding such interest payment date.</w:t>
      </w:r>
    </w:p>
    <w:p>
      <w:pPr>
        <w:spacing w:after="0" w:line="124"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Interest on the notes is computed on the basis of the actual number of days in the period for which interest is being calculated and the actual number of days from and including the last date on which interest was paid on the notes (or from September 14, 2021, if no interest has been paid on the notes), to but excluding the next scheduled interest payment date. This payment convention, which is set forth in the rulebook of the International Capital Market Association, is referred to as ACTUAL/ACTUAL (ICMA).</w:t>
      </w:r>
    </w:p>
    <w:p>
      <w:pPr>
        <w:spacing w:after="0" w:line="163"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If any interest payment date falls on a day that is not a business day, we will make the required interest payment (together with any additional amounts, if applicable) on the next business day, and no interest on such payment will accrue for the period from and after such interest payment date. Similarly, if the stated maturity date or the date of earlier redemption, as the case may be, of the notes falls on a day that is not a business day, we will make the required payment of principal, premium, if any, and interest, if any (in each case, together with any additional amounts, if applicable), on the next succeeding business day, and no interest on such payment will accrue for the period from and after the maturity date or redemption date, as the case may be.</w:t>
      </w:r>
    </w:p>
    <w:p>
      <w:pPr>
        <w:spacing w:after="0" w:line="15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“Business day” means any day, other than a Saturday or Sunday, (i) that is neither a legal holiday nor a day on which banking institutions are authorized or required by law or regulation to close in the City of New York or London, and (ii) on which the Trans-European Automated Real-time Gross Settlement Express Transfer system (the TARGET2 system), or any successor thereto,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Issuance in Euro</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Initial holders will be required to pay for the notes in euro, and all payments of interest and principal, including payments made upon any redemption of the notes, will be payable in euro. If, on or after the date of the issuance of the notes, the euro is unavailable to us due to the imposition of exchange controls or other circumstances beyond our control or if the euro is no longer being used by the then-member states of the European Economic and Monetary Union that have adopted the euro as their currency or for the settlement of transactions by public institutions of or within the international banking community, then all payments in respect of the notes will be made in dollars until the euro is again available to us or so used. The amount payable on any date in euro will be converted into dollars at the rate mandated by the U.S. Federal Reserve Board as of the close of business on the second business day prior to the relevant payment date or, in the event the U.S. Federal Reserve Board has not mandated a rate of conversion, on the basis of the most recent euro/dollar exchange rate available on or prior to the second business day prior to the relevant payment date, as reported by Bloomberg. Any payment in respect of the notes so made in dollars will not constitute an event of default under the notes or the indenture.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our option, we may redeem the notes, in whole or in part, at any time or from time to time as described below.</w:t>
      </w:r>
    </w:p>
    <w:p>
      <w:pPr>
        <w:spacing w:after="0" w:line="18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If we redeem all or any part of the 0.500% notes, the 1.125% notes or the 1.375% notes prior to the applicable Par Call Date (as defined below), we will pay a redemption price equal to the greater of:</w:t>
      </w:r>
    </w:p>
    <w:p>
      <w:pPr>
        <w:spacing w:after="0" w:line="162"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on the redemption date; and</w:t>
      </w:r>
    </w:p>
    <w:p>
      <w:pPr>
        <w:spacing w:after="0" w:line="184" w:lineRule="exact"/>
        <w:rPr>
          <w:rFonts w:ascii="Arial" w:cs="Arial" w:eastAsia="Arial" w:hAnsi="Arial"/>
          <w:sz w:val="18"/>
          <w:szCs w:val="18"/>
          <w:color w:val="auto"/>
        </w:rPr>
      </w:pPr>
    </w:p>
    <w:p>
      <w:pPr>
        <w:ind w:left="1300" w:right="80" w:hanging="644"/>
        <w:spacing w:after="0" w:line="226" w:lineRule="auto"/>
        <w:tabs>
          <w:tab w:leader="none" w:pos="12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as calculated by the Quotation Agent (as defined below), the sum of the present values of the remaining scheduled payments of principal and interest on the applicable series of notes being redeemed that would be due if such series of notes matured on the applicable Par Call Date (in each case, not including the amount, if any, of unpaid interest accrued to, but excluding, the redemption date) discounted to the redemption date, on an annual basis (ACTUAL/ACTUAL (ICMA)) using a discount rate equal to the sum of the Reference Dealer Rate (as defined below), plus 0.150% (or 15 basis points) with respect to the 0.500% notes, 0.200% (or 20 basis points) with respect to the 1.125% notes, or 0.200% (or 20 basis points) with respect to the 1.375% notes;</w:t>
      </w:r>
    </w:p>
    <w:p>
      <w:pPr>
        <w:spacing w:after="0" w:line="165" w:lineRule="exact"/>
        <w:rPr>
          <w:sz w:val="20"/>
          <w:szCs w:val="20"/>
          <w:color w:val="auto"/>
        </w:rPr>
      </w:pPr>
    </w:p>
    <w:p>
      <w:pPr>
        <w:jc w:val="both"/>
        <w:ind w:right="180"/>
        <w:spacing w:after="0" w:line="224" w:lineRule="auto"/>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each case, accrued and unpaid interest on such notes to, but excluding, the redemption date. If we redeem all or any part of the 0.500%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1.125% notes or the 1.375% notes on or after the applicable Par Call Date, we will pay a redemption price equal to 100% of the principal amount of such series of notes being redeemed plus accrued and unpaid interest thereon.</w:t>
      </w:r>
    </w:p>
    <w:p>
      <w:pPr>
        <w:spacing w:after="0" w:line="163"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Notwithstanding the foregoing, installments of interest on notes that are due and payable on an interest payment date falling on or prior to a redemption date will be payable on such interest payment date to the registered holders as of the close of business on the relevant record date. We will mail notice of any redemption at least 10 days but not more than 60 days before the redemption date to each registered holder of the notes to be redeemed. Subject to any delay in the redemption date or rescission of the notice of redemption described below, once notice of redemption is mailed, the notes called for redemption will become due and payable on the redemption date. Any redemption notice may, at our discretion, be subject to one or more conditions precedent, including completion of a corporate transaction. In such event, the related notice of redemption will describe each such condition and, if applicable, will state that, at our discretion, the date of redemption may be delayed until such time (including more than 60 days after the notice of redemption was given) as any or all such conditions are satisfied or waived, or such redemption may not occur and such notice may be rescinded in the event that any or all such conditions have not been satisfied (or waived by us in our sole discretion) by the date of redemption, or by the date of redemption as so delayed. In the case of such delay or rescission, we will provide written notice to the trustee prior to the close of business two business days before the date of redemption and, upon receipt, the trustee will provide such notice to each holder.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 Call Date” means June 14, 2033 for the 0.500% notes, March 14, 2051 for the 1.125% notes and March 14, 2061 for the 1.375%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“Quotation Agent” means the Reference Dealer selected by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“Reference Dealer” means any Euro security dealer(s) selected by us.</w:t>
      </w:r>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“Reference Dealer Rate” means, with respect to each Reference Dealer and any redemption date prior to the applicable Par Call Date for the 0.500% notes, the 1.125% notes and the 1.375% notes, the arithmetic average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04" w:right="359" w:bottom="1440" w:gutter="0" w:footer="0" w:header="0"/>
        </w:sectPr>
      </w:pPr>
    </w:p>
    <w:bookmarkStart w:id="129" w:name="page130"/>
    <w:bookmarkEnd w:id="129"/>
    <w:p>
      <w:pPr>
        <w:ind w:right="180"/>
        <w:spacing w:after="0" w:line="216" w:lineRule="auto"/>
        <w:rPr>
          <w:sz w:val="20"/>
          <w:szCs w:val="20"/>
          <w:color w:val="auto"/>
        </w:rPr>
      </w:pPr>
      <w:r>
        <w:rPr>
          <w:rFonts w:ascii="Arial" w:cs="Arial" w:eastAsia="Arial" w:hAnsi="Arial"/>
          <w:sz w:val="18"/>
          <w:szCs w:val="18"/>
          <w:color w:val="auto"/>
        </w:rPr>
        <w:t>quotations quoted in writing to us by each Reference Dealer of the average midmarket annual yield to maturity of the 0.000% German government bond due August 15, 2031 with respect to the 0.500% notes, the 0.000% German government bond due August 15, 2050 with respect to the 1.125% notes and the 0.000% German government bond due August 15, 2050 with respect to the 1.375% notes, or, if the applicable reference security is no longer outstanding, a similar security in the reasonable judgment of such Reference Dealer at 11:00 a.m. (London time) on the third business day preceding such redemption date.</w:t>
      </w:r>
    </w:p>
    <w:p>
      <w:pPr>
        <w:spacing w:after="0" w:line="162"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Before the redemption date, we will deposit with a paying agent (or the trustee) money sufficient to pay the redemption price of the notes of the particular series to be redeemed on that date. If fewer than all of the notes of such series are to be redeemed, the notes to be redeemed will be selected pro rata or by the trustee by a method the trustee deems to be fair and appropriate (which may include by lot) or, in case the notes are represented by one or more global notes, beneficial interests therein will be selected for redemption by Clearstream and Euroclear in accordance with their respective applicable procedures therefor. In addition, we may at any time purchase the notes by tender, in the open market or by private agreement, subject to applicable laws.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entitled to the benefit of any mandatory redemption or sinking fund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8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so that the net payment by us or a paying agent of the principal of and interest on the notes to a person that is a non-U.S. holder,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 notes had no withholding or deduction been required.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obligation to pay additional amounts shall not apply:</w:t>
      </w:r>
    </w:p>
    <w:p>
      <w:pPr>
        <w:spacing w:after="0" w:line="185" w:lineRule="exact"/>
        <w:rPr>
          <w:sz w:val="20"/>
          <w:szCs w:val="20"/>
          <w:color w:val="auto"/>
        </w:rPr>
      </w:pPr>
    </w:p>
    <w:p>
      <w:pPr>
        <w:ind w:left="1300" w:right="160" w:hanging="644"/>
        <w:spacing w:after="0" w:line="224" w:lineRule="auto"/>
        <w:tabs>
          <w:tab w:leader="none" w:pos="10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the beneficial owner, or a fiduciary, settlor, beneficiary or member of the beneficial owner if the beneficial owner is an estate, trust or partnership, or a person holding a power over an estate or trust administered by a fiduciary holder:</w:t>
      </w:r>
    </w:p>
    <w:p>
      <w:pPr>
        <w:spacing w:after="0" w:line="162" w:lineRule="exact"/>
        <w:rPr>
          <w:rFonts w:ascii="Arial" w:cs="Arial" w:eastAsia="Arial" w:hAnsi="Arial"/>
          <w:sz w:val="18"/>
          <w:szCs w:val="18"/>
          <w:color w:val="auto"/>
        </w:rPr>
      </w:pPr>
    </w:p>
    <w:p>
      <w:pPr>
        <w:ind w:left="1700" w:hanging="396"/>
        <w:spacing w:after="0"/>
        <w:tabs>
          <w:tab w:leader="none" w:pos="17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is or was present or engaged in a trade or business in the United States or has or had a permanent establishment in the United States;</w:t>
      </w:r>
    </w:p>
    <w:p>
      <w:pPr>
        <w:spacing w:after="0" w:line="207" w:lineRule="exact"/>
        <w:rPr>
          <w:rFonts w:ascii="Arial" w:cs="Arial" w:eastAsia="Arial" w:hAnsi="Arial"/>
          <w:sz w:val="16"/>
          <w:szCs w:val="16"/>
          <w:color w:val="auto"/>
        </w:rPr>
      </w:pPr>
    </w:p>
    <w:p>
      <w:pPr>
        <w:ind w:left="1700" w:hanging="396"/>
        <w:spacing w:after="0"/>
        <w:tabs>
          <w:tab w:leader="none" w:pos="1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is or was a citizen or resident or is or was treated as a resident of the United States;</w:t>
      </w:r>
    </w:p>
    <w:p>
      <w:pPr>
        <w:spacing w:after="0" w:line="184" w:lineRule="exact"/>
        <w:rPr>
          <w:rFonts w:ascii="Arial" w:cs="Arial" w:eastAsia="Arial" w:hAnsi="Arial"/>
          <w:sz w:val="18"/>
          <w:szCs w:val="18"/>
          <w:color w:val="auto"/>
        </w:rPr>
      </w:pPr>
    </w:p>
    <w:p>
      <w:pPr>
        <w:ind w:left="1960" w:hanging="656"/>
        <w:spacing w:after="0" w:line="237" w:lineRule="auto"/>
        <w:tabs>
          <w:tab w:leader="none" w:pos="1702" w:val="left"/>
        </w:tabs>
        <w:numPr>
          <w:ilvl w:val="1"/>
          <w:numId w:val="63"/>
        </w:numPr>
        <w:rPr>
          <w:rFonts w:ascii="Arial" w:cs="Arial" w:eastAsia="Arial" w:hAnsi="Arial"/>
          <w:sz w:val="17"/>
          <w:szCs w:val="17"/>
          <w:color w:val="auto"/>
        </w:rPr>
      </w:pPr>
      <w:r>
        <w:rPr>
          <w:rFonts w:ascii="Arial" w:cs="Arial" w:eastAsia="Arial" w:hAnsi="Arial"/>
          <w:sz w:val="17"/>
          <w:szCs w:val="17"/>
          <w:color w:val="auto"/>
        </w:rPr>
        <w:t>is or was a foreign or domestic personal holding company, a passive foreign investment company or a controlled foreign corporation for the United States federal income tax purposes, is or was a corporation that has accumulated earnings to avoid United States federal income tax or is or was a private foundation or other tax-exempt organization;</w:t>
      </w:r>
    </w:p>
    <w:p>
      <w:pPr>
        <w:spacing w:after="0" w:line="163" w:lineRule="exact"/>
        <w:rPr>
          <w:rFonts w:ascii="Arial" w:cs="Arial" w:eastAsia="Arial" w:hAnsi="Arial"/>
          <w:sz w:val="17"/>
          <w:szCs w:val="17"/>
          <w:color w:val="auto"/>
        </w:rPr>
      </w:pPr>
    </w:p>
    <w:p>
      <w:pPr>
        <w:ind w:left="1960" w:right="260" w:hanging="656"/>
        <w:spacing w:after="0" w:line="235" w:lineRule="auto"/>
        <w:tabs>
          <w:tab w:leader="none" w:pos="1702" w:val="left"/>
        </w:tabs>
        <w:numPr>
          <w:ilvl w:val="1"/>
          <w:numId w:val="63"/>
        </w:numPr>
        <w:rPr>
          <w:rFonts w:ascii="Arial" w:cs="Arial" w:eastAsia="Arial" w:hAnsi="Arial"/>
          <w:sz w:val="18"/>
          <w:szCs w:val="18"/>
          <w:color w:val="auto"/>
        </w:rPr>
      </w:pPr>
      <w:r>
        <w:rPr>
          <w:rFonts w:ascii="Arial" w:cs="Arial" w:eastAsia="Arial" w:hAnsi="Arial"/>
          <w:sz w:val="18"/>
          <w:szCs w:val="18"/>
          <w:color w:val="auto"/>
        </w:rPr>
        <w:t>is or was an actual or constructive “10-percent shareholder” of ours, as defined in Section 871(h)(3) of the U.S. Internal Revenue Code of 1986, as amended (the “Code”); or</w:t>
      </w:r>
    </w:p>
    <w:p>
      <w:pPr>
        <w:spacing w:after="0" w:line="161" w:lineRule="exact"/>
        <w:rPr>
          <w:rFonts w:ascii="Arial" w:cs="Arial" w:eastAsia="Arial" w:hAnsi="Arial"/>
          <w:sz w:val="18"/>
          <w:szCs w:val="18"/>
          <w:color w:val="auto"/>
        </w:rPr>
      </w:pPr>
    </w:p>
    <w:p>
      <w:pPr>
        <w:ind w:left="1700" w:hanging="396"/>
        <w:spacing w:after="0"/>
        <w:tabs>
          <w:tab w:leader="none" w:pos="1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is or was a bank receiving interest described in Section 881(c)(3)(A) of the Code;</w:t>
      </w:r>
    </w:p>
    <w:p>
      <w:pPr>
        <w:spacing w:after="0" w:line="184" w:lineRule="exact"/>
        <w:rPr>
          <w:rFonts w:ascii="Arial" w:cs="Arial" w:eastAsia="Arial" w:hAnsi="Arial"/>
          <w:sz w:val="18"/>
          <w:szCs w:val="18"/>
          <w:color w:val="auto"/>
        </w:rPr>
      </w:pPr>
    </w:p>
    <w:p>
      <w:pPr>
        <w:jc w:val="both"/>
        <w:ind w:left="1300" w:right="140" w:hanging="644"/>
        <w:spacing w:after="0" w:line="219" w:lineRule="auto"/>
        <w:tabs>
          <w:tab w:leader="none" w:pos="10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notes,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62" w:lineRule="exact"/>
        <w:rPr>
          <w:rFonts w:ascii="Arial" w:cs="Arial" w:eastAsia="Arial" w:hAnsi="Arial"/>
          <w:sz w:val="18"/>
          <w:szCs w:val="18"/>
          <w:color w:val="auto"/>
        </w:rPr>
      </w:pPr>
    </w:p>
    <w:p>
      <w:pPr>
        <w:ind w:left="1300" w:right="100" w:hanging="644"/>
        <w:spacing w:after="0" w:line="219" w:lineRule="auto"/>
        <w:tabs>
          <w:tab w:leader="none" w:pos="11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the beneficial owner or any other person failed to comply with certification, identification or information reporting requirements concerning the nationality, residence, identity or connection with the United States of the holder or beneficial owner of notes, if compliance is required by statute, by regulation of the United States Treasury Department or by an applicable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130" w:name="page131"/>
    <w:bookmarkEnd w:id="130"/>
    <w:p>
      <w:pPr>
        <w:ind w:left="1300"/>
        <w:spacing w:after="0"/>
        <w:rPr>
          <w:sz w:val="20"/>
          <w:szCs w:val="20"/>
          <w:color w:val="auto"/>
        </w:rPr>
      </w:pPr>
      <w:r>
        <w:rPr>
          <w:rFonts w:ascii="Arial" w:cs="Arial" w:eastAsia="Arial" w:hAnsi="Arial"/>
          <w:sz w:val="16"/>
          <w:szCs w:val="16"/>
          <w:color w:val="auto"/>
        </w:rPr>
        <w:t>treaty to which the United States is a party as a precondition to exemption from such tax, assessment or other governmental charge;</w:t>
      </w:r>
    </w:p>
    <w:p>
      <w:pPr>
        <w:spacing w:after="0" w:line="208" w:lineRule="exact"/>
        <w:rPr>
          <w:sz w:val="20"/>
          <w:szCs w:val="20"/>
          <w:color w:val="auto"/>
        </w:rPr>
      </w:pPr>
    </w:p>
    <w:p>
      <w:pPr>
        <w:ind w:left="1300" w:right="420" w:hanging="644"/>
        <w:spacing w:after="0" w:line="235" w:lineRule="auto"/>
        <w:tabs>
          <w:tab w:leader="none" w:pos="10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other than by deduction or withholding by us or a paying agent from the payment;</w:t>
      </w:r>
    </w:p>
    <w:p>
      <w:pPr>
        <w:spacing w:after="0" w:line="161" w:lineRule="exact"/>
        <w:rPr>
          <w:rFonts w:ascii="Arial" w:cs="Arial" w:eastAsia="Arial" w:hAnsi="Arial"/>
          <w:sz w:val="18"/>
          <w:szCs w:val="18"/>
          <w:color w:val="auto"/>
        </w:rPr>
      </w:pPr>
    </w:p>
    <w:p>
      <w:pPr>
        <w:ind w:left="1300" w:right="80" w:hanging="644"/>
        <w:spacing w:after="0" w:line="224" w:lineRule="auto"/>
        <w:tabs>
          <w:tab w:leader="none" w:pos="10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of a change in law, regulation, or administrative or judicial interpretation that becomes effective after the day on which the payment becomes due or is duly provided for, whichever occurs later;</w:t>
      </w:r>
    </w:p>
    <w:p>
      <w:pPr>
        <w:spacing w:after="0" w:line="162" w:lineRule="exact"/>
        <w:rPr>
          <w:rFonts w:ascii="Arial" w:cs="Arial" w:eastAsia="Arial" w:hAnsi="Arial"/>
          <w:sz w:val="18"/>
          <w:szCs w:val="18"/>
          <w:color w:val="auto"/>
        </w:rPr>
      </w:pPr>
    </w:p>
    <w:p>
      <w:pPr>
        <w:ind w:left="1100" w:hanging="444"/>
        <w:spacing w:after="0"/>
        <w:tabs>
          <w:tab w:leader="none" w:pos="11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any estate, inheritance, gift, sales, excise, transfer, wealth or personal property tax or any similar tax, assessment or governmental charge;</w:t>
      </w:r>
    </w:p>
    <w:p>
      <w:pPr>
        <w:spacing w:after="0" w:line="207" w:lineRule="exact"/>
        <w:rPr>
          <w:rFonts w:ascii="Arial" w:cs="Arial" w:eastAsia="Arial" w:hAnsi="Arial"/>
          <w:sz w:val="16"/>
          <w:szCs w:val="16"/>
          <w:color w:val="auto"/>
        </w:rPr>
      </w:pPr>
    </w:p>
    <w:p>
      <w:pPr>
        <w:ind w:left="1300" w:right="300" w:hanging="644"/>
        <w:spacing w:after="0" w:line="289" w:lineRule="auto"/>
        <w:tabs>
          <w:tab w:leader="none" w:pos="114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any paying agent (which term may include us) must withhold from any payment of principal of or interest on any note, if such payment can be made without such withholding by any other paying agent;</w:t>
      </w:r>
    </w:p>
    <w:p>
      <w:pPr>
        <w:spacing w:after="0" w:line="123" w:lineRule="exact"/>
        <w:rPr>
          <w:rFonts w:ascii="Arial" w:cs="Arial" w:eastAsia="Arial" w:hAnsi="Arial"/>
          <w:sz w:val="16"/>
          <w:szCs w:val="16"/>
          <w:color w:val="auto"/>
        </w:rPr>
      </w:pPr>
    </w:p>
    <w:p>
      <w:pPr>
        <w:ind w:left="1300" w:right="80" w:hanging="644"/>
        <w:spacing w:after="0" w:line="224" w:lineRule="auto"/>
        <w:tabs>
          <w:tab w:leader="none" w:pos="11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would not have been so imposed or withheld but for the presentation by the holder of a note for payment on a date more than 30 days after the date on which such payment became due and payable or the date on which payment thereof is duly provided for, whichever occurs later;</w:t>
      </w:r>
    </w:p>
    <w:p>
      <w:pPr>
        <w:spacing w:after="0" w:line="162" w:lineRule="exact"/>
        <w:rPr>
          <w:rFonts w:ascii="Arial" w:cs="Arial" w:eastAsia="Arial" w:hAnsi="Arial"/>
          <w:sz w:val="18"/>
          <w:szCs w:val="18"/>
          <w:color w:val="auto"/>
        </w:rPr>
      </w:pPr>
    </w:p>
    <w:p>
      <w:pPr>
        <w:ind w:left="1300" w:right="160" w:hanging="644"/>
        <w:spacing w:after="0" w:line="219" w:lineRule="auto"/>
        <w:tabs>
          <w:tab w:leader="none" w:pos="10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any withholding or deduction pursuant to an agreement described in Section 1471(b) of the Code or otherwise imposed pursuant to Sections 1471 through 1474 of the Code (or any regulations or agreements thereunder or official interpretations thereof) or any intergovernmental agreement between the United States and another jurisdiction for cooperation to facilitate the implementation thereof (or any law implementing such an intergovernmental agreement); or</w:t>
      </w:r>
    </w:p>
    <w:p>
      <w:pPr>
        <w:spacing w:after="0" w:line="162" w:lineRule="exact"/>
        <w:rPr>
          <w:rFonts w:ascii="Arial" w:cs="Arial" w:eastAsia="Arial" w:hAnsi="Arial"/>
          <w:sz w:val="18"/>
          <w:szCs w:val="18"/>
          <w:color w:val="auto"/>
        </w:rPr>
      </w:pPr>
    </w:p>
    <w:p>
      <w:pPr>
        <w:ind w:left="1100" w:hanging="444"/>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any combination of the above items.</w:t>
      </w:r>
    </w:p>
    <w:p>
      <w:pPr>
        <w:spacing w:after="0" w:line="185"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 notes are subject in all cases to any applicable tax, fiscal or other law or regulation or administrative or judicial interpretation. Except as specifically provided under this heading “-Payment of Additional Amounts” and under the heading “-Redemption Upon a Tax Event,” we do not have to make any payment with respect to any tax, assessment or governmental charge imposed by any government or a political subdivision or taxing authority.</w:t>
      </w:r>
    </w:p>
    <w:p>
      <w:pPr>
        <w:spacing w:after="0" w:line="147"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In particular, we will not pay additional amounts on any note presented for payment by or on behalf of a beneficial owner who would have been able to avoid the withholding or deduction by presenting the relevant note to another paying agent in a member state of the European Union or the United Kingdom.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a Tax Event</w:t>
      </w:r>
    </w:p>
    <w:p>
      <w:pPr>
        <w:spacing w:after="0" w:line="189"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If (i) we become or will become obligated to pay additional amounts as described under the heading “-Payment of Additional Amounts” as a result of any change in, or amendment to, the laws (or any regulations or rulings promulgated thereunder) of the United States (or any political subdivision or taxing authority thereof or therein), or any change in, or amendment to, any official position regarding the application or interpretation of such laws, regulations or rulings, which change or amendment is announced or becomes effective on or after the date of the issuance of the notes, or (ii) a taxing authority of the United States takes an action on or after the date of the issuance of the notes, whether or not with respect to us or any of our affiliates, that results in a substantial probability that we will or may be required to pay such additional amounts, in either case, with respect to the notes for reasons outside our control and after taking reasonable measures available to us to avoid such obligation, then we may, at our option, redeem, as a whole, but not in part, each series of the notes at any time prior to maturity on not less than 30 nor more than 60 calendar days’ prior notice to the holders, at a redemption price equal to 100% of their principal amount, together with unpaid interest accrued thereon to the date fixed for redemption. No redemption pursuant to (ii) above may be made unless we shall have received an opinion of independent counsel to the effect that an act taken by a taxing authority of the United States results in a substantial probability that we will or may be required to pay the additional amounts described under the heading “-Payment of Additional Amounts” and we shall have delivered to the trustee a certificate, signed by duly authorized officers, stating that based on such opinion, we are entitled to redeem the notes pursuant to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8"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Further Issues</w:t>
      </w:r>
    </w:p>
    <w:p>
      <w:pPr>
        <w:spacing w:after="0" w:line="189" w:lineRule="exact"/>
        <w:rPr>
          <w:sz w:val="20"/>
          <w:szCs w:val="20"/>
          <w:color w:val="auto"/>
        </w:rPr>
      </w:pPr>
    </w:p>
    <w:p>
      <w:pPr>
        <w:ind w:right="460"/>
        <w:spacing w:after="0" w:line="224" w:lineRule="auto"/>
        <w:rPr>
          <w:sz w:val="20"/>
          <w:szCs w:val="20"/>
          <w:color w:val="auto"/>
        </w:rPr>
      </w:pPr>
      <w:r>
        <w:rPr>
          <w:rFonts w:ascii="Arial" w:cs="Arial" w:eastAsia="Arial" w:hAnsi="Arial"/>
          <w:sz w:val="18"/>
          <w:szCs w:val="18"/>
          <w:color w:val="auto"/>
        </w:rPr>
        <w:t>We may, without the consent of the holders of the notes, issue additional debt securities having the same ranking, interest rate, maturity, redemption provisions and other terms as the notes of a particular series. Any additional debt securities having such similar terms, together with the notes of such series, will constitute a single series of debt securities under the indenture.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We will not, and will not permit any of our subsidiaries to, create, assume or suffer to exist any lien on restricted property to secure any of our debt, any debt of any of our subsidiaries or any debt of any other person unless we also secure the debt securities of any series having the benefit of this covenant by a lien equally and ratably with such other debt for so long as such other debt shall be so secured. The indenture contains the following exceptions to the foregoing prohibition:</w:t>
      </w:r>
    </w:p>
    <w:p>
      <w:pPr>
        <w:spacing w:after="0" w:line="163" w:lineRule="exact"/>
        <w:rPr>
          <w:sz w:val="20"/>
          <w:szCs w:val="20"/>
          <w:color w:val="auto"/>
        </w:rPr>
      </w:pPr>
    </w:p>
    <w:p>
      <w:pPr>
        <w:ind w:left="1000" w:hanging="344"/>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existing on property owned or leased by a corporation existing when such corporation becomes a subsidiary;</w:t>
      </w:r>
    </w:p>
    <w:p>
      <w:pPr>
        <w:spacing w:after="0" w:line="184" w:lineRule="exact"/>
        <w:rPr>
          <w:rFonts w:ascii="Arial" w:cs="Arial" w:eastAsia="Arial" w:hAnsi="Arial"/>
          <w:sz w:val="18"/>
          <w:szCs w:val="18"/>
          <w:color w:val="auto"/>
        </w:rPr>
      </w:pPr>
    </w:p>
    <w:p>
      <w:pPr>
        <w:ind w:left="1060" w:hanging="40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existing on the date of issuance of the first debt security of the particular series;</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existing on property when the property was acquired by us or any of our subsidiaries;</w:t>
      </w:r>
    </w:p>
    <w:p>
      <w:pPr>
        <w:spacing w:after="0" w:line="184" w:lineRule="exact"/>
        <w:rPr>
          <w:rFonts w:ascii="Arial" w:cs="Arial" w:eastAsia="Arial" w:hAnsi="Arial"/>
          <w:sz w:val="18"/>
          <w:szCs w:val="18"/>
          <w:color w:val="auto"/>
        </w:rPr>
      </w:pPr>
    </w:p>
    <w:p>
      <w:pPr>
        <w:ind w:left="1300" w:right="140" w:hanging="644"/>
        <w:spacing w:after="0" w:line="219" w:lineRule="auto"/>
        <w:tabs>
          <w:tab w:leader="none" w:pos="10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to secure debt incurred prior to, at the time of or within 12 months after the acquisition of restricted property or the completion of the construction, alteration, repair or improvement of restricted property, as the case may be, for the purpose of financing all or a part of the purchase price or cost thereof and liens to the extent they secure debt in excess of such purchase price or cost and for the payment of which recourse may be had only against such restricted property;</w:t>
      </w:r>
    </w:p>
    <w:p>
      <w:pPr>
        <w:spacing w:after="0" w:line="162" w:lineRule="exact"/>
        <w:rPr>
          <w:rFonts w:ascii="Arial" w:cs="Arial" w:eastAsia="Arial" w:hAnsi="Arial"/>
          <w:sz w:val="18"/>
          <w:szCs w:val="18"/>
          <w:color w:val="auto"/>
        </w:rPr>
      </w:pPr>
    </w:p>
    <w:p>
      <w:pPr>
        <w:ind w:left="1300" w:right="240" w:hanging="644"/>
        <w:spacing w:after="0" w:line="235" w:lineRule="auto"/>
        <w:tabs>
          <w:tab w:leader="none" w:pos="10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liens in favor of governmental entities that are required by the provisions of any contract or statute, or any liens securing industrial development, pollution control or similar revenue bonds;</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lien securing debt of a subsidiary owing to us or to another subsidiary;</w:t>
      </w:r>
    </w:p>
    <w:p>
      <w:pPr>
        <w:spacing w:after="0" w:line="184" w:lineRule="exact"/>
        <w:rPr>
          <w:rFonts w:ascii="Arial" w:cs="Arial" w:eastAsia="Arial" w:hAnsi="Arial"/>
          <w:sz w:val="18"/>
          <w:szCs w:val="18"/>
          <w:color w:val="auto"/>
        </w:rPr>
      </w:pPr>
    </w:p>
    <w:p>
      <w:pPr>
        <w:ind w:left="1300" w:right="20" w:hanging="644"/>
        <w:spacing w:after="0" w:line="214" w:lineRule="auto"/>
        <w:tabs>
          <w:tab w:leader="none" w:pos="11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lien referred to in clauses (i) through (vi) above, inclusive, so long as (1) the principal amount of the debt secured thereby does not exceed the principal amount of debt so secured at the time of the extension, renewal or replacement (except that, where an additional principal amount of debt is incurred to provide funds for the completion of a specific project, the additional principal amount, and any related financing costs, may be secured by the lien as well) and (2) the lien is limited to the same property subject to the lien so extended, renewed or replaced (and improvements on the property); and</w:t>
      </w:r>
    </w:p>
    <w:p>
      <w:pPr>
        <w:spacing w:after="0" w:line="161" w:lineRule="exact"/>
        <w:rPr>
          <w:rFonts w:ascii="Arial" w:cs="Arial" w:eastAsia="Arial" w:hAnsi="Arial"/>
          <w:sz w:val="18"/>
          <w:szCs w:val="18"/>
          <w:color w:val="auto"/>
        </w:rPr>
      </w:pPr>
    </w:p>
    <w:p>
      <w:pPr>
        <w:ind w:left="1200" w:hanging="544"/>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lien that would not otherwise be permitted by clauses (i) through (vii) above, inclusive, securing debt which, together with:</w:t>
      </w:r>
    </w:p>
    <w:p>
      <w:pPr>
        <w:spacing w:after="0" w:line="184" w:lineRule="exact"/>
        <w:rPr>
          <w:rFonts w:ascii="Arial" w:cs="Arial" w:eastAsia="Arial" w:hAnsi="Arial"/>
          <w:sz w:val="18"/>
          <w:szCs w:val="18"/>
          <w:color w:val="auto"/>
        </w:rPr>
      </w:pPr>
    </w:p>
    <w:p>
      <w:pPr>
        <w:ind w:left="1960" w:hanging="656"/>
        <w:spacing w:after="0" w:line="235" w:lineRule="auto"/>
        <w:tabs>
          <w:tab w:leader="none" w:pos="195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aggregate outstanding principal amount of all other debt of ours and our subsidiaries owning restricted property which would otherwise be subject to the foregoing restrictions, and</w:t>
      </w:r>
    </w:p>
    <w:p>
      <w:pPr>
        <w:spacing w:after="0" w:line="161" w:lineRule="exact"/>
        <w:rPr>
          <w:rFonts w:ascii="Arial" w:cs="Arial" w:eastAsia="Arial" w:hAnsi="Arial"/>
          <w:sz w:val="18"/>
          <w:szCs w:val="18"/>
          <w:color w:val="auto"/>
        </w:rPr>
      </w:pPr>
    </w:p>
    <w:p>
      <w:pPr>
        <w:ind w:left="1960" w:right="180" w:hanging="656"/>
        <w:spacing w:after="0" w:line="235" w:lineRule="auto"/>
        <w:tabs>
          <w:tab w:leader="none" w:pos="195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aggregate value of existing sale and leaseback transactions which would be subject to the foregoing restrictions absent this clause (viii), does not exceed 15% of our consolidated net 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will not, and will not permit any of our subsidiaries owning restricted property to, enter into any sale and leaseback transaction unless:</w:t>
      </w:r>
    </w:p>
    <w:p>
      <w:pPr>
        <w:spacing w:after="0" w:line="185" w:lineRule="exact"/>
        <w:rPr>
          <w:sz w:val="20"/>
          <w:szCs w:val="20"/>
          <w:color w:val="auto"/>
        </w:rPr>
      </w:pPr>
    </w:p>
    <w:p>
      <w:pPr>
        <w:ind w:left="1300" w:right="340" w:hanging="644"/>
        <w:spacing w:after="0" w:line="224" w:lineRule="auto"/>
        <w:tabs>
          <w:tab w:leader="none" w:pos="10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company or such subsidiary could incur debt, in a principal amount at least equal to the value of such sale and leaseback transaction, secured by a lien on the property to be leased (without equally and ratably securing the outstanding debt securities) because such lien would be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04" w:right="359" w:bottom="1440" w:gutter="0" w:footer="0" w:header="0"/>
        </w:sectPr>
      </w:pPr>
    </w:p>
    <w:bookmarkStart w:id="132" w:name="page133"/>
    <w:bookmarkEnd w:id="132"/>
    <w:p>
      <w:pPr>
        <w:ind w:left="1300"/>
        <w:spacing w:after="0"/>
        <w:rPr>
          <w:sz w:val="20"/>
          <w:szCs w:val="20"/>
          <w:color w:val="auto"/>
        </w:rPr>
      </w:pPr>
      <w:r>
        <w:rPr>
          <w:rFonts w:ascii="Arial" w:cs="Arial" w:eastAsia="Arial" w:hAnsi="Arial"/>
          <w:sz w:val="18"/>
          <w:szCs w:val="18"/>
          <w:color w:val="auto"/>
        </w:rPr>
        <w:t>character that no violation of the covenant described under “ Limitations on Liens” above would result; or</w:t>
      </w:r>
    </w:p>
    <w:p>
      <w:pPr>
        <w:spacing w:after="0" w:line="185" w:lineRule="exact"/>
        <w:rPr>
          <w:sz w:val="20"/>
          <w:szCs w:val="20"/>
          <w:color w:val="auto"/>
        </w:rPr>
      </w:pPr>
    </w:p>
    <w:p>
      <w:pPr>
        <w:ind w:left="1300" w:right="80" w:hanging="644"/>
        <w:spacing w:after="0" w:line="224" w:lineRule="auto"/>
        <w:tabs>
          <w:tab w:leader="none" w:pos="10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apply, during the six months following the effective date of the sale and leaseback transaction, an amount equal to the value of the sale and leaseback transaction to the voluntary retirement of funded debt (whether by redemption, defeasance, repurchase, or otherwise) or to the acquisition of restricted property.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meanings of terms that are important in understanding the covenants previously described:</w:t>
      </w:r>
    </w:p>
    <w:p>
      <w:pPr>
        <w:spacing w:after="0" w:line="185" w:lineRule="exact"/>
        <w:rPr>
          <w:sz w:val="20"/>
          <w:szCs w:val="20"/>
          <w:color w:val="auto"/>
        </w:rPr>
      </w:pPr>
    </w:p>
    <w:p>
      <w:pPr>
        <w:ind w:left="1300" w:right="340" w:hanging="644"/>
        <w:spacing w:after="0" w:line="228" w:lineRule="auto"/>
        <w:tabs>
          <w:tab w:leader="none" w:pos="12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“consolidated net tangible assets” means the total assets (less applicable reserves and other properly deductible items) less current liabilities (excluding the amount of those which are by their terms extendable or renewable at the option of the obligor to a date more than 12 months after the date as of which the amount is being determined) and all goodwill, tradenames, trademarks, patents, unamortized debt discount and expense and other like intangible assets, all as set forth on our most recent consolidated balance sheet determined in accordance with generally accepted accounting principles.</w:t>
      </w:r>
    </w:p>
    <w:p>
      <w:pPr>
        <w:spacing w:after="0" w:line="165" w:lineRule="exact"/>
        <w:rPr>
          <w:rFonts w:ascii="Arial" w:cs="Arial" w:eastAsia="Arial" w:hAnsi="Arial"/>
          <w:sz w:val="17"/>
          <w:szCs w:val="17"/>
          <w:color w:val="auto"/>
        </w:rPr>
      </w:pPr>
    </w:p>
    <w:p>
      <w:pPr>
        <w:ind w:left="1300" w:right="20" w:hanging="644"/>
        <w:spacing w:after="0" w:line="224"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“funded debt” means our indebtedness or the indebtedness of a subsidiary owning restricted property maturing by its terms more than one year after its creation and indebtedness classified as long-term debt under generally accepted accounting principles and in each case ranking at least pari passu with the debt securities.</w:t>
      </w:r>
    </w:p>
    <w:p>
      <w:pPr>
        <w:spacing w:after="0" w:line="162" w:lineRule="exact"/>
        <w:rPr>
          <w:rFonts w:ascii="Arial" w:cs="Arial" w:eastAsia="Arial" w:hAnsi="Arial"/>
          <w:sz w:val="18"/>
          <w:szCs w:val="18"/>
          <w:color w:val="auto"/>
        </w:rPr>
      </w:pPr>
    </w:p>
    <w:p>
      <w:pPr>
        <w:ind w:left="1300" w:right="100" w:hanging="644"/>
        <w:spacing w:after="0" w:line="235"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“original issue discount security” means any debt security which provides for an amount less than the principal amount thereof to be due and payable upon a declaration of acceleration of maturity thereof pursuant to the indenture.</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“restricted property” means</w:t>
      </w:r>
    </w:p>
    <w:p>
      <w:pPr>
        <w:spacing w:after="0" w:line="184" w:lineRule="exact"/>
        <w:rPr>
          <w:rFonts w:ascii="Arial" w:cs="Arial" w:eastAsia="Arial" w:hAnsi="Arial"/>
          <w:sz w:val="18"/>
          <w:szCs w:val="18"/>
          <w:color w:val="auto"/>
        </w:rPr>
      </w:pPr>
    </w:p>
    <w:p>
      <w:pPr>
        <w:ind w:left="1960" w:right="160" w:hanging="656"/>
        <w:spacing w:after="0" w:line="216" w:lineRule="auto"/>
        <w:tabs>
          <w:tab w:leader="none" w:pos="195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manufacturing facility (or portion thereof) owned or leased by us or any of our subsidiaries and located within the continental United States which, in the opinion of our board of directors (or a committee thereof), is of material importance to our business and the business of our subsidiaries taken as a whole, but no such manufacturing facility (or portion thereof) shall be deemed of material importance if its gross book value, before deducting accumulated depreciation, is less than 2% of our consolidated net tangible assets; or</w:t>
      </w:r>
    </w:p>
    <w:p>
      <w:pPr>
        <w:spacing w:after="0" w:line="162" w:lineRule="exact"/>
        <w:rPr>
          <w:rFonts w:ascii="Arial" w:cs="Arial" w:eastAsia="Arial" w:hAnsi="Arial"/>
          <w:sz w:val="18"/>
          <w:szCs w:val="18"/>
          <w:color w:val="auto"/>
        </w:rPr>
      </w:pPr>
    </w:p>
    <w:p>
      <w:pPr>
        <w:ind w:left="1940" w:hanging="636"/>
        <w:spacing w:after="0"/>
        <w:tabs>
          <w:tab w:leader="none" w:pos="19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shares of capital stock or indebtedness of any subsidiary owning any such manufacturing facility.</w:t>
      </w:r>
    </w:p>
    <w:p>
      <w:pPr>
        <w:spacing w:after="0" w:line="184" w:lineRule="exact"/>
        <w:rPr>
          <w:rFonts w:ascii="Arial" w:cs="Arial" w:eastAsia="Arial" w:hAnsi="Arial"/>
          <w:sz w:val="18"/>
          <w:szCs w:val="18"/>
          <w:color w:val="auto"/>
        </w:rPr>
      </w:pPr>
    </w:p>
    <w:p>
      <w:pPr>
        <w:ind w:left="1960" w:hanging="656"/>
        <w:spacing w:after="0" w:line="225" w:lineRule="auto"/>
        <w:tabs>
          <w:tab w:leader="none" w:pos="1955" w:val="left"/>
        </w:tabs>
        <w:numPr>
          <w:ilvl w:val="1"/>
          <w:numId w:val="68"/>
        </w:numPr>
        <w:rPr>
          <w:rFonts w:ascii="Arial" w:cs="Arial" w:eastAsia="Arial" w:hAnsi="Arial"/>
          <w:sz w:val="17"/>
          <w:szCs w:val="17"/>
          <w:color w:val="auto"/>
        </w:rPr>
      </w:pPr>
      <w:r>
        <w:rPr>
          <w:rFonts w:ascii="Arial" w:cs="Arial" w:eastAsia="Arial" w:hAnsi="Arial"/>
          <w:sz w:val="17"/>
          <w:szCs w:val="17"/>
          <w:color w:val="auto"/>
        </w:rPr>
        <w:t>“sale and leaseback transaction” means any arrangement with any person providing for the leasing by us or any subsidiary of any restricted property which has been or is to be sold or transferred by us or such subsidiary to such person, excluding (1) temporary leases for a term, including renewals at the option of the lessee, of not more than three years, (2) leases between us and a subsidiary or between subsidiaries, (3) leases of a restricted property executed by the time of, or within 12 months after the latest of, the acquisition, the completion of construction or improvement, or the commencement of commercial operation of the restricted property, and (4) arrangements pursuant to any provision of law with an effect similar to the former Section 168(f)(8) of the Internal Revenue Code of 1954, as amended.</w:t>
      </w:r>
    </w:p>
    <w:p>
      <w:pPr>
        <w:spacing w:after="0" w:line="161" w:lineRule="exact"/>
        <w:rPr>
          <w:rFonts w:ascii="Arial" w:cs="Arial" w:eastAsia="Arial" w:hAnsi="Arial"/>
          <w:sz w:val="17"/>
          <w:szCs w:val="17"/>
          <w:color w:val="auto"/>
        </w:rPr>
      </w:pPr>
    </w:p>
    <w:p>
      <w:pPr>
        <w:ind w:left="1960" w:right="200" w:hanging="656"/>
        <w:spacing w:after="0" w:line="228" w:lineRule="auto"/>
        <w:tabs>
          <w:tab w:leader="none" w:pos="1955" w:val="left"/>
        </w:tabs>
        <w:numPr>
          <w:ilvl w:val="1"/>
          <w:numId w:val="68"/>
        </w:numPr>
        <w:rPr>
          <w:rFonts w:ascii="Arial" w:cs="Arial" w:eastAsia="Arial" w:hAnsi="Arial"/>
          <w:sz w:val="17"/>
          <w:szCs w:val="17"/>
          <w:color w:val="auto"/>
        </w:rPr>
      </w:pPr>
      <w:r>
        <w:rPr>
          <w:rFonts w:ascii="Arial" w:cs="Arial" w:eastAsia="Arial" w:hAnsi="Arial"/>
          <w:sz w:val="17"/>
          <w:szCs w:val="17"/>
          <w:color w:val="auto"/>
        </w:rPr>
        <w:t>“subsidiary” means any corporation more than 50% of the voting stock of which shall at the time be owned by us or by one or more subsidiaries or by us and one or more subsidiaries, but shall not include any corporation of which we and/or one or more subsidiaries owns directly or indirectly, less than 50% of the outstanding stock of all classes having ordinary voting power for the election of directors but more than 50% of the outstanding shares of stock of a class having by its terms ordinary voting power as a class to elect a majority of the board of directors of such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8" w:right="339" w:bottom="1440" w:gutter="0" w:footer="0" w:header="0"/>
        </w:sectPr>
      </w:pPr>
    </w:p>
    <w:bookmarkStart w:id="133" w:name="page134"/>
    <w:bookmarkEnd w:id="133"/>
    <w:p>
      <w:pPr>
        <w:ind w:left="1960" w:right="80" w:hanging="656"/>
        <w:spacing w:after="0" w:line="216" w:lineRule="auto"/>
        <w:tabs>
          <w:tab w:leader="none" w:pos="19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“value” means, with respect to a sale and leaseback transaction, an amount equal to the net present value of the lease payments with respect to the term of the lease remaining on the date as of which the amount is being determined, without regard to any renewal or extension options contained in the lease, discounted at the weighted average interest rate on the debt securities of all series (including the yield to maturity on any original issue discount securities) which are outstanding on the effective date of such sale and leaseback transaction.</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Because the covenants described above cover only manufacturing facilities in the continental United States, our manufacturing facilities in Puerto Rico and elsewhere in the world are excluded from the operation of the covenants described above.</w:t>
      </w:r>
    </w:p>
    <w:p>
      <w:pPr>
        <w:spacing w:after="0" w:line="16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Except as described in “Merger or Consolidation” below, there are no other restrictive covenants contained in the indenture. The indenture does not contain any provision which restricts us from incurring, assuming or becoming liable with respect to any indebtedness or other obligations, whether secured or unsecured, or from paying dividends or making other distributions on our capital stock or purchasing or redeeming our capital stock. The indenture does not contain any financial ratios, or specified levels of net worth or liquidity to which we must adhere. In addition, the indenture does not contain any provision which would require that we repurchase or redeem or otherwise modify the terms of any of our debt securities upon a change in control or other events involving us which may adversely affect the creditworthiness of the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indenture provides that, with respect to any series of debt securities, an event of default consists of:</w:t>
      </w:r>
    </w:p>
    <w:p>
      <w:pPr>
        <w:spacing w:after="0" w:line="185"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failure to pay interest when due on any debt securities of such series that continues for 30 days;</w:t>
      </w:r>
    </w:p>
    <w:p>
      <w:pPr>
        <w:spacing w:after="0" w:line="184" w:lineRule="exact"/>
        <w:rPr>
          <w:rFonts w:ascii="Arial" w:cs="Arial" w:eastAsia="Arial" w:hAnsi="Arial"/>
          <w:sz w:val="18"/>
          <w:szCs w:val="18"/>
          <w:color w:val="auto"/>
        </w:rPr>
      </w:pPr>
    </w:p>
    <w:p>
      <w:pPr>
        <w:ind w:left="1300" w:right="280" w:hanging="644"/>
        <w:spacing w:after="0" w:line="235" w:lineRule="auto"/>
        <w:tabs>
          <w:tab w:leader="none" w:pos="12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failure to pay principal or premium, if any, when due (whether at maturity, upon redemption, by declaration or otherwise) on any debt securities of such series;</w:t>
      </w:r>
    </w:p>
    <w:p>
      <w:pPr>
        <w:spacing w:after="0" w:line="161" w:lineRule="exact"/>
        <w:rPr>
          <w:rFonts w:ascii="Arial" w:cs="Arial" w:eastAsia="Arial" w:hAnsi="Arial"/>
          <w:sz w:val="18"/>
          <w:szCs w:val="18"/>
          <w:color w:val="auto"/>
        </w:rPr>
      </w:pPr>
    </w:p>
    <w:p>
      <w:pPr>
        <w:ind w:left="1300" w:right="220" w:hanging="644"/>
        <w:spacing w:after="0" w:line="289" w:lineRule="auto"/>
        <w:tabs>
          <w:tab w:leader="none" w:pos="12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failure to observe or perform the covenant in the indenture described below under “Merger or Consolidation” after written notice from the trustee or holders of 25% or more in aggregate principal amount of debt securities of such series outstanding thereunder;</w:t>
      </w:r>
    </w:p>
    <w:p>
      <w:pPr>
        <w:spacing w:after="0" w:line="123" w:lineRule="exact"/>
        <w:rPr>
          <w:rFonts w:ascii="Arial" w:cs="Arial" w:eastAsia="Arial" w:hAnsi="Arial"/>
          <w:sz w:val="16"/>
          <w:szCs w:val="16"/>
          <w:color w:val="auto"/>
        </w:rPr>
      </w:pPr>
    </w:p>
    <w:p>
      <w:pPr>
        <w:ind w:left="1300" w:right="40" w:hanging="644"/>
        <w:spacing w:after="0" w:line="249" w:lineRule="auto"/>
        <w:tabs>
          <w:tab w:leader="none" w:pos="12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failure to observe or perform any of our covenants in the indenture or the debt securities of such series (other than a covenant included in the indenture or the debt securities solely for the benefit of a series of debt securities other than such series), continued for 60 days (except in the case of a violation of the covenant described below under “Merger or Consolidation”) after written notice from the trustee or the holders of 25% or more in aggregate principal amount, of debt securities of such series outstanding thereunder;</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events of our bankruptcy, insolvency or reorganization;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as may be specified for such series.</w:t>
      </w:r>
    </w:p>
    <w:p>
      <w:pPr>
        <w:spacing w:after="0" w:line="185"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The indenture provides that if an event of default with respect to any series of debt securities at the time outstanding occurs and is continuing, either the trustee or the holders of 25% or more in aggregate principal amount (or, if the debt securities of that series are original issue discount securities, such portion of the principal amount as may be specified in the terms of that series) of debt securities of such series outstanding may declare the principal amount of all debt securities of such series to be due and payable immediately. At any time after a declaration of acceleration with respect to the debt securities of any series has been made and before there has been a sale of property under a judgment or decree for the payment of moneys due, the holders of a majority in aggregate principal amount of the debt securities of such series outstanding may waive the default and rescind the declaration and its consequences if:</w:t>
      </w:r>
    </w:p>
    <w:p>
      <w:pPr>
        <w:spacing w:after="0" w:line="165"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84" w:lineRule="exact"/>
        <w:rPr>
          <w:rFonts w:ascii="Arial" w:cs="Arial" w:eastAsia="Arial" w:hAnsi="Arial"/>
          <w:sz w:val="18"/>
          <w:szCs w:val="18"/>
          <w:color w:val="auto"/>
        </w:rPr>
      </w:pPr>
    </w:p>
    <w:p>
      <w:pPr>
        <w:ind w:left="1600" w:hanging="296"/>
        <w:spacing w:after="0"/>
        <w:tabs>
          <w:tab w:leader="none" w:pos="16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matured installments of interest upon all the debt securities of such series;</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principal of and premium, if any, on any and all debt securities of such series which have become due other than by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408" w:right="379" w:bottom="1440" w:gutter="0" w:footer="0" w:header="0"/>
        </w:sectPr>
      </w:pPr>
    </w:p>
    <w:bookmarkStart w:id="134" w:name="page135"/>
    <w:bookmarkEnd w:id="134"/>
    <w:p>
      <w:pPr>
        <w:ind w:left="1960" w:right="500" w:hanging="656"/>
        <w:spacing w:after="0" w:line="237" w:lineRule="auto"/>
        <w:tabs>
          <w:tab w:leader="none" w:pos="1617"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interest on overdue installments of interest, to the extent legally enforceable under applicable law, and on such principal of and premium, if any, on each debt security of such series at the rate borne by such debt security to the date of such payment or deposit or yield to maturity (in the case of an original issue discount security); and</w:t>
      </w:r>
    </w:p>
    <w:p>
      <w:pPr>
        <w:spacing w:after="0" w:line="163" w:lineRule="exact"/>
        <w:rPr>
          <w:rFonts w:ascii="Arial" w:cs="Arial" w:eastAsia="Arial" w:hAnsi="Arial"/>
          <w:sz w:val="17"/>
          <w:szCs w:val="17"/>
          <w:color w:val="auto"/>
        </w:rPr>
      </w:pPr>
    </w:p>
    <w:p>
      <w:pPr>
        <w:ind w:left="1620" w:hanging="316"/>
        <w:spacing w:after="0"/>
        <w:tabs>
          <w:tab w:leader="none" w:pos="1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expenses of the trustee, and reasonable compensation to the trustee, agents, attorneys and counsel; and</w:t>
      </w:r>
    </w:p>
    <w:p>
      <w:pPr>
        <w:spacing w:after="0" w:line="184" w:lineRule="exact"/>
        <w:rPr>
          <w:rFonts w:ascii="Arial" w:cs="Arial" w:eastAsia="Arial" w:hAnsi="Arial"/>
          <w:sz w:val="18"/>
          <w:szCs w:val="18"/>
          <w:color w:val="auto"/>
        </w:rPr>
      </w:pPr>
    </w:p>
    <w:p>
      <w:pPr>
        <w:ind w:left="1300" w:right="100" w:hanging="644"/>
        <w:spacing w:after="0" w:line="235" w:lineRule="auto"/>
        <w:tabs>
          <w:tab w:leader="none" w:pos="9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and all defaults under the indenture, other than the nonpayment of principal on the debt securities of such series which may have become due by declaration, have been remedied.</w:t>
      </w:r>
    </w:p>
    <w:p>
      <w:pPr>
        <w:spacing w:after="0" w:line="16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indenture provides that the holders of a majority in aggregate principal amount of the debt securities of any series outstanding under the indenture may, subject to certain exceptions, direct the trustee as to the time, method and place of conducting any proceeding for any remedy available to the trustee, or exercising any power or trust conferred upon the trustee. The holders of a majority in aggregate principal amount of the debt securities of any series outstanding may on behalf of all holders of debt securities of such series waive any past default and its consequences with respect to debt securities of such series, except a default in the payment of the principal of, premium, if any, or interest, if any, on any of the debt securities of such series.</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Holders of any debt securities of any series may not institute any proceeding to enforce the indenture or any remedy thereunder unless the trustee shall have failed to act for 60 days after a request and offer of reasonable indemnity by the holders of 25% or more in aggregate principal amount of the debt securities of such series outstanding. However, the right of any holder of any security of any series to enforce payment of the principal of or premium, if any, or interest, if any, on its debt securities when due shall not be impaired without the consent of such holder.</w:t>
      </w:r>
    </w:p>
    <w:p>
      <w:pPr>
        <w:spacing w:after="0" w:line="162"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The trustee is required to give the holders of any debt security of any series notice of default with respect to such series known to it within 90 days after the happening of the default, unless cured before the giving of such notice. However, except for defaults in payments of the principal of or premium, if any, or interest, if any, on the debt securities of such series, the trustee may withhold notice if and so long as it determines in good faith that the withholding of such notice is in the interests of the holders of the debt securities of such series.</w:t>
      </w:r>
    </w:p>
    <w:p>
      <w:pPr>
        <w:spacing w:after="0" w:line="163"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We are required to deliver to the trustee each year an officers’ certificate stating whether such officers have obtained knowledge of any default by our company in the performance of all covenants and, if so, specifying the nature of such default.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89"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The indenture provides that without the consent of the holders of any of the outstanding debt securities under the indenture, we may consolidate with or merge into, or transfer or lease substantially all of our assets to, any domestic corporation, association, company or business trust (as used in this subsection, a “corporation”), provided:</w:t>
      </w:r>
    </w:p>
    <w:p>
      <w:pPr>
        <w:spacing w:after="0" w:line="163" w:lineRule="exact"/>
        <w:rPr>
          <w:sz w:val="20"/>
          <w:szCs w:val="20"/>
          <w:color w:val="auto"/>
        </w:rPr>
      </w:pPr>
    </w:p>
    <w:p>
      <w:pPr>
        <w:ind w:left="1300" w:right="620" w:hanging="644"/>
        <w:spacing w:after="0" w:line="235" w:lineRule="auto"/>
        <w:tabs>
          <w:tab w:leader="none" w:pos="12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successor corporation assumes all of our payment obligations under the debt securities and the performance of all of our other covenants under the indenture; and</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other conditions described in the indenture are met.</w:t>
      </w:r>
    </w:p>
    <w:p>
      <w:pPr>
        <w:spacing w:after="0" w:line="18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Although there is a limited body of case law interpreting the phrase “substantially all,” there is no precise established definition of the phrase under applicable law. As a result of this uncertainty:</w:t>
      </w:r>
    </w:p>
    <w:p>
      <w:pPr>
        <w:spacing w:after="0" w:line="162" w:lineRule="exact"/>
        <w:rPr>
          <w:sz w:val="20"/>
          <w:szCs w:val="20"/>
          <w:color w:val="auto"/>
        </w:rPr>
      </w:pPr>
    </w:p>
    <w:p>
      <w:pPr>
        <w:ind w:left="1300" w:right="20" w:hanging="644"/>
        <w:spacing w:after="0" w:line="224" w:lineRule="auto"/>
        <w:tabs>
          <w:tab w:leader="none" w:pos="9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could be a disagreement between us and the holders of debt securities over whether, as a condition to a transfer or lease of our assets, the successor entity is required to assume our obligations under the indenture and, consequently, whether a failure to assume such obligations would result in an event of default under the indenture;</w:t>
      </w:r>
    </w:p>
    <w:p>
      <w:pPr>
        <w:spacing w:after="0" w:line="162" w:lineRule="exact"/>
        <w:rPr>
          <w:rFonts w:ascii="Arial" w:cs="Arial" w:eastAsia="Arial" w:hAnsi="Arial"/>
          <w:sz w:val="18"/>
          <w:szCs w:val="18"/>
          <w:color w:val="auto"/>
        </w:rPr>
      </w:pPr>
    </w:p>
    <w:p>
      <w:pPr>
        <w:ind w:left="1300" w:right="60" w:hanging="644"/>
        <w:spacing w:after="0" w:line="224" w:lineRule="auto"/>
        <w:tabs>
          <w:tab w:leader="none" w:pos="9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that the holders of debt securities attempt to declare an event of default and exercise their acceleration rights under the indenture in such circumstances and we contest such action, there can be no assurance as to how a court interpreting applicable law would interpret the phrase “substantially all”; and</w:t>
      </w:r>
    </w:p>
    <w:p>
      <w:pPr>
        <w:spacing w:after="0" w:line="162" w:lineRule="exact"/>
        <w:rPr>
          <w:rFonts w:ascii="Arial" w:cs="Arial" w:eastAsia="Arial" w:hAnsi="Arial"/>
          <w:sz w:val="18"/>
          <w:szCs w:val="18"/>
          <w:color w:val="auto"/>
        </w:rPr>
      </w:pPr>
    </w:p>
    <w:p>
      <w:pPr>
        <w:ind w:left="1040" w:hanging="384"/>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may be difficult for holders to debt securities to declare an event of default and exercise their acceleration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Discharge, Legal Defeasance and Covenant Defeasance</w:t>
      </w:r>
    </w:p>
    <w:p>
      <w:pPr>
        <w:spacing w:after="0" w:line="189"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We may discharge certain obligations to holders of any series of debt securities that have not already been delivered to the trustee for cancellation and that either have become due and payable or will become due and payable within one year (or are to be called for redemption within one year under arrangements satisfactory to the trustee for the giving of notice) by irrevocably depositing with the trustee, in trust, funds in the currency or currencies in which those debt securities are payable in an amount sufficient to pay the entire indebtedness on those debt securities in respect of principal, premium, if any, and interest, if any, to the date of that deposit (if those debt securities have become due and payable) or to the maturity date, as the case may be.</w:t>
      </w:r>
    </w:p>
    <w:p>
      <w:pPr>
        <w:spacing w:after="0" w:line="158"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At our option, we may be discharged, subject to certain terms and conditions, from any and all obligations in respect of the debt securities of any series (except for certain obligations to register the transfer and exchange of debt securities, replace, stolen, lost or mutilated debt securities and coupons, maintain paying agencies and hold moneys for payment in trust) or need not comply with certain restrictive covenants of the indenture if:</w:t>
      </w:r>
    </w:p>
    <w:p>
      <w:pPr>
        <w:spacing w:after="0" w:line="147" w:lineRule="exact"/>
        <w:rPr>
          <w:sz w:val="20"/>
          <w:szCs w:val="20"/>
          <w:color w:val="auto"/>
        </w:rPr>
      </w:pPr>
    </w:p>
    <w:p>
      <w:pPr>
        <w:ind w:left="1300" w:hanging="644"/>
        <w:spacing w:after="0" w:line="226" w:lineRule="auto"/>
        <w:tabs>
          <w:tab w:leader="none" w:pos="1087"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have deposited with the trustee, in trust, money, and in the case of debt securities and coupons denominated in U.S. dollars, U.S. government obligations or, in the case of debt securities and coupons denominated in a foreign currency, foreign currency government securities, which through the payment of interest thereon and principal thereof in accordance with their terms will provide money or a combination of money, and either U.S. government securities or foreign currency government securities, as the case may be, in an amount sufficient to pay in the currency in which the debt securities are payable all the principal of and premium, if any, and interest, if any, on the debt securities on the date such payments are due in accordance with the debt securities;</w:t>
      </w:r>
    </w:p>
    <w:p>
      <w:pPr>
        <w:spacing w:after="0" w:line="164" w:lineRule="exact"/>
        <w:rPr>
          <w:rFonts w:ascii="Arial" w:cs="Arial" w:eastAsia="Arial" w:hAnsi="Arial"/>
          <w:sz w:val="17"/>
          <w:szCs w:val="17"/>
          <w:color w:val="auto"/>
        </w:rPr>
      </w:pPr>
    </w:p>
    <w:p>
      <w:pPr>
        <w:ind w:left="1300" w:right="40" w:hanging="644"/>
        <w:spacing w:after="0" w:line="216" w:lineRule="auto"/>
        <w:tabs>
          <w:tab w:leader="none" w:pos="108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no event of default or event which with notice or lapse of time would become an event of default shall have occurred and be continuing on the date of such deposit, (ii) no event of default relating to our bankruptcy, insolvency or reorganization, or event which with notice or lapse of time or both would become such an event of default, shall have occurred within 90 days after the date of such deposit, and (iii) such deposit and discharge will not result in any default or event of default under any material indenture, agreement or other instrument binding upon us or any of our properties;</w:t>
      </w:r>
    </w:p>
    <w:p>
      <w:pPr>
        <w:spacing w:after="0" w:line="162" w:lineRule="exact"/>
        <w:rPr>
          <w:rFonts w:ascii="Arial" w:cs="Arial" w:eastAsia="Arial" w:hAnsi="Arial"/>
          <w:sz w:val="18"/>
          <w:szCs w:val="18"/>
          <w:color w:val="auto"/>
        </w:rPr>
      </w:pPr>
    </w:p>
    <w:p>
      <w:pPr>
        <w:ind w:left="1300" w:right="100" w:hanging="644"/>
        <w:spacing w:after="0" w:line="237" w:lineRule="auto"/>
        <w:tabs>
          <w:tab w:leader="none" w:pos="1087"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have delivered to the trustee an opinion of counsel to the effect that such deposit and discharge will not cause the holders of the debt securities of such series to recognize income, gain or loss for federal income tax purposes and that such holders will be subject to federal income tax in the same amounts, manner and time had such deposit and discharge not occurred; and</w:t>
      </w:r>
    </w:p>
    <w:p>
      <w:pPr>
        <w:spacing w:after="0" w:line="163" w:lineRule="exact"/>
        <w:rPr>
          <w:rFonts w:ascii="Arial" w:cs="Arial" w:eastAsia="Arial" w:hAnsi="Arial"/>
          <w:sz w:val="17"/>
          <w:szCs w:val="17"/>
          <w:color w:val="auto"/>
        </w:rPr>
      </w:pPr>
    </w:p>
    <w:p>
      <w:pPr>
        <w:ind w:left="1300" w:right="80" w:hanging="644"/>
        <w:spacing w:after="0" w:line="224" w:lineRule="auto"/>
        <w:tabs>
          <w:tab w:leader="none" w:pos="1087"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from our counsel stating that we have complied with all conditions precedent set forth in the indenture or the applicable supplemental indenture relating to the satisfaction and discharge of the indebtedness of the series of debt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89"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auto"/>
        </w:rPr>
        <w:t xml:space="preserve">The indenture contains provisions permitting us and the trustee, with the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in the notes,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65"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The indenture also contains provisions permitting us and the trustee, without the consent of the holders of the notes, to establish, among other things, the form and terms of any series of debt securities issuable under the indenture by one or more supplemental indentures, to add covenants and to provide for security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4"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Concerning the Trustee</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Deutsche Bank Trust Company Americas is the current trustee under the indenture. The trustee may acquire and hold debt securities and, subject to certain conditions, otherwise deal with us as if it were not trustee under the indenture. The trustee and its affiliates have in the past provided, and may from time to time in the future provide, trustee, commercial banking, investment banking and other services to us in the ordinary course of their respective businesses for which they have received, and will receive, customary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4"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Exhibit 4.9 Description of the Company’s 1.625% notes due 2043</w:t>
      </w:r>
    </w:p>
    <w:p>
      <w:pPr>
        <w:spacing w:after="0" w:line="189"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i w:val="1"/>
          <w:iCs w:val="1"/>
          <w:color w:val="auto"/>
        </w:rPr>
        <w:t>The following summary of Eli Lilly and Company’s above referenced debt securities is based on and qualified by the indenture, dated as of February 1, 1991, between us and Deutsche Bank Trust Company Americas (as successor to Citibank, N.A.), as trustee, and the forms of 1.625% notes due September 2043 (the “notes”). For a complete description of the terms and provisions of the notes, refer to the indenture, the form of officers’ certificate setting forth the terms and form of the notes, all of which are filed as exhibits to the Form 8-A filed with the Securities and Exchange Commission on September 14, 2021. Throughout this exhibit, references to “we,” “the Company,” “our,” and “us” refer to Eli Lilly and Company and not to any of its subsidiaries, unless otherwise indicated.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185" w:lineRule="exact"/>
        <w:rPr>
          <w:sz w:val="20"/>
          <w:szCs w:val="20"/>
          <w:color w:val="auto"/>
        </w:rPr>
      </w:pPr>
    </w:p>
    <w:p>
      <w:pPr>
        <w:ind w:left="1300" w:right="140" w:hanging="644"/>
        <w:spacing w:after="0" w:line="258" w:lineRule="auto"/>
        <w:tabs>
          <w:tab w:leader="none" w:pos="1295"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were issued in an aggregate initial principal amount of £250,000,000, which remained outstanding as of December 31, 2021, and permit us to issue additional notes that may be of the same series as the notes as described under “Further Issues;”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mature on September 14, 2043;</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bear interest at a rate of 1.625% per annum;</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unsecured;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rank equally with all of our other unsecured and unsubordinated indebtedness;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were issued as a separate series under the indenture, in registered, book-entry form only;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repayable at par at maturity;</w:t>
      </w:r>
    </w:p>
    <w:p>
      <w:pPr>
        <w:spacing w:after="0" w:line="184" w:lineRule="exact"/>
        <w:rPr>
          <w:rFonts w:ascii="Arial" w:cs="Arial" w:eastAsia="Arial" w:hAnsi="Arial"/>
          <w:sz w:val="18"/>
          <w:szCs w:val="18"/>
          <w:color w:val="auto"/>
        </w:rPr>
      </w:pPr>
    </w:p>
    <w:p>
      <w:pPr>
        <w:ind w:left="1300" w:right="420" w:hanging="644"/>
        <w:spacing w:after="0" w:line="235" w:lineRule="auto"/>
        <w:tabs>
          <w:tab w:leader="none" w:pos="12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redeemable by us at any time prior to maturity as described below under “-Optional Redemption” and in connection with certain developments involving United States taxation;</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subject to defeasance and covenant defeasance;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not subject to any sinking fund.</w:t>
      </w:r>
    </w:p>
    <w:p>
      <w:pPr>
        <w:spacing w:after="0" w:line="185" w:lineRule="exact"/>
        <w:rPr>
          <w:sz w:val="20"/>
          <w:szCs w:val="20"/>
          <w:color w:val="auto"/>
        </w:rPr>
      </w:pPr>
    </w:p>
    <w:p>
      <w:pPr>
        <w:ind w:right="440"/>
        <w:spacing w:after="0" w:line="224" w:lineRule="auto"/>
        <w:rPr>
          <w:sz w:val="20"/>
          <w:szCs w:val="20"/>
          <w:color w:val="auto"/>
        </w:rPr>
      </w:pPr>
      <w:r>
        <w:rPr>
          <w:rFonts w:ascii="Arial" w:cs="Arial" w:eastAsia="Arial" w:hAnsi="Arial"/>
          <w:sz w:val="18"/>
          <w:szCs w:val="18"/>
          <w:color w:val="auto"/>
        </w:rPr>
        <w:t>The indenture and the notes do not limit the amount of indebtedness that we may incur or the amount of securities that may be issued by us or our subsidiaries, and contain no financial covenants or similar restrictions on us or our subsidiaries, except as described under the captions “Limitation on Liens” and “Limitation on Sale and Leaseback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89"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We will pay interest on the notes annually on September 14 of each year, commencing on September 14, 2022, to the persons in whose names such notes are registered at the close of business on August 31 (whether or not a business day), immediately preceding such interest payment date.</w:t>
      </w:r>
    </w:p>
    <w:p>
      <w:pPr>
        <w:spacing w:after="0" w:line="124"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Interest on the notes is computed on the basis of the actual number of days in the period for which interest is being calculated and the actual number of days from and including the last date on which interest was paid on the notes (or from September 14, 2021, if no interest has been paid on the notes), to but excluding the next scheduled interest payment date. This payment convention, which is set forth in the rulebook of the International Capital Market Association, is referred to as ACTUAL/ACTUAL (ICMA).</w:t>
      </w:r>
    </w:p>
    <w:p>
      <w:pPr>
        <w:spacing w:after="0" w:line="163"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If any interest payment date falls on a day that is not a business day, we will make the required interest payment (together with any additional amounts, if applicable) on the next business day, and no interest on such payment will accrue for the period from and after such interest payment date. Similarly, if the stated maturity date or the date of earlier redemption, as the case may be, of the notes falls on a day that is not a business day, we will make the required payment of principal, premium, if any, and interest, if any (in each case, together with any additional amounts, if applicable), on the next succeeding business day, and no interest on such payment will accrue for the period from and after the maturity date or redemption date, as the case may be.</w:t>
      </w:r>
    </w:p>
    <w:p>
      <w:pPr>
        <w:sectPr>
          <w:pgSz w:w="11900" w:h="16838" w:orient="portrait"/>
          <w:cols w:equalWidth="0" w:num="1">
            <w:col w:w="11240"/>
          </w:cols>
          <w:pgMar w:left="320" w:top="1404" w:right="339" w:bottom="1440" w:gutter="0" w:footer="0" w:header="0"/>
        </w:sectPr>
      </w:pPr>
    </w:p>
    <w:bookmarkStart w:id="138" w:name="page139"/>
    <w:bookmarkEnd w:id="138"/>
    <w:p>
      <w:pPr>
        <w:ind w:right="300"/>
        <w:spacing w:after="0" w:line="235" w:lineRule="auto"/>
        <w:rPr>
          <w:sz w:val="20"/>
          <w:szCs w:val="20"/>
          <w:color w:val="auto"/>
        </w:rPr>
      </w:pPr>
      <w:r>
        <w:rPr>
          <w:rFonts w:ascii="Arial" w:cs="Arial" w:eastAsia="Arial" w:hAnsi="Arial"/>
          <w:sz w:val="18"/>
          <w:szCs w:val="18"/>
          <w:color w:val="auto"/>
        </w:rPr>
        <w:t>“Business day” means any day, other than a Saturday or Sunday, that is neither a legal holiday nor a day on which banking institutions are authorized or required by law or regulation to close in the City of New York or London.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Pounds Sterling (“GBP”)</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Initial holders will be required to pay for the notes in GBP, and all payments of interest and principal, including payments made upon any redemption of the notes, will be payable in GBP. If, on or after the date of the issuance of the notes, GBP is unavailable to us due to the imposition of exchange controls or other circumstances beyond our control or if GBP is no longer being used for the settlement of transactions by public institutions of or within the international banking community, then all payments in respect of the notes will be made in dollars until GBP is again available to us or so used. The amount payable on any date in GBP will be converted into dollars at the rate mandated by the U.S. Federal Reserve Board as of the close of business on the second business day prior to the relevant payment date or, in the event the U.S. Federal Reserve Board has not mandated a rate of conversion, on the basis of the most recent GBP/dollar exchange rate available on or prior to the second business day prior to the relevant payment date, as reported by Bloomberg. Any payment in respect of the notes so made in dollars will not constitute an event of default under the notes or the indenture.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our option, we may redeem the notes, in whole or in part, at any time or from time to time as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we redeem all or any part of the notes prior to the Par Call Date (as defined below), we will pay a redemption price equal to the greater of:</w:t>
      </w:r>
    </w:p>
    <w:p>
      <w:pPr>
        <w:spacing w:after="0" w:line="185"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on the redemption date; and</w:t>
      </w:r>
    </w:p>
    <w:p>
      <w:pPr>
        <w:spacing w:after="0" w:line="184" w:lineRule="exact"/>
        <w:rPr>
          <w:rFonts w:ascii="Arial" w:cs="Arial" w:eastAsia="Arial" w:hAnsi="Arial"/>
          <w:sz w:val="18"/>
          <w:szCs w:val="18"/>
          <w:color w:val="auto"/>
        </w:rPr>
      </w:pPr>
    </w:p>
    <w:p>
      <w:pPr>
        <w:ind w:left="1300" w:right="80" w:hanging="644"/>
        <w:spacing w:after="0" w:line="216"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calculated by the Quotation Agent (as defined below), the sum of the present values of the remaining scheduled payments of principal of and interest on the notes being redeemed that would be due if such notes matured on the applicable Par Call Date (in each case, not including the amount, if any, of unpaid interest accrued to, but excluding, the redemption date) discounted to the redemption date, on an annual basis (ACTUAL/ACTUAL (ICMA)) using a discount rate equal to the sum of the Reference Dealer Rate (as defined below), plus 0.100% (or 10 basis points);</w:t>
      </w:r>
    </w:p>
    <w:p>
      <w:pPr>
        <w:spacing w:after="0" w:line="16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each case, accrued and unpaid interest on such notes to, but excluding, the redemption date. If we redeem all or any part of the notes on or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 Call Date, we will pay a redemption price equal to 100% of the principal amount of such notes being redeemed plus accrued and unpaid interest thereon.</w:t>
      </w:r>
    </w:p>
    <w:p>
      <w:pPr>
        <w:spacing w:after="0" w:line="163"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Notwithstanding the foregoing, installments of interest on notes that are due and payable on an interest payment date falling on or prior to a redemption date will be payable on such interest payment date to the registered holders as of the close of business on the relevant record date. We will mail notice of any redemption at least 10 days but not more than 60 days before the redemption date to each registered holder of the notes to be redeemed. Subject to any delay in the redemption date or rescission of the notice of redemption described below, once notice of redemption is mailed, the notes called for redemption will become due and payable on the redemption date. Any redemption notice may, at our discretion, be subject to one or more conditions precedent, including completion of a corporate transaction. In such event, the related notice of redemption will describe each such condition and, if applicable, will state that, at our discretion, the date of redemption may be delayed until such time (including more than 60 days after the notice of redemption was given) as any or all such conditions are satisfied or waived, or such redemption may not occur and such notice may be rescinded in the event that any or all such conditions have not been satisfied (or waived by us in our sole discretion) by the date of redemption, or by the date of redemption as so delayed. In the case of such delay or rescission, we will provide written notice to the trustee prior to the close of business two business days before the date of redemption and, upon receipt, the trustee will provide such notice to each holder.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 Call Date” means March 14, 2043.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“Quotation Agent” means the Reference Dealer selected by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“Reference Dealer” means any GBP security dealer(s) selected by us.</w:t>
      </w:r>
    </w:p>
    <w:p>
      <w:pPr>
        <w:spacing w:after="0" w:line="185" w:lineRule="exact"/>
        <w:rPr>
          <w:sz w:val="20"/>
          <w:szCs w:val="20"/>
          <w:color w:val="auto"/>
        </w:rPr>
      </w:pPr>
    </w:p>
    <w:p>
      <w:pPr>
        <w:ind w:right="420"/>
        <w:spacing w:after="0" w:line="224" w:lineRule="auto"/>
        <w:rPr>
          <w:sz w:val="20"/>
          <w:szCs w:val="20"/>
          <w:color w:val="auto"/>
        </w:rPr>
      </w:pPr>
      <w:r>
        <w:rPr>
          <w:rFonts w:ascii="Arial" w:cs="Arial" w:eastAsia="Arial" w:hAnsi="Arial"/>
          <w:sz w:val="18"/>
          <w:szCs w:val="18"/>
          <w:color w:val="auto"/>
        </w:rPr>
        <w:t>“Reference Dealer Rate” means, with respect to each Reference Dealer and any redemption date prior to the Par Call Date for the notes, the arithmetic average of the quotations quoted in writing to us by each Reference Dealer of the average midmarket annual yield to maturity of the 4.500% United Kingdom government bond due December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139" w:name="page140"/>
    <w:bookmarkEnd w:id="139"/>
    <w:p>
      <w:pPr>
        <w:ind w:right="280"/>
        <w:spacing w:after="0" w:line="235" w:lineRule="auto"/>
        <w:rPr>
          <w:sz w:val="20"/>
          <w:szCs w:val="20"/>
          <w:color w:val="auto"/>
        </w:rPr>
      </w:pPr>
      <w:r>
        <w:rPr>
          <w:rFonts w:ascii="Arial" w:cs="Arial" w:eastAsia="Arial" w:hAnsi="Arial"/>
          <w:sz w:val="18"/>
          <w:szCs w:val="18"/>
          <w:color w:val="auto"/>
        </w:rPr>
        <w:t>2042 or, if the reference security is no longer outstanding, a similar security in the reasonable judgment of such Reference Dealer at 11:00 a.m. (London time) on the third business day preceding such redemption date.</w:t>
      </w:r>
    </w:p>
    <w:p>
      <w:pPr>
        <w:spacing w:after="0" w:line="162"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Before the redemption date, we will deposit with a paying agent (or the trustee) money sufficient to pay the redemption price of the notes to be redeemed on that date. If fewer than all of the notes are to be redeemed, the notes to be redeemed will be selected pro rata or by the trustee by a method the trustee deems to be fair and appropriate (which may include by lot) or, in case the notes are represented by one or more global notes, beneficial interests therein will be selected for redemption by Clearstream and Euroclear in accordance with their respective applicable procedures therefor. In addition, we may at any time purchase the notes by tender, in the open market or by private agreement, subject to applicable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entitled to the benefit of any mandatory redemption or sinking fund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8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so that the net payment by us or a paying agent of the principal of and interest on the notes to a person that is a non-U.S. holder, after deduction for any present or future tax, assessment or governmental charge of the United States or a political subdivision or taxing authority thereof or therein, imposed by withholding with respect to the payment, will not be less than the amount that would have been payable in respect of the notes had no withholding or deduction been required.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obligation to pay additional amounts shall not apply:</w:t>
      </w:r>
    </w:p>
    <w:p>
      <w:pPr>
        <w:spacing w:after="0" w:line="185" w:lineRule="exact"/>
        <w:rPr>
          <w:sz w:val="20"/>
          <w:szCs w:val="20"/>
          <w:color w:val="auto"/>
        </w:rPr>
      </w:pPr>
    </w:p>
    <w:p>
      <w:pPr>
        <w:ind w:left="1300" w:right="160" w:hanging="644"/>
        <w:spacing w:after="0" w:line="224" w:lineRule="auto"/>
        <w:tabs>
          <w:tab w:leader="none" w:pos="100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the beneficial owner, or a fiduciary, settlor, beneficiary or member of the beneficial owner if the beneficial owner is an estate, trust or partnership, or a person holding a power over an estate or trust administered by a fiduciary holder:</w:t>
      </w:r>
    </w:p>
    <w:p>
      <w:pPr>
        <w:spacing w:after="0" w:line="162" w:lineRule="exact"/>
        <w:rPr>
          <w:rFonts w:ascii="Arial" w:cs="Arial" w:eastAsia="Arial" w:hAnsi="Arial"/>
          <w:sz w:val="18"/>
          <w:szCs w:val="18"/>
          <w:color w:val="auto"/>
        </w:rPr>
      </w:pPr>
    </w:p>
    <w:p>
      <w:pPr>
        <w:ind w:left="1700" w:hanging="396"/>
        <w:spacing w:after="0"/>
        <w:tabs>
          <w:tab w:leader="none" w:pos="17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is or was present or engaged in a trade or business in the United States or has or had a permanent establishment in the United States;</w:t>
      </w:r>
    </w:p>
    <w:p>
      <w:pPr>
        <w:spacing w:after="0" w:line="207" w:lineRule="exact"/>
        <w:rPr>
          <w:rFonts w:ascii="Arial" w:cs="Arial" w:eastAsia="Arial" w:hAnsi="Arial"/>
          <w:sz w:val="16"/>
          <w:szCs w:val="16"/>
          <w:color w:val="auto"/>
        </w:rPr>
      </w:pPr>
    </w:p>
    <w:p>
      <w:pPr>
        <w:ind w:left="1700" w:hanging="396"/>
        <w:spacing w:after="0"/>
        <w:tabs>
          <w:tab w:leader="none" w:pos="17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is or was a citizen or resident or is or was treated as a resident of the United States;</w:t>
      </w:r>
    </w:p>
    <w:p>
      <w:pPr>
        <w:spacing w:after="0" w:line="184" w:lineRule="exact"/>
        <w:rPr>
          <w:rFonts w:ascii="Arial" w:cs="Arial" w:eastAsia="Arial" w:hAnsi="Arial"/>
          <w:sz w:val="18"/>
          <w:szCs w:val="18"/>
          <w:color w:val="auto"/>
        </w:rPr>
      </w:pPr>
    </w:p>
    <w:p>
      <w:pPr>
        <w:ind w:left="1960" w:hanging="656"/>
        <w:spacing w:after="0" w:line="237" w:lineRule="auto"/>
        <w:tabs>
          <w:tab w:leader="none" w:pos="1702" w:val="left"/>
        </w:tabs>
        <w:numPr>
          <w:ilvl w:val="1"/>
          <w:numId w:val="79"/>
        </w:numPr>
        <w:rPr>
          <w:rFonts w:ascii="Arial" w:cs="Arial" w:eastAsia="Arial" w:hAnsi="Arial"/>
          <w:sz w:val="17"/>
          <w:szCs w:val="17"/>
          <w:color w:val="auto"/>
        </w:rPr>
      </w:pPr>
      <w:r>
        <w:rPr>
          <w:rFonts w:ascii="Arial" w:cs="Arial" w:eastAsia="Arial" w:hAnsi="Arial"/>
          <w:sz w:val="17"/>
          <w:szCs w:val="17"/>
          <w:color w:val="auto"/>
        </w:rPr>
        <w:t>is or was a foreign or domestic personal holding company, a passive foreign investment company or a controlled foreign corporation for the United States federal income tax purposes, is or was a corporation that has accumulated earnings to avoid United States federal income tax or is or was a private foundation or other tax-exempt organization;</w:t>
      </w:r>
    </w:p>
    <w:p>
      <w:pPr>
        <w:spacing w:after="0" w:line="163" w:lineRule="exact"/>
        <w:rPr>
          <w:rFonts w:ascii="Arial" w:cs="Arial" w:eastAsia="Arial" w:hAnsi="Arial"/>
          <w:sz w:val="17"/>
          <w:szCs w:val="17"/>
          <w:color w:val="auto"/>
        </w:rPr>
      </w:pPr>
    </w:p>
    <w:p>
      <w:pPr>
        <w:ind w:left="1960" w:right="260" w:hanging="656"/>
        <w:spacing w:after="0" w:line="235" w:lineRule="auto"/>
        <w:tabs>
          <w:tab w:leader="none" w:pos="1702" w:val="left"/>
        </w:tabs>
        <w:numPr>
          <w:ilvl w:val="1"/>
          <w:numId w:val="79"/>
        </w:numPr>
        <w:rPr>
          <w:rFonts w:ascii="Arial" w:cs="Arial" w:eastAsia="Arial" w:hAnsi="Arial"/>
          <w:sz w:val="18"/>
          <w:szCs w:val="18"/>
          <w:color w:val="auto"/>
        </w:rPr>
      </w:pPr>
      <w:r>
        <w:rPr>
          <w:rFonts w:ascii="Arial" w:cs="Arial" w:eastAsia="Arial" w:hAnsi="Arial"/>
          <w:sz w:val="18"/>
          <w:szCs w:val="18"/>
          <w:color w:val="auto"/>
        </w:rPr>
        <w:t>is or was an actual or constructive “10-percent shareholder” of ours, as defined in Section 871(h)(3) of the U.S. Internal Revenue Code of 1986, as amended (the “Code”); or</w:t>
      </w:r>
    </w:p>
    <w:p>
      <w:pPr>
        <w:spacing w:after="0" w:line="161" w:lineRule="exact"/>
        <w:rPr>
          <w:rFonts w:ascii="Arial" w:cs="Arial" w:eastAsia="Arial" w:hAnsi="Arial"/>
          <w:sz w:val="18"/>
          <w:szCs w:val="18"/>
          <w:color w:val="auto"/>
        </w:rPr>
      </w:pPr>
    </w:p>
    <w:p>
      <w:pPr>
        <w:ind w:left="1700" w:hanging="396"/>
        <w:spacing w:after="0"/>
        <w:tabs>
          <w:tab w:leader="none" w:pos="17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is or was a bank receiving interest described in Section 881(c)(3)(A) of the Code;</w:t>
      </w:r>
    </w:p>
    <w:p>
      <w:pPr>
        <w:spacing w:after="0" w:line="184" w:lineRule="exact"/>
        <w:rPr>
          <w:rFonts w:ascii="Arial" w:cs="Arial" w:eastAsia="Arial" w:hAnsi="Arial"/>
          <w:sz w:val="18"/>
          <w:szCs w:val="18"/>
          <w:color w:val="auto"/>
        </w:rPr>
      </w:pPr>
    </w:p>
    <w:p>
      <w:pPr>
        <w:jc w:val="both"/>
        <w:ind w:left="1300" w:right="140" w:hanging="644"/>
        <w:spacing w:after="0" w:line="219" w:lineRule="auto"/>
        <w:tabs>
          <w:tab w:leader="none" w:pos="10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notes, or that is a fiduciary or partnership, but only to the extent that the beneficial owner, a beneficiary or settlor with respect to the fiduciary, or a member of the partnership would not have been entitled to the payment of an additional amount had such beneficial owner, beneficiary, settlor or member received directly its beneficial or distributive share of the payment;</w:t>
      </w:r>
    </w:p>
    <w:p>
      <w:pPr>
        <w:spacing w:after="0" w:line="162" w:lineRule="exact"/>
        <w:rPr>
          <w:rFonts w:ascii="Arial" w:cs="Arial" w:eastAsia="Arial" w:hAnsi="Arial"/>
          <w:sz w:val="18"/>
          <w:szCs w:val="18"/>
          <w:color w:val="auto"/>
        </w:rPr>
      </w:pPr>
    </w:p>
    <w:p>
      <w:pPr>
        <w:ind w:left="1300" w:right="100" w:hanging="644"/>
        <w:spacing w:after="0" w:line="216" w:lineRule="auto"/>
        <w:tabs>
          <w:tab w:leader="none" w:pos="110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the beneficial owner or any other person failed to comply with certification, identification or information reporting requirements concerning the nationality, residence, identity or connection with the United States of the holder or beneficial owner of notes, if compliance is required by statute, by regulation of the United States Treasury Department or by an applicable income tax treaty to which the United States is a party as a precondition to exemption from such tax, assessment or other governmental charge;</w:t>
      </w:r>
    </w:p>
    <w:p>
      <w:pPr>
        <w:spacing w:after="0" w:line="162" w:lineRule="exact"/>
        <w:rPr>
          <w:rFonts w:ascii="Arial" w:cs="Arial" w:eastAsia="Arial" w:hAnsi="Arial"/>
          <w:sz w:val="18"/>
          <w:szCs w:val="18"/>
          <w:color w:val="auto"/>
        </w:rPr>
      </w:pPr>
    </w:p>
    <w:p>
      <w:pPr>
        <w:ind w:left="1300" w:right="420" w:hanging="644"/>
        <w:spacing w:after="0" w:line="235" w:lineRule="auto"/>
        <w:tabs>
          <w:tab w:leader="none" w:pos="109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other than by deduction or withholding by us or a paying agent from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140" w:name="page141"/>
    <w:bookmarkEnd w:id="140"/>
    <w:p>
      <w:pPr>
        <w:ind w:left="1300" w:right="60" w:hanging="644"/>
        <w:spacing w:after="0" w:line="224" w:lineRule="auto"/>
        <w:tabs>
          <w:tab w:leader="none" w:pos="10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is imposed or withheld solely because of a change in law, regulation, or administrative or judicial interpretation that becomes effective after the day on which the payment becomes due or is duly provided for, whichever occurs later;</w:t>
      </w:r>
    </w:p>
    <w:p>
      <w:pPr>
        <w:spacing w:after="0" w:line="162" w:lineRule="exact"/>
        <w:rPr>
          <w:rFonts w:ascii="Arial" w:cs="Arial" w:eastAsia="Arial" w:hAnsi="Arial"/>
          <w:sz w:val="18"/>
          <w:szCs w:val="18"/>
          <w:color w:val="auto"/>
        </w:rPr>
      </w:pPr>
    </w:p>
    <w:p>
      <w:pPr>
        <w:ind w:left="1100" w:hanging="444"/>
        <w:spacing w:after="0"/>
        <w:tabs>
          <w:tab w:leader="none" w:pos="11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any estate, inheritance, gift, sales, excise, transfer, wealth or personal property tax or any similar tax, assessment or governmental charge;</w:t>
      </w:r>
    </w:p>
    <w:p>
      <w:pPr>
        <w:spacing w:after="0" w:line="207" w:lineRule="exact"/>
        <w:rPr>
          <w:rFonts w:ascii="Arial" w:cs="Arial" w:eastAsia="Arial" w:hAnsi="Arial"/>
          <w:sz w:val="16"/>
          <w:szCs w:val="16"/>
          <w:color w:val="auto"/>
        </w:rPr>
      </w:pPr>
    </w:p>
    <w:p>
      <w:pPr>
        <w:ind w:left="1300" w:right="280" w:hanging="644"/>
        <w:spacing w:after="0" w:line="289" w:lineRule="auto"/>
        <w:tabs>
          <w:tab w:leader="none" w:pos="114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any paying agent (which term may include us) must withhold from any payment of principal of or interest on any note, if such payment can be made without such withholding by any other paying agent;</w:t>
      </w:r>
    </w:p>
    <w:p>
      <w:pPr>
        <w:spacing w:after="0" w:line="123" w:lineRule="exact"/>
        <w:rPr>
          <w:rFonts w:ascii="Arial" w:cs="Arial" w:eastAsia="Arial" w:hAnsi="Arial"/>
          <w:sz w:val="16"/>
          <w:szCs w:val="16"/>
          <w:color w:val="auto"/>
        </w:rPr>
      </w:pPr>
    </w:p>
    <w:p>
      <w:pPr>
        <w:ind w:left="1300" w:right="60" w:hanging="644"/>
        <w:spacing w:after="0" w:line="224" w:lineRule="auto"/>
        <w:tabs>
          <w:tab w:leader="none" w:pos="11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any tax, assessment or governmental charge that would not have been so imposed or withheld but for the presentation by the holder of a note for payment on a date more than 30 days after the date on which such payment became due and payable or the date on which payment thereof is duly provided for, whichever occurs later;</w:t>
      </w:r>
    </w:p>
    <w:p>
      <w:pPr>
        <w:spacing w:after="0" w:line="162" w:lineRule="exact"/>
        <w:rPr>
          <w:rFonts w:ascii="Arial" w:cs="Arial" w:eastAsia="Arial" w:hAnsi="Arial"/>
          <w:sz w:val="18"/>
          <w:szCs w:val="18"/>
          <w:color w:val="auto"/>
        </w:rPr>
      </w:pPr>
    </w:p>
    <w:p>
      <w:pPr>
        <w:ind w:left="1300" w:right="140" w:hanging="644"/>
        <w:spacing w:after="0" w:line="219" w:lineRule="auto"/>
        <w:tabs>
          <w:tab w:leader="none" w:pos="10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any withholding or deduction pursuant to an agreement described in Section 1471(b) of the Code or otherwise imposed pursuant to Sections 1471 through 1474 of the Code (or any regulations or agreements thereunder or official interpretations thereof) or any intergovernmental agreement between the United States and another jurisdiction for cooperation to facilitate the implementation thereof (or any law implementing such an intergovernmental agreement); or</w:t>
      </w:r>
    </w:p>
    <w:p>
      <w:pPr>
        <w:spacing w:after="0" w:line="162" w:lineRule="exact"/>
        <w:rPr>
          <w:rFonts w:ascii="Arial" w:cs="Arial" w:eastAsia="Arial" w:hAnsi="Arial"/>
          <w:sz w:val="18"/>
          <w:szCs w:val="18"/>
          <w:color w:val="auto"/>
        </w:rPr>
      </w:pPr>
    </w:p>
    <w:p>
      <w:pPr>
        <w:ind w:left="1100" w:hanging="444"/>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any combination of the above items.</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notes are subject in all cases to any applicable tax, fiscal or other law or regulation or administrative or judicial interpretation. Except as specifically provided under this heading “-Payment of Additional Amounts” and under the heading “-Redemption Upon a Tax Event,” we do not have to make any payment with respect to any tax, assessment or governmental charge imposed by any government or a political subdivision or taxing authority.</w:t>
      </w:r>
    </w:p>
    <w:p>
      <w:pPr>
        <w:spacing w:after="0" w:line="147"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In particular, we will not pay additional amounts on any note presented for payment by or on behalf of a beneficial owner who would have been able to avoid the withholding or deduction by presenting the relevant note to another paying agent in a member state of the European Union or the United Kingdom.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a Tax Event</w:t>
      </w:r>
    </w:p>
    <w:p>
      <w:pPr>
        <w:spacing w:after="0" w:line="189"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If (i) we become or will become obligated to pay additional amounts as described under the heading “-Payment of Additional Amounts” as a result of any change in, or amendment to, the laws (or any regulations or rulings promulgated thereunder) of the United States (or any political subdivision or taxing authority thereof or therein), or any change in, or amendment to, any official position regarding the application or interpretation of such laws, regulations or rulings, which change or amendment is announced or becomes effective on or after the date of the issuance of the notes, or (ii) a taxing authority of the United States takes an action on or after the date of the issuance of the notes, whether or not with respect to us or any of our affiliates, that results in a substantial probability that we will or may be required to pay such additional amounts, in either case, with respect to the notes for reasons outside our control and after taking reasonable measures available to us to avoid such obligation, then we may, at our option, redeem, as a whole, but not in part, the notes at any time prior to maturity on not less than 30 nor more than 60 calendar days’ prior notice to the holders, at a redemption price equal to 100% of their principal amount, together with unpaid interest accrued thereon to the date fixed for redemption. No redemption pursuant to (ii) above may be made unless we shall have received an opinion of independent counsel to the effect that an act taken by a taxing authority of the United States results in a substantial probability that we will or may be required to pay the additional amounts described under the heading “-Payment of Additional Amounts” and we shall have delivered to the trustee a certificate, signed by duly authorized officers, stating that based on such opinion, we are entitled to redeem the notes pursuant to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18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We may, without the consent of the holders of the notes, issue additional debt securities having the same ranking, interest rate, maturity, redemption provisions and other terms as the notes. Any additional debt securities having such similar terms, together with the notes, will constitute a single series of debt securities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08"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Limitation on Liens</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We will not, and will not permit any of our subsidiaries to, create, assume or suffer to exist any lien on restricted property to secure any of our debt, any debt of any of our subsidiaries or any debt of any other person unless we also secure the debt securities of any series having the benefit of this covenant by a lien equally and ratably with such other debt for so long as such other debt shall be so secured. The indenture contains the following exceptions to the foregoing prohibition:</w:t>
      </w:r>
    </w:p>
    <w:p>
      <w:pPr>
        <w:spacing w:after="0" w:line="163" w:lineRule="exact"/>
        <w:rPr>
          <w:sz w:val="20"/>
          <w:szCs w:val="20"/>
          <w:color w:val="auto"/>
        </w:rPr>
      </w:pPr>
    </w:p>
    <w:p>
      <w:pPr>
        <w:ind w:left="1000" w:hanging="344"/>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existing on property owned or leased by a corporation existing when such corporation becomes a subsidiary;</w:t>
      </w:r>
    </w:p>
    <w:p>
      <w:pPr>
        <w:spacing w:after="0" w:line="184" w:lineRule="exact"/>
        <w:rPr>
          <w:rFonts w:ascii="Arial" w:cs="Arial" w:eastAsia="Arial" w:hAnsi="Arial"/>
          <w:sz w:val="18"/>
          <w:szCs w:val="18"/>
          <w:color w:val="auto"/>
        </w:rPr>
      </w:pPr>
    </w:p>
    <w:p>
      <w:pPr>
        <w:ind w:left="1060" w:hanging="40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existing on the date of issuance of the first debt security of the particular series;</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existing on property when the property was acquired by us or any of our subsidiaries;</w:t>
      </w:r>
    </w:p>
    <w:p>
      <w:pPr>
        <w:spacing w:after="0" w:line="184" w:lineRule="exact"/>
        <w:rPr>
          <w:rFonts w:ascii="Arial" w:cs="Arial" w:eastAsia="Arial" w:hAnsi="Arial"/>
          <w:sz w:val="18"/>
          <w:szCs w:val="18"/>
          <w:color w:val="auto"/>
        </w:rPr>
      </w:pPr>
    </w:p>
    <w:p>
      <w:pPr>
        <w:ind w:left="1300" w:right="140" w:hanging="644"/>
        <w:spacing w:after="0" w:line="219" w:lineRule="auto"/>
        <w:tabs>
          <w:tab w:leader="none" w:pos="10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to secure debt incurred prior to, at the time of or within 12 months after the acquisition of restricted property or the completion of the construction, alteration, repair or improvement of restricted property, as the case may be, for the purpose of financing all or a part of the purchase price or cost thereof and liens to the extent they secure debt in excess of such purchase price or cost and for the payment of which recourse may be had only against such restricted property;</w:t>
      </w:r>
    </w:p>
    <w:p>
      <w:pPr>
        <w:spacing w:after="0" w:line="162" w:lineRule="exact"/>
        <w:rPr>
          <w:rFonts w:ascii="Arial" w:cs="Arial" w:eastAsia="Arial" w:hAnsi="Arial"/>
          <w:sz w:val="18"/>
          <w:szCs w:val="18"/>
          <w:color w:val="auto"/>
        </w:rPr>
      </w:pPr>
    </w:p>
    <w:p>
      <w:pPr>
        <w:ind w:left="1300" w:right="240" w:hanging="644"/>
        <w:spacing w:after="0" w:line="235" w:lineRule="auto"/>
        <w:tabs>
          <w:tab w:leader="none" w:pos="10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liens in favor of governmental entities that are required by the provisions of any contract or statute, or any liens securing industrial development, pollution control or similar revenue bonds;</w:t>
      </w:r>
    </w:p>
    <w:p>
      <w:pPr>
        <w:spacing w:after="0" w:line="161" w:lineRule="exact"/>
        <w:rPr>
          <w:rFonts w:ascii="Arial" w:cs="Arial" w:eastAsia="Arial" w:hAnsi="Arial"/>
          <w:sz w:val="18"/>
          <w:szCs w:val="18"/>
          <w:color w:val="auto"/>
        </w:rPr>
      </w:pPr>
    </w:p>
    <w:p>
      <w:pPr>
        <w:ind w:left="1100" w:hanging="444"/>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lien securing debt of a subsidiary owing to us or to another subsidiary;</w:t>
      </w:r>
    </w:p>
    <w:p>
      <w:pPr>
        <w:spacing w:after="0" w:line="184" w:lineRule="exact"/>
        <w:rPr>
          <w:rFonts w:ascii="Arial" w:cs="Arial" w:eastAsia="Arial" w:hAnsi="Arial"/>
          <w:sz w:val="18"/>
          <w:szCs w:val="18"/>
          <w:color w:val="auto"/>
        </w:rPr>
      </w:pPr>
    </w:p>
    <w:p>
      <w:pPr>
        <w:ind w:left="1300" w:right="20" w:hanging="644"/>
        <w:spacing w:after="0" w:line="214" w:lineRule="auto"/>
        <w:tabs>
          <w:tab w:leader="none" w:pos="11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lien referred to in clauses (i) through (vi) above, inclusive, so long as (1) the principal amount of the debt secured thereby does not exceed the principal amount of debt so secured at the time of the extension, renewal or replacement (except that, where an additional principal amount of debt is incurred to provide funds for the completion of a specific project, the additional principal amount, and any related financing costs, may be secured by the lien as well) and (2) the lien is limited to the same property subject to the lien so extended, renewed or replaced (and improvements on the property); and</w:t>
      </w:r>
    </w:p>
    <w:p>
      <w:pPr>
        <w:spacing w:after="0" w:line="161" w:lineRule="exact"/>
        <w:rPr>
          <w:rFonts w:ascii="Arial" w:cs="Arial" w:eastAsia="Arial" w:hAnsi="Arial"/>
          <w:sz w:val="18"/>
          <w:szCs w:val="18"/>
          <w:color w:val="auto"/>
        </w:rPr>
      </w:pPr>
    </w:p>
    <w:p>
      <w:pPr>
        <w:ind w:left="1200" w:hanging="544"/>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lien that would not otherwise be permitted by clauses (i) through (vii) above, inclusive, securing debt which, together with:</w:t>
      </w:r>
    </w:p>
    <w:p>
      <w:pPr>
        <w:spacing w:after="0" w:line="184" w:lineRule="exact"/>
        <w:rPr>
          <w:rFonts w:ascii="Arial" w:cs="Arial" w:eastAsia="Arial" w:hAnsi="Arial"/>
          <w:sz w:val="18"/>
          <w:szCs w:val="18"/>
          <w:color w:val="auto"/>
        </w:rPr>
      </w:pPr>
    </w:p>
    <w:p>
      <w:pPr>
        <w:ind w:left="1960" w:hanging="656"/>
        <w:spacing w:after="0" w:line="235" w:lineRule="auto"/>
        <w:tabs>
          <w:tab w:leader="none" w:pos="19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aggregate outstanding principal amount of all other debt of ours and our subsidiaries owning restricted property which would otherwise be subject to the foregoing restrictions, and</w:t>
      </w:r>
    </w:p>
    <w:p>
      <w:pPr>
        <w:spacing w:after="0" w:line="161" w:lineRule="exact"/>
        <w:rPr>
          <w:rFonts w:ascii="Arial" w:cs="Arial" w:eastAsia="Arial" w:hAnsi="Arial"/>
          <w:sz w:val="18"/>
          <w:szCs w:val="18"/>
          <w:color w:val="auto"/>
        </w:rPr>
      </w:pPr>
    </w:p>
    <w:p>
      <w:pPr>
        <w:ind w:left="1960" w:right="180" w:hanging="656"/>
        <w:spacing w:after="0" w:line="235" w:lineRule="auto"/>
        <w:tabs>
          <w:tab w:leader="none" w:pos="19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aggregate value of existing sale and leaseback transactions which would be subject to the foregoing restrictions absent this clause (viii), does not exceed 15% of our consolidated net 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will not, and will not permit any of our subsidiaries owning restricted property to, enter into any sale and leaseback transaction unless:</w:t>
      </w:r>
    </w:p>
    <w:p>
      <w:pPr>
        <w:spacing w:after="0" w:line="185" w:lineRule="exact"/>
        <w:rPr>
          <w:sz w:val="20"/>
          <w:szCs w:val="20"/>
          <w:color w:val="auto"/>
        </w:rPr>
      </w:pPr>
    </w:p>
    <w:p>
      <w:pPr>
        <w:ind w:left="1300" w:right="340" w:hanging="644"/>
        <w:spacing w:after="0" w:line="259" w:lineRule="auto"/>
        <w:tabs>
          <w:tab w:leader="none" w:pos="1042" w:val="left"/>
        </w:tabs>
        <w:numPr>
          <w:ilvl w:val="0"/>
          <w:numId w:val="82"/>
        </w:numPr>
        <w:rPr>
          <w:rFonts w:ascii="Arial" w:cs="Arial" w:eastAsia="Arial" w:hAnsi="Arial"/>
          <w:sz w:val="16"/>
          <w:szCs w:val="16"/>
          <w:color w:val="auto"/>
        </w:rPr>
      </w:pPr>
      <w:r>
        <w:rPr>
          <w:rFonts w:ascii="Arial" w:cs="Arial" w:eastAsia="Arial" w:hAnsi="Arial"/>
          <w:sz w:val="16"/>
          <w:szCs w:val="16"/>
          <w:color w:val="auto"/>
        </w:rPr>
        <w:t>our company or such subsidiary could incur debt, in a principal amount at least equal to the value of such sale and leaseback transaction, secured by a lien on the property to be leased (without equally and ratably securing the outstanding debt securities) because such lien would be of a character that no violation of the covenant described under “ Limitations on Liens” above would result; or</w:t>
      </w:r>
    </w:p>
    <w:p>
      <w:pPr>
        <w:spacing w:after="0" w:line="146" w:lineRule="exact"/>
        <w:rPr>
          <w:rFonts w:ascii="Arial" w:cs="Arial" w:eastAsia="Arial" w:hAnsi="Arial"/>
          <w:sz w:val="16"/>
          <w:szCs w:val="16"/>
          <w:color w:val="auto"/>
        </w:rPr>
      </w:pPr>
    </w:p>
    <w:p>
      <w:pPr>
        <w:ind w:left="1300" w:right="60" w:hanging="644"/>
        <w:spacing w:after="0" w:line="224" w:lineRule="auto"/>
        <w:tabs>
          <w:tab w:leader="none" w:pos="104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apply, during the six months following the effective date of the sale and leaseback transaction, an amount equal to the value of the sale and leaseback transaction to the voluntary retirement of funded debt (whether by redemption, defeasance, repurchase, or otherwise) or to the acquisition of restricted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04"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Definitions of Certain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meanings of terms that are important in understanding the covenants previously described:</w:t>
      </w:r>
    </w:p>
    <w:p>
      <w:pPr>
        <w:spacing w:after="0" w:line="185" w:lineRule="exact"/>
        <w:rPr>
          <w:sz w:val="20"/>
          <w:szCs w:val="20"/>
          <w:color w:val="auto"/>
        </w:rPr>
      </w:pPr>
    </w:p>
    <w:p>
      <w:pPr>
        <w:ind w:left="1300" w:right="340" w:hanging="644"/>
        <w:spacing w:after="0" w:line="228" w:lineRule="auto"/>
        <w:tabs>
          <w:tab w:leader="none" w:pos="12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“consolidated net tangible assets” means the total assets (less applicable reserves and other properly deductible items) less current liabilities (excluding the amount of those which are by their terms extendable or renewable at the option of the obligor to a date more than 12 months after the date as of which the amount is being determined) and all goodwill, tradenames, trademarks, patents, unamortized debt discount and expense and other like intangible assets, all as set forth on our most recent consolidated balance sheet determined in accordance with generally accepted accounting principles.</w:t>
      </w:r>
    </w:p>
    <w:p>
      <w:pPr>
        <w:spacing w:after="0" w:line="165" w:lineRule="exact"/>
        <w:rPr>
          <w:rFonts w:ascii="Arial" w:cs="Arial" w:eastAsia="Arial" w:hAnsi="Arial"/>
          <w:sz w:val="17"/>
          <w:szCs w:val="17"/>
          <w:color w:val="auto"/>
        </w:rPr>
      </w:pPr>
    </w:p>
    <w:p>
      <w:pPr>
        <w:ind w:left="1300" w:right="20" w:hanging="644"/>
        <w:spacing w:after="0" w:line="224" w:lineRule="auto"/>
        <w:tabs>
          <w:tab w:leader="none" w:pos="12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“funded debt” means our indebtedness or the indebtedness of a subsidiary owning restricted property maturing by its terms more than one year after its creation and indebtedness classified as long-term debt under generally accepted accounting principles and in each case ranking at least pari passu with the debt securities.</w:t>
      </w:r>
    </w:p>
    <w:p>
      <w:pPr>
        <w:spacing w:after="0" w:line="162" w:lineRule="exact"/>
        <w:rPr>
          <w:rFonts w:ascii="Arial" w:cs="Arial" w:eastAsia="Arial" w:hAnsi="Arial"/>
          <w:sz w:val="18"/>
          <w:szCs w:val="18"/>
          <w:color w:val="auto"/>
        </w:rPr>
      </w:pPr>
    </w:p>
    <w:p>
      <w:pPr>
        <w:ind w:left="1300" w:right="100" w:hanging="644"/>
        <w:spacing w:after="0" w:line="235" w:lineRule="auto"/>
        <w:tabs>
          <w:tab w:leader="none" w:pos="12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“original issue discount security” means any debt security which provides for an amount less than the principal amount thereof to be due and payable upon a declaration of acceleration of maturity thereof pursuant to the indenture.</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“restricted property” means</w:t>
      </w:r>
    </w:p>
    <w:p>
      <w:pPr>
        <w:spacing w:after="0" w:line="184" w:lineRule="exact"/>
        <w:rPr>
          <w:rFonts w:ascii="Arial" w:cs="Arial" w:eastAsia="Arial" w:hAnsi="Arial"/>
          <w:sz w:val="18"/>
          <w:szCs w:val="18"/>
          <w:color w:val="auto"/>
        </w:rPr>
      </w:pPr>
    </w:p>
    <w:p>
      <w:pPr>
        <w:ind w:left="1960" w:right="160" w:hanging="656"/>
        <w:spacing w:after="0" w:line="216" w:lineRule="auto"/>
        <w:tabs>
          <w:tab w:leader="none" w:pos="19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manufacturing facility (or portion thereof) owned or leased by us or any of our subsidiaries and located within the continental United States which, in the opinion of our board of directors (or a committee thereof), is of material importance to our business and the business of our subsidiaries taken as a whole, but no such manufacturing facility (or portion thereof) shall be deemed of material importance if its gross book value, before deducting accumulated depreciation, is less than 2% of our consolidated net tangible assets; or</w:t>
      </w:r>
    </w:p>
    <w:p>
      <w:pPr>
        <w:spacing w:after="0" w:line="162" w:lineRule="exact"/>
        <w:rPr>
          <w:rFonts w:ascii="Arial" w:cs="Arial" w:eastAsia="Arial" w:hAnsi="Arial"/>
          <w:sz w:val="18"/>
          <w:szCs w:val="18"/>
          <w:color w:val="auto"/>
        </w:rPr>
      </w:pPr>
    </w:p>
    <w:p>
      <w:pPr>
        <w:ind w:left="1940" w:hanging="636"/>
        <w:spacing w:after="0"/>
        <w:tabs>
          <w:tab w:leader="none" w:pos="1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shares of capital stock or indebtedness of any subsidiary owning any such manufacturing facility.</w:t>
      </w:r>
    </w:p>
    <w:p>
      <w:pPr>
        <w:spacing w:after="0" w:line="184" w:lineRule="exact"/>
        <w:rPr>
          <w:rFonts w:ascii="Arial" w:cs="Arial" w:eastAsia="Arial" w:hAnsi="Arial"/>
          <w:sz w:val="18"/>
          <w:szCs w:val="18"/>
          <w:color w:val="auto"/>
        </w:rPr>
      </w:pPr>
    </w:p>
    <w:p>
      <w:pPr>
        <w:ind w:left="1960" w:hanging="656"/>
        <w:spacing w:after="0" w:line="225" w:lineRule="auto"/>
        <w:tabs>
          <w:tab w:leader="none" w:pos="1955" w:val="left"/>
        </w:tabs>
        <w:numPr>
          <w:ilvl w:val="1"/>
          <w:numId w:val="83"/>
        </w:numPr>
        <w:rPr>
          <w:rFonts w:ascii="Arial" w:cs="Arial" w:eastAsia="Arial" w:hAnsi="Arial"/>
          <w:sz w:val="17"/>
          <w:szCs w:val="17"/>
          <w:color w:val="auto"/>
        </w:rPr>
      </w:pPr>
      <w:r>
        <w:rPr>
          <w:rFonts w:ascii="Arial" w:cs="Arial" w:eastAsia="Arial" w:hAnsi="Arial"/>
          <w:sz w:val="17"/>
          <w:szCs w:val="17"/>
          <w:color w:val="auto"/>
        </w:rPr>
        <w:t>“sale and leaseback transaction” means any arrangement with any person providing for the leasing by us or any subsidiary of any restricted property which has been or is to be sold or transferred by us or such subsidiary to such person, excluding (1) temporary leases for a term, including renewals at the option of the lessee, of not more than three years, (2) leases between us and a subsidiary or between subsidiaries, (3) leases of a restricted property executed by the time of, or within 12 months after the latest of, the acquisition, the completion of construction or improvement, or the commencement of commercial operation of the restricted property, and (4) arrangements pursuant to any provision of law with an effect similar to the former Section 168(f)(8) of the Internal Revenue Code of 1954, as amended.</w:t>
      </w:r>
    </w:p>
    <w:p>
      <w:pPr>
        <w:spacing w:after="0" w:line="161" w:lineRule="exact"/>
        <w:rPr>
          <w:rFonts w:ascii="Arial" w:cs="Arial" w:eastAsia="Arial" w:hAnsi="Arial"/>
          <w:sz w:val="17"/>
          <w:szCs w:val="17"/>
          <w:color w:val="auto"/>
        </w:rPr>
      </w:pPr>
    </w:p>
    <w:p>
      <w:pPr>
        <w:ind w:left="1960" w:right="200" w:hanging="656"/>
        <w:spacing w:after="0" w:line="228" w:lineRule="auto"/>
        <w:tabs>
          <w:tab w:leader="none" w:pos="1955" w:val="left"/>
        </w:tabs>
        <w:numPr>
          <w:ilvl w:val="1"/>
          <w:numId w:val="83"/>
        </w:numPr>
        <w:rPr>
          <w:rFonts w:ascii="Arial" w:cs="Arial" w:eastAsia="Arial" w:hAnsi="Arial"/>
          <w:sz w:val="17"/>
          <w:szCs w:val="17"/>
          <w:color w:val="auto"/>
        </w:rPr>
      </w:pPr>
      <w:r>
        <w:rPr>
          <w:rFonts w:ascii="Arial" w:cs="Arial" w:eastAsia="Arial" w:hAnsi="Arial"/>
          <w:sz w:val="17"/>
          <w:szCs w:val="17"/>
          <w:color w:val="auto"/>
        </w:rPr>
        <w:t>“subsidiary” means any corporation more than 50% of the voting stock of which shall at the time be owned by us or by one or more subsidiaries or by us and one or more subsidiaries, but shall not include any corporation of which we and/or one or more subsidiaries owns directly or indirectly, less than 50% of the outstanding stock of all classes having ordinary voting power for the election of directors but more than 50% of the outstanding shares of stock of a class having by its terms ordinary voting power as a class to elect a majority of the board of directors of such corporation.</w:t>
      </w:r>
    </w:p>
    <w:p>
      <w:pPr>
        <w:spacing w:after="0" w:line="165" w:lineRule="exact"/>
        <w:rPr>
          <w:rFonts w:ascii="Arial" w:cs="Arial" w:eastAsia="Arial" w:hAnsi="Arial"/>
          <w:sz w:val="17"/>
          <w:szCs w:val="17"/>
          <w:color w:val="auto"/>
        </w:rPr>
      </w:pPr>
    </w:p>
    <w:p>
      <w:pPr>
        <w:ind w:left="1960" w:right="120" w:hanging="656"/>
        <w:spacing w:after="0" w:line="216" w:lineRule="auto"/>
        <w:tabs>
          <w:tab w:leader="none" w:pos="19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“value” means, with respect to a sale and leaseback transaction, an amount equal to the net present value of the lease payments with respect to the term of the lease remaining on the date as of which the amount is being determined, without regard to any renewal or extension options contained in the lease, discounted at the weighted average interest rate on the debt securities of all series (including the yield to maturity on any original issue discount securities) which are outstanding on the effective date of such sale and leaseback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4" w:right="339" w:bottom="1440" w:gutter="0" w:footer="0" w:header="0"/>
        </w:sectPr>
      </w:pPr>
    </w:p>
    <w:bookmarkStart w:id="143" w:name="page144"/>
    <w:bookmarkEnd w:id="143"/>
    <w:p>
      <w:pPr>
        <w:spacing w:after="0" w:line="235" w:lineRule="auto"/>
        <w:rPr>
          <w:sz w:val="20"/>
          <w:szCs w:val="20"/>
          <w:color w:val="auto"/>
        </w:rPr>
      </w:pPr>
      <w:r>
        <w:rPr>
          <w:rFonts w:ascii="Arial" w:cs="Arial" w:eastAsia="Arial" w:hAnsi="Arial"/>
          <w:sz w:val="18"/>
          <w:szCs w:val="18"/>
          <w:color w:val="auto"/>
        </w:rPr>
        <w:t>Because the covenants described above cover only manufacturing facilities in the continental United States, our manufacturing facilities in Puerto Rico and elsewhere in the world are excluded from the operation of the covenants described above.</w:t>
      </w:r>
    </w:p>
    <w:p>
      <w:pPr>
        <w:spacing w:after="0" w:line="162"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Except as described in “Merger or Consolidation” below, there are no other restrictive covenants contained in the indenture. The indenture does not contain any provision which restricts us from incurring, assuming or becoming liable with respect to any indebtedness or other obligations, whether secured or unsecured, or from paying dividends or making other distributions on our capital stock or purchasing or redeeming our capital stock. The indenture does not contain any financial ratios, or specified levels of net worth or liquidity to which we must adhere. In addition, the indenture does not contain any provision which would require that we repurchase or redeem or otherwise modify the terms of any of our debt securities upon a change in control or other events involving us which may adversely affect the creditworthiness of the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indenture provides that, with respect to any series of debt securities, an event of default consists of:</w:t>
      </w:r>
    </w:p>
    <w:p>
      <w:pPr>
        <w:spacing w:after="0" w:line="185"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to pay interest when due on any debt securities of such series that continues for 30 days;</w:t>
      </w:r>
    </w:p>
    <w:p>
      <w:pPr>
        <w:spacing w:after="0" w:line="184" w:lineRule="exact"/>
        <w:rPr>
          <w:rFonts w:ascii="Arial" w:cs="Arial" w:eastAsia="Arial" w:hAnsi="Arial"/>
          <w:sz w:val="18"/>
          <w:szCs w:val="18"/>
          <w:color w:val="auto"/>
        </w:rPr>
      </w:pPr>
    </w:p>
    <w:p>
      <w:pPr>
        <w:ind w:left="1300" w:right="280" w:hanging="644"/>
        <w:spacing w:after="0" w:line="235" w:lineRule="auto"/>
        <w:tabs>
          <w:tab w:leader="none" w:pos="12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to pay principal or premium, if any, when due (whether at maturity, upon redemption, by declaration or otherwise) on any debt securities of such series;</w:t>
      </w:r>
    </w:p>
    <w:p>
      <w:pPr>
        <w:spacing w:after="0" w:line="161" w:lineRule="exact"/>
        <w:rPr>
          <w:rFonts w:ascii="Arial" w:cs="Arial" w:eastAsia="Arial" w:hAnsi="Arial"/>
          <w:sz w:val="18"/>
          <w:szCs w:val="18"/>
          <w:color w:val="auto"/>
        </w:rPr>
      </w:pPr>
    </w:p>
    <w:p>
      <w:pPr>
        <w:ind w:left="1300" w:right="220" w:hanging="644"/>
        <w:spacing w:after="0" w:line="289" w:lineRule="auto"/>
        <w:tabs>
          <w:tab w:leader="none" w:pos="12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failure to observe or perform the covenant in the indenture described below under “Merger or Consolidation” after written notice from the trustee or holders of 25% or more in aggregate principal amount of debt securities of such series outstanding thereunder;</w:t>
      </w:r>
    </w:p>
    <w:p>
      <w:pPr>
        <w:spacing w:after="0" w:line="123" w:lineRule="exact"/>
        <w:rPr>
          <w:rFonts w:ascii="Arial" w:cs="Arial" w:eastAsia="Arial" w:hAnsi="Arial"/>
          <w:sz w:val="16"/>
          <w:szCs w:val="16"/>
          <w:color w:val="auto"/>
        </w:rPr>
      </w:pPr>
    </w:p>
    <w:p>
      <w:pPr>
        <w:ind w:left="1300" w:right="40" w:hanging="644"/>
        <w:spacing w:after="0" w:line="249" w:lineRule="auto"/>
        <w:tabs>
          <w:tab w:leader="none" w:pos="12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failure to observe or perform any of our covenants in the indenture or the debt securities of such series (other than a covenant included in the indenture or the debt securities solely for the benefit of a series of debt securities other than such series), continued for 60 days (except in the case of a violation of the covenant described below under “Merger or Consolidation”) after written notice from the trustee or the holders of 25% or more in aggregate principal amount, of debt securities of such series outstanding thereunder;</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events of our bankruptcy, insolvency or reorganization; and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event of default as may be specified for such series.</w:t>
      </w:r>
    </w:p>
    <w:p>
      <w:pPr>
        <w:spacing w:after="0" w:line="185"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color w:val="auto"/>
        </w:rPr>
        <w:t>The indenture provides that if an event of default with respect to any series of debt securities at the time outstanding occurs and is continuing, either the trustee or the holders of 25% or more in aggregate principal amount (or, if the debt securities of that series are original issue discount securities, such portion of the principal amount as may be specified in the terms of that series) of debt securities of such series outstanding may declare the principal amount of all debt securities of such series to be due and payable immediately. At any time after a declaration of acceleration with respect to the debt securities of any series has been made and before there has been a sale of property under a judgment or decree for the payment of moneys due, the holders of a majority in aggregate principal amount of the debt securities of such series outstanding may waive the default and rescind the declaration and its consequences if:</w:t>
      </w:r>
    </w:p>
    <w:p>
      <w:pPr>
        <w:spacing w:after="0" w:line="165"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84" w:lineRule="exact"/>
        <w:rPr>
          <w:rFonts w:ascii="Arial" w:cs="Arial" w:eastAsia="Arial" w:hAnsi="Arial"/>
          <w:sz w:val="18"/>
          <w:szCs w:val="18"/>
          <w:color w:val="auto"/>
        </w:rPr>
      </w:pPr>
    </w:p>
    <w:p>
      <w:pPr>
        <w:ind w:left="1600" w:hanging="296"/>
        <w:spacing w:after="0"/>
        <w:tabs>
          <w:tab w:leader="none" w:pos="16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matured installments of interest upon all the debt securities of such series;</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principal of and premium, if any, on any and all debt securities of such series which have become due other than by declaration;</w:t>
      </w:r>
    </w:p>
    <w:p>
      <w:pPr>
        <w:spacing w:after="0" w:line="207" w:lineRule="exact"/>
        <w:rPr>
          <w:rFonts w:ascii="Arial" w:cs="Arial" w:eastAsia="Arial" w:hAnsi="Arial"/>
          <w:sz w:val="16"/>
          <w:szCs w:val="16"/>
          <w:color w:val="auto"/>
        </w:rPr>
      </w:pPr>
    </w:p>
    <w:p>
      <w:pPr>
        <w:ind w:left="1960" w:right="460" w:hanging="656"/>
        <w:spacing w:after="0" w:line="237" w:lineRule="auto"/>
        <w:tabs>
          <w:tab w:leader="none" w:pos="1617" w:val="left"/>
        </w:tabs>
        <w:numPr>
          <w:ilvl w:val="1"/>
          <w:numId w:val="85"/>
        </w:numPr>
        <w:rPr>
          <w:rFonts w:ascii="Arial" w:cs="Arial" w:eastAsia="Arial" w:hAnsi="Arial"/>
          <w:sz w:val="17"/>
          <w:szCs w:val="17"/>
          <w:color w:val="auto"/>
        </w:rPr>
      </w:pPr>
      <w:r>
        <w:rPr>
          <w:rFonts w:ascii="Arial" w:cs="Arial" w:eastAsia="Arial" w:hAnsi="Arial"/>
          <w:sz w:val="17"/>
          <w:szCs w:val="17"/>
          <w:color w:val="auto"/>
        </w:rPr>
        <w:t>interest on overdue installments of interest, to the extent legally enforceable under applicable law, and on such principal of and premium, if any, on each debt security of such series at the rate borne by such debt security to the date of such payment or deposit or yield to maturity (in the case of an original issue discount security); and</w:t>
      </w:r>
    </w:p>
    <w:p>
      <w:pPr>
        <w:spacing w:after="0" w:line="163" w:lineRule="exact"/>
        <w:rPr>
          <w:rFonts w:ascii="Arial" w:cs="Arial" w:eastAsia="Arial" w:hAnsi="Arial"/>
          <w:sz w:val="17"/>
          <w:szCs w:val="17"/>
          <w:color w:val="auto"/>
        </w:rPr>
      </w:pPr>
    </w:p>
    <w:p>
      <w:pPr>
        <w:ind w:left="1620" w:hanging="316"/>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expenses of the trustee, and reasonable compensation to the trustee, agents, attorneys and counsel;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08" w:right="379" w:bottom="1440" w:gutter="0" w:footer="0" w:header="0"/>
        </w:sectPr>
      </w:pPr>
    </w:p>
    <w:bookmarkStart w:id="144" w:name="page145"/>
    <w:bookmarkEnd w:id="144"/>
    <w:p>
      <w:pPr>
        <w:ind w:left="1300" w:right="100" w:hanging="644"/>
        <w:spacing w:after="0" w:line="235" w:lineRule="auto"/>
        <w:tabs>
          <w:tab w:leader="none" w:pos="98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and all defaults under the indenture, other than the nonpayment of principal on the debt securities of such series which may have become due by declaration, have been remedied.</w:t>
      </w:r>
    </w:p>
    <w:p>
      <w:pPr>
        <w:spacing w:after="0" w:line="16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indenture provides that the holders of a majority in aggregate principal amount of the debt securities of any series outstanding under the indenture may, subject to certain exceptions, direct the trustee as to the time, method and place of conducting any proceeding for any remedy available to the trustee, or exercising any power or trust conferred upon the trustee. The holders of a majority in aggregate principal amount of the debt securities of any series outstanding may on behalf of all holders of debt securities of such series waive any past default and its consequences with respect to debt securities of such series, except a default in the payment of the principal of, premium, if any, or interest, if any, on any of the debt securities of such series.</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Holders of any debt securities of any series may not institute any proceeding to enforce the indenture or any remedy thereunder unless the trustee shall have failed to act for 60 days after a request and offer of reasonable indemnity by the holders of 25% or more in aggregate principal amount of the debt securities of such series outstanding. However, the right of any holder of any security of any series to enforce payment of the principal of or premium, if any, or interest, if any, on its debt securities when due shall not be impaired without the consent of such holder.</w:t>
      </w:r>
    </w:p>
    <w:p>
      <w:pPr>
        <w:spacing w:after="0" w:line="162"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The trustee is required to give the holders of any debt security of any series notice of default with respect to such series known to it within 90 days after the happening of the default, unless cured before the giving of such notice. However, except for defaults in payments of the principal of or premium, if any, or interest, if any, on the debt securities of such series, the trustee may withhold notice if and so long as it determines in good faith that the withholding of such notice is in the interests of the holders of the debt securities of such series.</w:t>
      </w:r>
    </w:p>
    <w:p>
      <w:pPr>
        <w:spacing w:after="0" w:line="163"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We are required to deliver to the trustee each year an officers’ certificate stating whether such officers have obtained knowledge of any default by our company in the performance of all covenants and, if so, specifying the nature of such default.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89"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The indenture provides that without the consent of the holders of any of the outstanding debt securities under the indenture, we may consolidate with or merge into, or transfer or lease substantially all of our assets to, any domestic corporation, association, company or business trust (as used in this subsection, a “corporation”), provided:</w:t>
      </w:r>
    </w:p>
    <w:p>
      <w:pPr>
        <w:spacing w:after="0" w:line="163" w:lineRule="exact"/>
        <w:rPr>
          <w:sz w:val="20"/>
          <w:szCs w:val="20"/>
          <w:color w:val="auto"/>
        </w:rPr>
      </w:pPr>
    </w:p>
    <w:p>
      <w:pPr>
        <w:ind w:left="1300" w:right="620" w:hanging="644"/>
        <w:spacing w:after="0" w:line="235" w:lineRule="auto"/>
        <w:tabs>
          <w:tab w:leader="none" w:pos="12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successor corporation assumes all of our payment obligations under the debt securities and the performance of all of our other covenants under the indenture; and</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other conditions described in the indenture are met.</w:t>
      </w:r>
    </w:p>
    <w:p>
      <w:pPr>
        <w:spacing w:after="0" w:line="18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Although there is a limited body of case law interpreting the phrase “substantially all,” there is no precise established definition of the phrase under applicable law. As a result of this uncertainty:</w:t>
      </w:r>
    </w:p>
    <w:p>
      <w:pPr>
        <w:spacing w:after="0" w:line="162" w:lineRule="exact"/>
        <w:rPr>
          <w:sz w:val="20"/>
          <w:szCs w:val="20"/>
          <w:color w:val="auto"/>
        </w:rPr>
      </w:pPr>
    </w:p>
    <w:p>
      <w:pPr>
        <w:ind w:left="1300" w:right="20" w:hanging="644"/>
        <w:spacing w:after="0" w:line="224" w:lineRule="auto"/>
        <w:tabs>
          <w:tab w:leader="none" w:pos="9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could be a disagreement between us and the holders of debt securities over whether, as a condition to a transfer or lease of our assets, the successor entity is required to assume our obligations under the indenture and, consequently, whether a failure to assume such obligations would result in an event of default under the indenture;</w:t>
      </w:r>
    </w:p>
    <w:p>
      <w:pPr>
        <w:spacing w:after="0" w:line="162" w:lineRule="exact"/>
        <w:rPr>
          <w:rFonts w:ascii="Arial" w:cs="Arial" w:eastAsia="Arial" w:hAnsi="Arial"/>
          <w:sz w:val="18"/>
          <w:szCs w:val="18"/>
          <w:color w:val="auto"/>
        </w:rPr>
      </w:pPr>
    </w:p>
    <w:p>
      <w:pPr>
        <w:ind w:left="1300" w:right="60" w:hanging="644"/>
        <w:spacing w:after="0" w:line="224" w:lineRule="auto"/>
        <w:tabs>
          <w:tab w:leader="none" w:pos="9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that the holders of debt securities attempt to declare an event of default and exercise their acceleration rights under the indenture in such circumstances and we contest such action, there can be no assurance as to how a court interpreting applicable law would interpret the phrase “substantially all”; and</w:t>
      </w:r>
    </w:p>
    <w:p>
      <w:pPr>
        <w:spacing w:after="0" w:line="162" w:lineRule="exact"/>
        <w:rPr>
          <w:rFonts w:ascii="Arial" w:cs="Arial" w:eastAsia="Arial" w:hAnsi="Arial"/>
          <w:sz w:val="18"/>
          <w:szCs w:val="18"/>
          <w:color w:val="auto"/>
        </w:rPr>
      </w:pPr>
    </w:p>
    <w:p>
      <w:pPr>
        <w:ind w:left="1040" w:hanging="384"/>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may be difficult for holders to debt securities to declare an event of default and exercise their acceleration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Legal Defeasance and Covenant Defeasance</w:t>
      </w:r>
    </w:p>
    <w:p>
      <w:pPr>
        <w:spacing w:after="0" w:line="189"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We may discharge certain obligations to holders of any series of debt securities that have not already been delivered to the trustee for cancellation and that either have become due and payable or will become due and payable within one year (or are to be called for redemption within one year under arrangements satisfactory to the trustee for the giving of notice) by irrevocably depositing with the trustee, in trust, funds in the currency or currencies in which those debt securities are payable in an amount sufficient to pay the entire indebtedness on those debt securities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8" w:right="339" w:bottom="1440" w:gutter="0" w:footer="0" w:header="0"/>
        </w:sectPr>
      </w:pPr>
    </w:p>
    <w:bookmarkStart w:id="145" w:name="page146"/>
    <w:bookmarkEnd w:id="145"/>
    <w:p>
      <w:pPr>
        <w:ind w:right="660"/>
        <w:spacing w:after="0" w:line="235" w:lineRule="auto"/>
        <w:rPr>
          <w:sz w:val="20"/>
          <w:szCs w:val="20"/>
          <w:color w:val="auto"/>
        </w:rPr>
      </w:pPr>
      <w:r>
        <w:rPr>
          <w:rFonts w:ascii="Arial" w:cs="Arial" w:eastAsia="Arial" w:hAnsi="Arial"/>
          <w:sz w:val="18"/>
          <w:szCs w:val="18"/>
          <w:color w:val="auto"/>
        </w:rPr>
        <w:t>respect of principal, premium, if any, and interest, if any, to the date of that deposit (if those debt securities have become due and payable) or to the maturity date, as the case may be.</w:t>
      </w:r>
    </w:p>
    <w:p>
      <w:pPr>
        <w:spacing w:after="0" w:line="162"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At our option, we may be discharged, subject to certain terms and conditions, from any and all obligations in respect of the debt securities of any series (except for certain obligations to register the transfer and exchange of debt securities, replace, stolen, lost or mutilated debt securities and coupons, maintain paying agencies and hold moneys for payment in trust) or need not comply with certain restrictive covenants of the indenture if:</w:t>
      </w:r>
    </w:p>
    <w:p>
      <w:pPr>
        <w:spacing w:after="0" w:line="147" w:lineRule="exact"/>
        <w:rPr>
          <w:sz w:val="20"/>
          <w:szCs w:val="20"/>
          <w:color w:val="auto"/>
        </w:rPr>
      </w:pPr>
    </w:p>
    <w:p>
      <w:pPr>
        <w:ind w:left="1300" w:hanging="644"/>
        <w:spacing w:after="0" w:line="226" w:lineRule="auto"/>
        <w:tabs>
          <w:tab w:leader="none" w:pos="1087"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have deposited with the trustee, in trust, money, and in the case of debt securities and coupons denominated in U.S. dollars, U.S. government obligations or, in the case of debt securities and coupons denominated in a foreign currency, foreign currency government securities, which through the payment of interest thereon and principal thereof in accordance with their terms will provide money or a combination of money, and either U.S. government securities or foreign currency government securities, as the case may be, in an amount sufficient to pay in the currency in which the debt securities are payable all the principal of and premium, if any, and interest, if any, on the debt securities on the date such payments are due in accordance with the debt securities;</w:t>
      </w:r>
    </w:p>
    <w:p>
      <w:pPr>
        <w:spacing w:after="0" w:line="164" w:lineRule="exact"/>
        <w:rPr>
          <w:rFonts w:ascii="Arial" w:cs="Arial" w:eastAsia="Arial" w:hAnsi="Arial"/>
          <w:sz w:val="17"/>
          <w:szCs w:val="17"/>
          <w:color w:val="auto"/>
        </w:rPr>
      </w:pPr>
    </w:p>
    <w:p>
      <w:pPr>
        <w:ind w:left="1300" w:right="40" w:hanging="644"/>
        <w:spacing w:after="0" w:line="216" w:lineRule="auto"/>
        <w:tabs>
          <w:tab w:leader="none" w:pos="10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no event of default or event which with notice or lapse of time would become an event of default shall have occurred and be continuing on the date of such deposit, (ii) no event of default relating to our bankruptcy, insolvency or reorganization, or event which with notice or lapse of time or both would become such an event of default, shall have occurred within 90 days after the date of such deposit, and (iii) such deposit and discharge will not result in any default or event of default under any material indenture, agreement or other instrument binding upon us or any of our properties;</w:t>
      </w:r>
    </w:p>
    <w:p>
      <w:pPr>
        <w:spacing w:after="0" w:line="162" w:lineRule="exact"/>
        <w:rPr>
          <w:rFonts w:ascii="Arial" w:cs="Arial" w:eastAsia="Arial" w:hAnsi="Arial"/>
          <w:sz w:val="18"/>
          <w:szCs w:val="18"/>
          <w:color w:val="auto"/>
        </w:rPr>
      </w:pPr>
    </w:p>
    <w:p>
      <w:pPr>
        <w:ind w:left="1300" w:right="100" w:hanging="644"/>
        <w:spacing w:after="0" w:line="237" w:lineRule="auto"/>
        <w:tabs>
          <w:tab w:leader="none" w:pos="1087"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have delivered to the trustee an opinion of counsel to the effect that such deposit and discharge will not cause the holders of the debt securities of such series to recognize income, gain or loss for federal income tax purposes and that such holders will be subject to federal income tax in the same amounts, manner and time had such deposit and discharge not occurred; and</w:t>
      </w:r>
    </w:p>
    <w:p>
      <w:pPr>
        <w:spacing w:after="0" w:line="163" w:lineRule="exact"/>
        <w:rPr>
          <w:rFonts w:ascii="Arial" w:cs="Arial" w:eastAsia="Arial" w:hAnsi="Arial"/>
          <w:sz w:val="17"/>
          <w:szCs w:val="17"/>
          <w:color w:val="auto"/>
        </w:rPr>
      </w:pPr>
    </w:p>
    <w:p>
      <w:pPr>
        <w:ind w:left="1300" w:right="80" w:hanging="644"/>
        <w:spacing w:after="0" w:line="224" w:lineRule="auto"/>
        <w:tabs>
          <w:tab w:leader="none" w:pos="10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from our counsel stating that we have complied with all conditions precedent set forth in the indenture or the applicable supplemental indenture relating to the satisfaction and discharge of the indebtedness of the series of debt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89"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auto"/>
        </w:rPr>
        <w:t xml:space="preserve">The indenture contains provisions permitting us and the trustee, with the consent of the holders of not less than a majority of the aggregate principal amount of the notes at the time outstanding, evidenced as provided in the indenture, to execute supplemental indentures for the purpose of adding any provisions to or changing in any manner or eliminating any of the provisions of the indenture or of any supplemental indenture with respect to the notes or of modifying in any manner the rights of the holders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supplemental indenture shall (i) extend the fixed maturity, or the earlier optional date of maturity, if any, of any note, or reduce the principal amount thereof or the premium thereon, if any, or reduce the rate or extend the time of payment of interest, if any, thereon or make the principal thereof or premium, if any, or interest, if any, thereon payable in any currency other than as provided pursuant to the indenture or the notes, without the consent of the Holders of each note so affected; or (ii) reduce the aforesaid percentage of the notes, the holders of which are required to consent to any such supplemental indenture, without the consent of the holders of all notes then outstanding.</w:t>
      </w:r>
    </w:p>
    <w:p>
      <w:pPr>
        <w:spacing w:after="0" w:line="165"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The indenture also contains provisions permitting us and the trustee, without the consent of the holders of the notes, to establish, among other things, the form and terms of any series of debt securities issuable under the indenture by one or more supplemental indentures, to add covenants and to provide for security for the notes.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8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Deutsche Bank Trust Company Americas is the current trustee under the indenture. The trustee may acquire and hold debt securities and, subject to certain conditions, otherwise deal with us as if it were not trustee under the indenture. The trustee and its affiliates have in the past provided, and may from time to time in the future provide, trustee, commercial banking, investment banking and other services to us in the ordinary course of their respective businesses for which they have received, and will receive, customary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8"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Exhibit 10.2 Form of Performance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Eli Lilly and Company</w:t>
      </w:r>
    </w:p>
    <w:p>
      <w:pPr>
        <w:jc w:val="center"/>
        <w:ind w:right="-179"/>
        <w:spacing w:after="0" w:line="211" w:lineRule="auto"/>
        <w:rPr>
          <w:sz w:val="20"/>
          <w:szCs w:val="20"/>
          <w:color w:val="auto"/>
        </w:rPr>
      </w:pPr>
      <w:r>
        <w:rPr>
          <w:rFonts w:ascii="Arial" w:cs="Arial" w:eastAsia="Arial" w:hAnsi="Arial"/>
          <w:sz w:val="43"/>
          <w:szCs w:val="43"/>
          <w:color w:val="auto"/>
        </w:rPr>
        <w:t>Performance Award Agreement</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32"/>
          <w:szCs w:val="32"/>
          <w:color w:val="auto"/>
        </w:rPr>
        <w:t>(for Executive Officers)</w:t>
      </w:r>
    </w:p>
    <w:p>
      <w:pPr>
        <w:spacing w:after="0" w:line="200" w:lineRule="exact"/>
        <w:rPr>
          <w:sz w:val="20"/>
          <w:szCs w:val="20"/>
          <w:color w:val="auto"/>
        </w:rPr>
      </w:pPr>
    </w:p>
    <w:p>
      <w:pPr>
        <w:spacing w:after="0" w:line="245" w:lineRule="exact"/>
        <w:rPr>
          <w:sz w:val="20"/>
          <w:szCs w:val="20"/>
          <w:color w:val="auto"/>
        </w:rPr>
      </w:pPr>
    </w:p>
    <w:p>
      <w:pPr>
        <w:spacing w:after="0" w:line="218" w:lineRule="auto"/>
        <w:rPr>
          <w:sz w:val="20"/>
          <w:szCs w:val="20"/>
          <w:color w:val="auto"/>
        </w:rPr>
      </w:pPr>
      <w:r>
        <w:rPr>
          <w:rFonts w:ascii="Arial" w:cs="Arial" w:eastAsia="Arial" w:hAnsi="Arial"/>
          <w:sz w:val="22"/>
          <w:szCs w:val="22"/>
          <w:color w:val="auto"/>
        </w:rPr>
        <w:t>This Performance Award has been granted on [•] (“Grant Date”) by Eli Lilly and Company, an Indiana corporation, with its principal offices in Indianapolis, Indiana (“Lilly” or the “Company”), to the Eligible Individual who has received this Performance Award Agreement (the “Grantee”).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142240</wp:posOffset>
            </wp:positionV>
            <wp:extent cx="5614670" cy="17227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561467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620" w:val="left"/>
        </w:tabs>
        <w:rPr>
          <w:sz w:val="20"/>
          <w:szCs w:val="20"/>
          <w:color w:val="auto"/>
        </w:rPr>
      </w:pPr>
      <w:r>
        <w:rPr>
          <w:rFonts w:ascii="Arial" w:cs="Arial" w:eastAsia="Arial" w:hAnsi="Arial"/>
          <w:sz w:val="25"/>
          <w:szCs w:val="25"/>
          <w:color w:val="auto"/>
        </w:rPr>
        <w:t>Performance Period:</w:t>
        <w:tab/>
        <w:t>January 1, 2022 – December 31, 2023</w:t>
      </w:r>
    </w:p>
    <w:p>
      <w:pPr>
        <w:spacing w:after="0" w:line="239" w:lineRule="exact"/>
        <w:rPr>
          <w:sz w:val="20"/>
          <w:szCs w:val="20"/>
          <w:color w:val="auto"/>
        </w:rPr>
      </w:pPr>
    </w:p>
    <w:p>
      <w:pPr>
        <w:spacing w:after="0"/>
        <w:tabs>
          <w:tab w:leader="none" w:pos="2720" w:val="left"/>
        </w:tabs>
        <w:rPr>
          <w:sz w:val="20"/>
          <w:szCs w:val="20"/>
          <w:color w:val="auto"/>
        </w:rPr>
      </w:pPr>
      <w:r>
        <w:rPr>
          <w:rFonts w:ascii="Arial" w:cs="Arial" w:eastAsia="Arial" w:hAnsi="Arial"/>
          <w:sz w:val="25"/>
          <w:szCs w:val="25"/>
          <w:color w:val="auto"/>
        </w:rPr>
        <w:t>Service Vesting Date:</w:t>
        <w:tab/>
        <w:t>February 1, 2025</w:t>
      </w:r>
    </w:p>
    <w:p>
      <w:pPr>
        <w:sectPr>
          <w:pgSz w:w="11900" w:h="16838" w:orient="portrait"/>
          <w:cols w:equalWidth="0" w:num="1">
            <w:col w:w="11080"/>
          </w:cols>
          <w:pgMar w:left="320" w:top="1251" w:right="49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19"/>
        <w:spacing w:after="0"/>
        <w:rPr>
          <w:sz w:val="20"/>
          <w:szCs w:val="20"/>
          <w:color w:val="auto"/>
        </w:rPr>
      </w:pPr>
      <w:r>
        <w:rPr>
          <w:rFonts w:ascii="Arial" w:cs="Arial" w:eastAsia="Arial" w:hAnsi="Arial"/>
          <w:sz w:val="25"/>
          <w:szCs w:val="25"/>
          <w:color w:val="auto"/>
        </w:rPr>
        <w:t>Table of Contents</w:t>
      </w: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8340" w:type="dxa"/>
            <w:vAlign w:val="bottom"/>
            <w:gridSpan w:val="3"/>
          </w:tcPr>
          <w:p>
            <w:pPr>
              <w:spacing w:after="0"/>
              <w:rPr>
                <w:sz w:val="20"/>
                <w:szCs w:val="20"/>
                <w:color w:val="auto"/>
              </w:rPr>
            </w:pPr>
            <w:r>
              <w:rPr>
                <w:rFonts w:ascii="Arial" w:cs="Arial" w:eastAsia="Arial" w:hAnsi="Arial"/>
                <w:sz w:val="22"/>
                <w:szCs w:val="22"/>
                <w:color w:val="auto"/>
              </w:rPr>
              <w:t>Section 1.  Grant of Performance Award</w:t>
            </w:r>
          </w:p>
        </w:tc>
        <w:tc>
          <w:tcPr>
            <w:tcW w:w="2400" w:type="dxa"/>
            <w:vAlign w:val="bottom"/>
          </w:tcPr>
          <w:p>
            <w:pPr>
              <w:ind w:left="2160"/>
              <w:spacing w:after="0"/>
              <w:rPr>
                <w:sz w:val="20"/>
                <w:szCs w:val="20"/>
                <w:color w:val="auto"/>
              </w:rPr>
            </w:pPr>
            <w:r>
              <w:rPr>
                <w:rFonts w:ascii="Arial" w:cs="Arial" w:eastAsia="Arial" w:hAnsi="Arial"/>
                <w:sz w:val="22"/>
                <w:szCs w:val="22"/>
                <w:color w:val="auto"/>
              </w:rPr>
              <w:t>3</w:t>
            </w:r>
          </w:p>
        </w:tc>
      </w:tr>
      <w:tr>
        <w:trPr>
          <w:trHeight w:val="270"/>
        </w:trPr>
        <w:tc>
          <w:tcPr>
            <w:tcW w:w="108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3"/>
                <w:szCs w:val="23"/>
                <w:color w:val="auto"/>
              </w:rPr>
            </w:pPr>
          </w:p>
        </w:tc>
        <w:tc>
          <w:tcPr>
            <w:tcW w:w="7200" w:type="dxa"/>
            <w:vAlign w:val="bottom"/>
          </w:tcPr>
          <w:p>
            <w:pPr>
              <w:ind w:left="60"/>
              <w:spacing w:after="0"/>
              <w:rPr>
                <w:sz w:val="20"/>
                <w:szCs w:val="20"/>
                <w:color w:val="auto"/>
              </w:rPr>
            </w:pPr>
            <w:r>
              <w:rPr>
                <w:rFonts w:ascii="Arial" w:cs="Arial" w:eastAsia="Arial" w:hAnsi="Arial"/>
                <w:sz w:val="22"/>
                <w:szCs w:val="22"/>
                <w:color w:val="auto"/>
              </w:rPr>
              <w:t>Vesting</w:t>
            </w:r>
          </w:p>
        </w:tc>
        <w:tc>
          <w:tcPr>
            <w:tcW w:w="2400" w:type="dxa"/>
            <w:vAlign w:val="bottom"/>
          </w:tcPr>
          <w:p>
            <w:pPr>
              <w:ind w:left="2160"/>
              <w:spacing w:after="0"/>
              <w:rPr>
                <w:sz w:val="20"/>
                <w:szCs w:val="20"/>
                <w:color w:val="auto"/>
              </w:rPr>
            </w:pPr>
            <w:r>
              <w:rPr>
                <w:rFonts w:ascii="Arial" w:cs="Arial" w:eastAsia="Arial" w:hAnsi="Arial"/>
                <w:sz w:val="22"/>
                <w:szCs w:val="22"/>
                <w:color w:val="auto"/>
              </w:rPr>
              <w:t>3</w:t>
            </w:r>
          </w:p>
        </w:tc>
      </w:tr>
      <w:tr>
        <w:trPr>
          <w:trHeight w:val="270"/>
        </w:trPr>
        <w:tc>
          <w:tcPr>
            <w:tcW w:w="8340" w:type="dxa"/>
            <w:vAlign w:val="bottom"/>
            <w:gridSpan w:val="3"/>
          </w:tcPr>
          <w:p>
            <w:pPr>
              <w:spacing w:after="0"/>
              <w:rPr>
                <w:sz w:val="20"/>
                <w:szCs w:val="20"/>
                <w:color w:val="auto"/>
              </w:rPr>
            </w:pPr>
            <w:r>
              <w:rPr>
                <w:rFonts w:ascii="Arial" w:cs="Arial" w:eastAsia="Arial" w:hAnsi="Arial"/>
                <w:sz w:val="22"/>
                <w:szCs w:val="22"/>
                <w:color w:val="auto"/>
              </w:rPr>
              <w:t>Section 3.  Impact of Certain Employment Status Changes</w:t>
            </w:r>
          </w:p>
        </w:tc>
        <w:tc>
          <w:tcPr>
            <w:tcW w:w="2400" w:type="dxa"/>
            <w:vAlign w:val="bottom"/>
          </w:tcPr>
          <w:p>
            <w:pPr>
              <w:ind w:left="2160"/>
              <w:spacing w:after="0"/>
              <w:rPr>
                <w:sz w:val="20"/>
                <w:szCs w:val="20"/>
                <w:color w:val="auto"/>
              </w:rPr>
            </w:pPr>
            <w:r>
              <w:rPr>
                <w:rFonts w:ascii="Arial" w:cs="Arial" w:eastAsia="Arial" w:hAnsi="Arial"/>
                <w:sz w:val="22"/>
                <w:szCs w:val="22"/>
                <w:color w:val="auto"/>
              </w:rPr>
              <w:t>4</w:t>
            </w:r>
          </w:p>
        </w:tc>
      </w:tr>
      <w:tr>
        <w:trPr>
          <w:trHeight w:val="270"/>
        </w:trPr>
        <w:tc>
          <w:tcPr>
            <w:tcW w:w="8340" w:type="dxa"/>
            <w:vAlign w:val="bottom"/>
            <w:gridSpan w:val="3"/>
          </w:tcPr>
          <w:p>
            <w:pPr>
              <w:spacing w:after="0"/>
              <w:rPr>
                <w:sz w:val="20"/>
                <w:szCs w:val="20"/>
                <w:color w:val="auto"/>
              </w:rPr>
            </w:pPr>
            <w:r>
              <w:rPr>
                <w:rFonts w:ascii="Arial" w:cs="Arial" w:eastAsia="Arial" w:hAnsi="Arial"/>
                <w:sz w:val="22"/>
                <w:szCs w:val="22"/>
                <w:color w:val="auto"/>
              </w:rPr>
              <w:t>Section 4.  Change in Control</w:t>
            </w:r>
          </w:p>
        </w:tc>
        <w:tc>
          <w:tcPr>
            <w:tcW w:w="2400" w:type="dxa"/>
            <w:vAlign w:val="bottom"/>
          </w:tcPr>
          <w:p>
            <w:pPr>
              <w:ind w:left="2160"/>
              <w:spacing w:after="0"/>
              <w:rPr>
                <w:sz w:val="20"/>
                <w:szCs w:val="20"/>
                <w:color w:val="auto"/>
              </w:rPr>
            </w:pPr>
            <w:r>
              <w:rPr>
                <w:rFonts w:ascii="Arial" w:cs="Arial" w:eastAsia="Arial" w:hAnsi="Arial"/>
                <w:sz w:val="22"/>
                <w:szCs w:val="22"/>
                <w:color w:val="auto"/>
              </w:rPr>
              <w:t>6</w:t>
            </w:r>
          </w:p>
        </w:tc>
      </w:tr>
      <w:tr>
        <w:trPr>
          <w:trHeight w:val="270"/>
        </w:trPr>
        <w:tc>
          <w:tcPr>
            <w:tcW w:w="108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3"/>
                <w:szCs w:val="23"/>
                <w:color w:val="auto"/>
              </w:rPr>
            </w:pPr>
          </w:p>
        </w:tc>
        <w:tc>
          <w:tcPr>
            <w:tcW w:w="720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2400" w:type="dxa"/>
            <w:vAlign w:val="bottom"/>
          </w:tcPr>
          <w:p>
            <w:pPr>
              <w:ind w:left="2160"/>
              <w:spacing w:after="0"/>
              <w:rPr>
                <w:sz w:val="20"/>
                <w:szCs w:val="20"/>
                <w:color w:val="auto"/>
              </w:rPr>
            </w:pPr>
            <w:r>
              <w:rPr>
                <w:rFonts w:ascii="Arial" w:cs="Arial" w:eastAsia="Arial" w:hAnsi="Arial"/>
                <w:sz w:val="22"/>
                <w:szCs w:val="22"/>
                <w:color w:val="auto"/>
              </w:rPr>
              <w:t>7</w:t>
            </w:r>
          </w:p>
        </w:tc>
      </w:tr>
      <w:tr>
        <w:trPr>
          <w:trHeight w:val="270"/>
        </w:trPr>
        <w:tc>
          <w:tcPr>
            <w:tcW w:w="8340" w:type="dxa"/>
            <w:vAlign w:val="bottom"/>
            <w:gridSpan w:val="3"/>
          </w:tcPr>
          <w:p>
            <w:pPr>
              <w:spacing w:after="0"/>
              <w:rPr>
                <w:sz w:val="20"/>
                <w:szCs w:val="20"/>
                <w:color w:val="auto"/>
              </w:rPr>
            </w:pPr>
            <w:r>
              <w:rPr>
                <w:rFonts w:ascii="Arial" w:cs="Arial" w:eastAsia="Arial" w:hAnsi="Arial"/>
                <w:sz w:val="22"/>
                <w:szCs w:val="22"/>
                <w:color w:val="auto"/>
              </w:rPr>
              <w:t>Section 6.  Rights of the Grantee</w:t>
            </w:r>
          </w:p>
        </w:tc>
        <w:tc>
          <w:tcPr>
            <w:tcW w:w="2400" w:type="dxa"/>
            <w:vAlign w:val="bottom"/>
          </w:tcPr>
          <w:p>
            <w:pPr>
              <w:ind w:left="2160"/>
              <w:spacing w:after="0"/>
              <w:rPr>
                <w:sz w:val="20"/>
                <w:szCs w:val="20"/>
                <w:color w:val="auto"/>
              </w:rPr>
            </w:pPr>
            <w:r>
              <w:rPr>
                <w:rFonts w:ascii="Arial" w:cs="Arial" w:eastAsia="Arial" w:hAnsi="Arial"/>
                <w:sz w:val="22"/>
                <w:szCs w:val="22"/>
                <w:color w:val="auto"/>
              </w:rPr>
              <w:t>8</w:t>
            </w:r>
          </w:p>
        </w:tc>
      </w:tr>
      <w:tr>
        <w:trPr>
          <w:trHeight w:val="270"/>
        </w:trPr>
        <w:tc>
          <w:tcPr>
            <w:tcW w:w="8340" w:type="dxa"/>
            <w:vAlign w:val="bottom"/>
            <w:gridSpan w:val="3"/>
          </w:tcPr>
          <w:p>
            <w:pPr>
              <w:spacing w:after="0"/>
              <w:rPr>
                <w:sz w:val="20"/>
                <w:szCs w:val="20"/>
                <w:color w:val="auto"/>
              </w:rPr>
            </w:pPr>
            <w:r>
              <w:rPr>
                <w:rFonts w:ascii="Arial" w:cs="Arial" w:eastAsia="Arial" w:hAnsi="Arial"/>
                <w:sz w:val="22"/>
                <w:szCs w:val="22"/>
                <w:color w:val="auto"/>
              </w:rPr>
              <w:t>Section 7.  Prohibition Against Transfer</w:t>
            </w:r>
          </w:p>
        </w:tc>
        <w:tc>
          <w:tcPr>
            <w:tcW w:w="2400" w:type="dxa"/>
            <w:vAlign w:val="bottom"/>
          </w:tcPr>
          <w:p>
            <w:pPr>
              <w:ind w:left="2160"/>
              <w:spacing w:after="0"/>
              <w:rPr>
                <w:sz w:val="20"/>
                <w:szCs w:val="20"/>
                <w:color w:val="auto"/>
              </w:rPr>
            </w:pPr>
            <w:r>
              <w:rPr>
                <w:rFonts w:ascii="Arial" w:cs="Arial" w:eastAsia="Arial" w:hAnsi="Arial"/>
                <w:sz w:val="22"/>
                <w:szCs w:val="22"/>
                <w:color w:val="auto"/>
              </w:rPr>
              <w:t>8</w:t>
            </w:r>
          </w:p>
        </w:tc>
      </w:tr>
      <w:tr>
        <w:trPr>
          <w:trHeight w:val="270"/>
        </w:trPr>
        <w:tc>
          <w:tcPr>
            <w:tcW w:w="1080" w:type="dxa"/>
            <w:vAlign w:val="bottom"/>
          </w:tcPr>
          <w:p>
            <w:pPr>
              <w:spacing w:after="0"/>
              <w:rPr>
                <w:sz w:val="20"/>
                <w:szCs w:val="20"/>
                <w:color w:val="auto"/>
              </w:rPr>
            </w:pPr>
            <w:r>
              <w:rPr>
                <w:rFonts w:ascii="Arial" w:cs="Arial" w:eastAsia="Arial" w:hAnsi="Arial"/>
                <w:sz w:val="22"/>
                <w:szCs w:val="22"/>
                <w:color w:val="auto"/>
              </w:rPr>
              <w:t>Section 8.</w:t>
            </w:r>
          </w:p>
        </w:tc>
        <w:tc>
          <w:tcPr>
            <w:tcW w:w="7260" w:type="dxa"/>
            <w:vAlign w:val="bottom"/>
            <w:gridSpan w:val="2"/>
          </w:tcPr>
          <w:p>
            <w:pPr>
              <w:ind w:left="120"/>
              <w:spacing w:after="0"/>
              <w:rPr>
                <w:sz w:val="20"/>
                <w:szCs w:val="20"/>
                <w:color w:val="auto"/>
              </w:rPr>
            </w:pPr>
            <w:r>
              <w:rPr>
                <w:rFonts w:ascii="Arial" w:cs="Arial" w:eastAsia="Arial" w:hAnsi="Arial"/>
                <w:sz w:val="22"/>
                <w:szCs w:val="22"/>
                <w:color w:val="auto"/>
              </w:rPr>
              <w:t>Responsibility for Taxes</w:t>
            </w:r>
          </w:p>
        </w:tc>
        <w:tc>
          <w:tcPr>
            <w:tcW w:w="2400" w:type="dxa"/>
            <w:vAlign w:val="bottom"/>
          </w:tcPr>
          <w:p>
            <w:pPr>
              <w:ind w:left="2160"/>
              <w:spacing w:after="0"/>
              <w:rPr>
                <w:sz w:val="20"/>
                <w:szCs w:val="20"/>
                <w:color w:val="auto"/>
              </w:rPr>
            </w:pPr>
            <w:r>
              <w:rPr>
                <w:rFonts w:ascii="Arial" w:cs="Arial" w:eastAsia="Arial" w:hAnsi="Arial"/>
                <w:sz w:val="22"/>
                <w:szCs w:val="22"/>
                <w:color w:val="auto"/>
              </w:rPr>
              <w:t>8</w:t>
            </w:r>
          </w:p>
        </w:tc>
      </w:tr>
      <w:tr>
        <w:trPr>
          <w:trHeight w:val="270"/>
        </w:trPr>
        <w:tc>
          <w:tcPr>
            <w:tcW w:w="1080" w:type="dxa"/>
            <w:vAlign w:val="bottom"/>
          </w:tcPr>
          <w:p>
            <w:pPr>
              <w:spacing w:after="0"/>
              <w:rPr>
                <w:sz w:val="20"/>
                <w:szCs w:val="20"/>
                <w:color w:val="auto"/>
              </w:rPr>
            </w:pPr>
            <w:r>
              <w:rPr>
                <w:rFonts w:ascii="Arial" w:cs="Arial" w:eastAsia="Arial" w:hAnsi="Arial"/>
                <w:sz w:val="22"/>
                <w:szCs w:val="22"/>
                <w:color w:val="auto"/>
              </w:rPr>
              <w:t>Section 9.</w:t>
            </w:r>
          </w:p>
        </w:tc>
        <w:tc>
          <w:tcPr>
            <w:tcW w:w="726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2400" w:type="dxa"/>
            <w:vAlign w:val="bottom"/>
          </w:tcPr>
          <w:p>
            <w:pPr>
              <w:ind w:left="2160"/>
              <w:spacing w:after="0"/>
              <w:rPr>
                <w:sz w:val="20"/>
                <w:szCs w:val="20"/>
                <w:color w:val="auto"/>
              </w:rPr>
            </w:pPr>
            <w:r>
              <w:rPr>
                <w:rFonts w:ascii="Arial" w:cs="Arial" w:eastAsia="Arial" w:hAnsi="Arial"/>
                <w:sz w:val="22"/>
                <w:szCs w:val="22"/>
                <w:color w:val="auto"/>
                <w:w w:val="89"/>
              </w:rPr>
              <w:t>10</w:t>
            </w:r>
          </w:p>
        </w:tc>
      </w:tr>
      <w:tr>
        <w:trPr>
          <w:trHeight w:val="27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10.</w:t>
            </w:r>
          </w:p>
        </w:tc>
        <w:tc>
          <w:tcPr>
            <w:tcW w:w="7200" w:type="dxa"/>
            <w:vAlign w:val="bottom"/>
          </w:tcPr>
          <w:p>
            <w:pPr>
              <w:ind w:left="180"/>
              <w:spacing w:after="0"/>
              <w:rPr>
                <w:sz w:val="20"/>
                <w:szCs w:val="20"/>
                <w:color w:val="auto"/>
              </w:rPr>
            </w:pPr>
            <w:r>
              <w:rPr>
                <w:rFonts w:ascii="Arial" w:cs="Arial" w:eastAsia="Arial" w:hAnsi="Arial"/>
                <w:sz w:val="22"/>
                <w:szCs w:val="22"/>
                <w:color w:val="auto"/>
              </w:rPr>
              <w:t>Grantee’s Acknowledgments</w:t>
            </w:r>
          </w:p>
        </w:tc>
        <w:tc>
          <w:tcPr>
            <w:tcW w:w="2400" w:type="dxa"/>
            <w:vAlign w:val="bottom"/>
          </w:tcPr>
          <w:p>
            <w:pPr>
              <w:ind w:left="2160"/>
              <w:spacing w:after="0"/>
              <w:rPr>
                <w:sz w:val="20"/>
                <w:szCs w:val="20"/>
                <w:color w:val="auto"/>
              </w:rPr>
            </w:pPr>
            <w:r>
              <w:rPr>
                <w:rFonts w:ascii="Arial" w:cs="Arial" w:eastAsia="Arial" w:hAnsi="Arial"/>
                <w:sz w:val="22"/>
                <w:szCs w:val="22"/>
                <w:color w:val="auto"/>
                <w:w w:val="89"/>
              </w:rPr>
              <w:t>10</w:t>
            </w:r>
          </w:p>
        </w:tc>
      </w:tr>
      <w:tr>
        <w:trPr>
          <w:trHeight w:val="27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11.</w:t>
            </w:r>
          </w:p>
        </w:tc>
        <w:tc>
          <w:tcPr>
            <w:tcW w:w="720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2400" w:type="dxa"/>
            <w:vAlign w:val="bottom"/>
          </w:tcPr>
          <w:p>
            <w:pPr>
              <w:ind w:left="2160"/>
              <w:spacing w:after="0"/>
              <w:rPr>
                <w:sz w:val="20"/>
                <w:szCs w:val="20"/>
                <w:color w:val="auto"/>
              </w:rPr>
            </w:pPr>
            <w:r>
              <w:rPr>
                <w:rFonts w:ascii="Arial" w:cs="Arial" w:eastAsia="Arial" w:hAnsi="Arial"/>
                <w:sz w:val="22"/>
                <w:szCs w:val="22"/>
                <w:color w:val="auto"/>
                <w:w w:val="89"/>
              </w:rPr>
              <w:t>11</w:t>
            </w:r>
          </w:p>
        </w:tc>
      </w:tr>
      <w:tr>
        <w:trPr>
          <w:trHeight w:val="270"/>
        </w:trPr>
        <w:tc>
          <w:tcPr>
            <w:tcW w:w="8340" w:type="dxa"/>
            <w:vAlign w:val="bottom"/>
            <w:gridSpan w:val="3"/>
          </w:tcPr>
          <w:p>
            <w:pPr>
              <w:spacing w:after="0"/>
              <w:rPr>
                <w:sz w:val="20"/>
                <w:szCs w:val="20"/>
                <w:color w:val="auto"/>
              </w:rPr>
            </w:pPr>
            <w:r>
              <w:rPr>
                <w:rFonts w:ascii="Arial" w:cs="Arial" w:eastAsia="Arial" w:hAnsi="Arial"/>
                <w:sz w:val="22"/>
                <w:szCs w:val="22"/>
                <w:color w:val="auto"/>
              </w:rPr>
              <w:t>Section 12.  Additional Terms and Conditions</w:t>
            </w:r>
          </w:p>
        </w:tc>
        <w:tc>
          <w:tcPr>
            <w:tcW w:w="2400" w:type="dxa"/>
            <w:vAlign w:val="bottom"/>
          </w:tcPr>
          <w:p>
            <w:pPr>
              <w:ind w:left="2160"/>
              <w:spacing w:after="0"/>
              <w:rPr>
                <w:sz w:val="20"/>
                <w:szCs w:val="20"/>
                <w:color w:val="auto"/>
              </w:rPr>
            </w:pPr>
            <w:r>
              <w:rPr>
                <w:rFonts w:ascii="Arial" w:cs="Arial" w:eastAsia="Arial" w:hAnsi="Arial"/>
                <w:sz w:val="22"/>
                <w:szCs w:val="22"/>
                <w:color w:val="auto"/>
                <w:w w:val="89"/>
              </w:rPr>
              <w:t>12</w:t>
            </w:r>
          </w:p>
        </w:tc>
      </w:tr>
      <w:tr>
        <w:trPr>
          <w:trHeight w:val="270"/>
        </w:trPr>
        <w:tc>
          <w:tcPr>
            <w:tcW w:w="8340" w:type="dxa"/>
            <w:vAlign w:val="bottom"/>
            <w:gridSpan w:val="3"/>
          </w:tcPr>
          <w:p>
            <w:pPr>
              <w:spacing w:after="0"/>
              <w:rPr>
                <w:sz w:val="20"/>
                <w:szCs w:val="20"/>
                <w:color w:val="auto"/>
              </w:rPr>
            </w:pPr>
            <w:r>
              <w:rPr>
                <w:rFonts w:ascii="Arial" w:cs="Arial" w:eastAsia="Arial" w:hAnsi="Arial"/>
                <w:sz w:val="22"/>
                <w:szCs w:val="22"/>
                <w:color w:val="auto"/>
              </w:rPr>
              <w:t>Section 13.  Governing Law and Choice of Venue</w:t>
            </w:r>
          </w:p>
        </w:tc>
        <w:tc>
          <w:tcPr>
            <w:tcW w:w="2400" w:type="dxa"/>
            <w:vAlign w:val="bottom"/>
          </w:tcPr>
          <w:p>
            <w:pPr>
              <w:ind w:left="2160"/>
              <w:spacing w:after="0"/>
              <w:rPr>
                <w:sz w:val="20"/>
                <w:szCs w:val="20"/>
                <w:color w:val="auto"/>
              </w:rPr>
            </w:pPr>
            <w:r>
              <w:rPr>
                <w:rFonts w:ascii="Arial" w:cs="Arial" w:eastAsia="Arial" w:hAnsi="Arial"/>
                <w:sz w:val="22"/>
                <w:szCs w:val="22"/>
                <w:color w:val="auto"/>
                <w:w w:val="89"/>
              </w:rPr>
              <w:t>13</w:t>
            </w:r>
          </w:p>
        </w:tc>
      </w:tr>
      <w:tr>
        <w:trPr>
          <w:trHeight w:val="27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14.</w:t>
            </w:r>
          </w:p>
        </w:tc>
        <w:tc>
          <w:tcPr>
            <w:tcW w:w="720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2400" w:type="dxa"/>
            <w:vAlign w:val="bottom"/>
          </w:tcPr>
          <w:p>
            <w:pPr>
              <w:ind w:left="2160"/>
              <w:spacing w:after="0"/>
              <w:rPr>
                <w:sz w:val="20"/>
                <w:szCs w:val="20"/>
                <w:color w:val="auto"/>
              </w:rPr>
            </w:pPr>
            <w:r>
              <w:rPr>
                <w:rFonts w:ascii="Arial" w:cs="Arial" w:eastAsia="Arial" w:hAnsi="Arial"/>
                <w:sz w:val="22"/>
                <w:szCs w:val="22"/>
                <w:color w:val="auto"/>
                <w:w w:val="89"/>
              </w:rPr>
              <w:t>13</w:t>
            </w:r>
          </w:p>
        </w:tc>
      </w:tr>
      <w:tr>
        <w:trPr>
          <w:trHeight w:val="27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15.</w:t>
            </w:r>
          </w:p>
        </w:tc>
        <w:tc>
          <w:tcPr>
            <w:tcW w:w="7200" w:type="dxa"/>
            <w:vAlign w:val="bottom"/>
          </w:tcPr>
          <w:p>
            <w:pPr>
              <w:ind w:left="180"/>
              <w:spacing w:after="0"/>
              <w:rPr>
                <w:sz w:val="20"/>
                <w:szCs w:val="20"/>
                <w:color w:val="auto"/>
              </w:rPr>
            </w:pPr>
            <w:r>
              <w:rPr>
                <w:rFonts w:ascii="Arial" w:cs="Arial" w:eastAsia="Arial" w:hAnsi="Arial"/>
                <w:sz w:val="22"/>
                <w:szCs w:val="22"/>
                <w:color w:val="auto"/>
              </w:rPr>
              <w:t>Compensation Recovery</w:t>
            </w:r>
          </w:p>
        </w:tc>
        <w:tc>
          <w:tcPr>
            <w:tcW w:w="2400" w:type="dxa"/>
            <w:vAlign w:val="bottom"/>
          </w:tcPr>
          <w:p>
            <w:pPr>
              <w:ind w:left="2160"/>
              <w:spacing w:after="0"/>
              <w:rPr>
                <w:sz w:val="20"/>
                <w:szCs w:val="20"/>
                <w:color w:val="auto"/>
              </w:rPr>
            </w:pPr>
            <w:r>
              <w:rPr>
                <w:rFonts w:ascii="Arial" w:cs="Arial" w:eastAsia="Arial" w:hAnsi="Arial"/>
                <w:sz w:val="22"/>
                <w:szCs w:val="22"/>
                <w:color w:val="auto"/>
                <w:w w:val="89"/>
              </w:rPr>
              <w:t>14</w:t>
            </w:r>
          </w:p>
        </w:tc>
      </w:tr>
      <w:tr>
        <w:trPr>
          <w:trHeight w:val="27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16.</w:t>
            </w:r>
          </w:p>
        </w:tc>
        <w:tc>
          <w:tcPr>
            <w:tcW w:w="7200" w:type="dxa"/>
            <w:vAlign w:val="bottom"/>
          </w:tcPr>
          <w:p>
            <w:pPr>
              <w:ind w:left="160"/>
              <w:spacing w:after="0"/>
              <w:rPr>
                <w:sz w:val="20"/>
                <w:szCs w:val="20"/>
                <w:color w:val="auto"/>
              </w:rPr>
            </w:pPr>
            <w:r>
              <w:rPr>
                <w:rFonts w:ascii="Arial" w:cs="Arial" w:eastAsia="Arial" w:hAnsi="Arial"/>
                <w:sz w:val="22"/>
                <w:szCs w:val="22"/>
                <w:color w:val="auto"/>
              </w:rPr>
              <w:t>Award Subject to Acknowledgement of Acceptance</w:t>
            </w:r>
          </w:p>
        </w:tc>
        <w:tc>
          <w:tcPr>
            <w:tcW w:w="2400" w:type="dxa"/>
            <w:vAlign w:val="bottom"/>
          </w:tcPr>
          <w:p>
            <w:pPr>
              <w:ind w:left="2160"/>
              <w:spacing w:after="0"/>
              <w:rPr>
                <w:sz w:val="20"/>
                <w:szCs w:val="20"/>
                <w:color w:val="auto"/>
              </w:rPr>
            </w:pPr>
            <w:r>
              <w:rPr>
                <w:rFonts w:ascii="Arial" w:cs="Arial" w:eastAsia="Arial" w:hAnsi="Arial"/>
                <w:sz w:val="22"/>
                <w:szCs w:val="22"/>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820"/>
          </w:cols>
          <w:pgMar w:left="320" w:top="120" w:right="75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1.</w:t>
        <w:tab/>
        <w:t>Grant of Performance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0000FF"/>
        </w:rPr>
        <w:t>http://myequity.lilly.com</w:t>
      </w:r>
      <w:r>
        <w:rPr>
          <w:rFonts w:ascii="Arial" w:cs="Arial" w:eastAsia="Arial" w:hAnsi="Arial"/>
          <w:sz w:val="22"/>
          <w:szCs w:val="22"/>
          <w:color w:val="auto"/>
        </w:rPr>
        <w:t xml:space="preserve"> (the "Target Number of Shares").</w:t>
      </w:r>
    </w:p>
    <w:p>
      <w:pPr>
        <w:spacing w:after="0" w:line="65"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w:t>
      </w:r>
    </w:p>
    <w:p>
      <w:pPr>
        <w:spacing w:after="0" w:line="201" w:lineRule="exact"/>
        <w:rPr>
          <w:sz w:val="20"/>
          <w:szCs w:val="20"/>
          <w:color w:val="auto"/>
        </w:rPr>
      </w:pPr>
    </w:p>
    <w:p>
      <w:pPr>
        <w:jc w:val="both"/>
        <w:ind w:left="42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76" w:lineRule="exact"/>
        <w:rPr>
          <w:sz w:val="20"/>
          <w:szCs w:val="20"/>
          <w:color w:val="auto"/>
        </w:rPr>
      </w:pPr>
    </w:p>
    <w:p>
      <w:pPr>
        <w:jc w:val="both"/>
        <w:ind w:left="420"/>
        <w:spacing w:after="0" w:line="211"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units eligible to vest (“Performance Units”)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70" w:lineRule="exact"/>
        <w:rPr>
          <w:sz w:val="20"/>
          <w:szCs w:val="20"/>
          <w:color w:val="auto"/>
        </w:rPr>
      </w:pPr>
    </w:p>
    <w:p>
      <w:pPr>
        <w:ind w:left="1300" w:hanging="644"/>
        <w:spacing w:after="0" w:line="225" w:lineRule="auto"/>
        <w:tabs>
          <w:tab w:leader="none" w:pos="12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actual cumulative EPS for the Performance Period shall be computed using the following procedures: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 determination of adjusted consolidated net income ascertained from the Company's audited consolidated financial statements shall be made for each fiscal year in the Performance Period in accordance with accounting principles currently applicable in the United States ("US GAAP"), adjusted to the extent deemed appropriate by the Committee for any unusual items deemed significant by the Committee.</w:t>
      </w:r>
    </w:p>
    <w:p>
      <w:pPr>
        <w:spacing w:after="0" w:line="65" w:lineRule="exact"/>
        <w:rPr>
          <w:rFonts w:ascii="Arial" w:cs="Arial" w:eastAsia="Arial" w:hAnsi="Arial"/>
          <w:sz w:val="22"/>
          <w:szCs w:val="22"/>
          <w:color w:val="auto"/>
        </w:rPr>
      </w:pPr>
    </w:p>
    <w:p>
      <w:pPr>
        <w:jc w:val="both"/>
        <w:ind w:left="1960" w:hanging="332"/>
        <w:spacing w:after="0" w:line="218" w:lineRule="auto"/>
        <w:tabs>
          <w:tab w:leader="none" w:pos="1954"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number of shares of outstanding Lilly Common Stock used to compute consolidated EPS shall be determined as of the end of each fiscal year in the Performance Period on a diluted basis or its equivalent in accordance with US GAAP.</w:t>
      </w:r>
    </w:p>
    <w:p>
      <w:pPr>
        <w:spacing w:after="0" w:line="66" w:lineRule="exact"/>
        <w:rPr>
          <w:rFonts w:ascii="Arial" w:cs="Arial" w:eastAsia="Arial" w:hAnsi="Arial"/>
          <w:sz w:val="22"/>
          <w:szCs w:val="22"/>
          <w:color w:val="auto"/>
        </w:rPr>
      </w:pPr>
    </w:p>
    <w:p>
      <w:pPr>
        <w:jc w:val="both"/>
        <w:ind w:left="1960" w:hanging="332"/>
        <w:spacing w:after="0" w:line="215" w:lineRule="auto"/>
        <w:tabs>
          <w:tab w:leader="none" w:pos="1948" w:val="left"/>
        </w:tabs>
        <w:numPr>
          <w:ilvl w:val="1"/>
          <w:numId w:val="90"/>
        </w:numPr>
        <w:rPr>
          <w:rFonts w:ascii="Arial" w:cs="Arial" w:eastAsia="Arial" w:hAnsi="Arial"/>
          <w:sz w:val="22"/>
          <w:szCs w:val="22"/>
          <w:color w:val="auto"/>
        </w:rPr>
      </w:pPr>
      <w:r>
        <w:rPr>
          <w:rFonts w:ascii="Arial" w:cs="Arial" w:eastAsia="Arial" w:hAnsi="Arial"/>
          <w:sz w:val="22"/>
          <w:szCs w:val="22"/>
          <w:color w:val="auto"/>
        </w:rPr>
        <w:t>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65" w:lineRule="exact"/>
        <w:rPr>
          <w:rFonts w:ascii="Arial" w:cs="Arial" w:eastAsia="Arial" w:hAnsi="Arial"/>
          <w:sz w:val="22"/>
          <w:szCs w:val="22"/>
          <w:color w:val="auto"/>
        </w:rPr>
      </w:pPr>
    </w:p>
    <w:p>
      <w:pPr>
        <w:ind w:left="1960" w:hanging="332"/>
        <w:spacing w:after="0" w:line="225" w:lineRule="auto"/>
        <w:tabs>
          <w:tab w:leader="none" w:pos="1944" w:val="left"/>
        </w:tabs>
        <w:numPr>
          <w:ilvl w:val="1"/>
          <w:numId w:val="90"/>
        </w:numPr>
        <w:rPr>
          <w:rFonts w:ascii="Arial" w:cs="Arial" w:eastAsia="Arial" w:hAnsi="Arial"/>
          <w:sz w:val="22"/>
          <w:szCs w:val="22"/>
          <w:color w:val="auto"/>
        </w:rPr>
      </w:pPr>
      <w:r>
        <w:rPr>
          <w:rFonts w:ascii="Arial" w:cs="Arial" w:eastAsia="Arial" w:hAnsi="Arial"/>
          <w:sz w:val="22"/>
          <w:szCs w:val="22"/>
          <w:color w:val="auto"/>
        </w:rPr>
        <w:t>To determine the cumulative EPS for the Performance Period, the EPS amounts for each fiscal year as determined above shall be added.</w:t>
      </w:r>
    </w:p>
    <w:p>
      <w:pPr>
        <w:spacing w:after="0" w:line="65"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payout multiple corresponding to the EPS Growth (as shown on page 1 of this document) shall then be applied to the Target Number of Shares.</w:t>
      </w:r>
    </w:p>
    <w:p>
      <w:pPr>
        <w:spacing w:after="0" w:line="65"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number of Performance Units under this Performance Award will be the number resulting from the calculation described in subsection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20" w:right="3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300" w:hanging="644"/>
        <w:spacing w:after="0" w:line="218" w:lineRule="auto"/>
        <w:tabs>
          <w:tab w:leader="none" w:pos="1291"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event the Grantee’s Service is terminated prior to the Service Vesting Date for any reason or in any circumstance other than as described in Section 3 below, the Award, including any accrued Dividend Equivalent Rights, shall be forfeited.</w:t>
      </w:r>
    </w:p>
    <w:p>
      <w:pPr>
        <w:spacing w:after="0" w:line="17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76"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Death; Disability</w:t>
      </w:r>
      <w:r>
        <w:rPr>
          <w:rFonts w:ascii="Arial" w:cs="Arial" w:eastAsia="Arial" w:hAnsi="Arial"/>
          <w:sz w:val="22"/>
          <w:szCs w:val="22"/>
          <w:color w:val="auto"/>
        </w:rPr>
        <w:t>. In the event the Grantee’s Service is terminated (i) due to the Grantee’s death, or (ii) by reason of Grantee’s Disability,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spacing w:after="0" w:line="209" w:lineRule="auto"/>
        <w:rPr>
          <w:rFonts w:ascii="Arial" w:cs="Arial" w:eastAsia="Arial" w:hAnsi="Arial"/>
          <w:sz w:val="22"/>
          <w:szCs w:val="22"/>
          <w:color w:val="auto"/>
        </w:rPr>
      </w:pPr>
      <w:r>
        <w:rPr>
          <w:rFonts w:ascii="Arial" w:cs="Arial" w:eastAsia="Arial" w:hAnsi="Arial"/>
          <w:sz w:val="22"/>
          <w:szCs w:val="22"/>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9" w:lineRule="exact"/>
        <w:rPr>
          <w:rFonts w:ascii="Arial" w:cs="Arial" w:eastAsia="Arial" w:hAnsi="Arial"/>
          <w:sz w:val="22"/>
          <w:szCs w:val="22"/>
          <w:color w:val="auto"/>
        </w:rPr>
      </w:pPr>
    </w:p>
    <w:p>
      <w:pPr>
        <w:jc w:val="both"/>
        <w:ind w:left="1300" w:hanging="644"/>
        <w:spacing w:after="0" w:line="213" w:lineRule="auto"/>
        <w:tabs>
          <w:tab w:leader="none" w:pos="129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Performance Units shall vest, provided that if the Qualifying Termination occurs prior to the last day of the Performance Period, the number of Shares eligible to vest shall be the number determined in accordance with Section 2 above, reduced proportionally for the portion of the total days during the Performance Period in which the Grantee was not in active Service.</w:t>
      </w:r>
    </w:p>
    <w:p>
      <w:pPr>
        <w:spacing w:after="0" w:line="65" w:lineRule="exact"/>
        <w:rPr>
          <w:rFonts w:ascii="Arial" w:cs="Arial" w:eastAsia="Arial" w:hAnsi="Arial"/>
          <w:sz w:val="22"/>
          <w:szCs w:val="22"/>
          <w:color w:val="auto"/>
        </w:rPr>
      </w:pPr>
    </w:p>
    <w:p>
      <w:pPr>
        <w:ind w:left="1300" w:right="20"/>
        <w:spacing w:after="0" w:line="225" w:lineRule="auto"/>
        <w:rPr>
          <w:rFonts w:ascii="Arial" w:cs="Arial" w:eastAsia="Arial" w:hAnsi="Arial"/>
          <w:sz w:val="22"/>
          <w:szCs w:val="22"/>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65" w:lineRule="exact"/>
        <w:rPr>
          <w:rFonts w:ascii="Arial" w:cs="Arial" w:eastAsia="Arial" w:hAnsi="Arial"/>
          <w:sz w:val="22"/>
          <w:szCs w:val="22"/>
          <w:color w:val="auto"/>
        </w:rPr>
      </w:pPr>
    </w:p>
    <w:p>
      <w:pPr>
        <w:jc w:val="both"/>
        <w:ind w:left="1960" w:hanging="332"/>
        <w:spacing w:after="0" w:line="211" w:lineRule="auto"/>
        <w:tabs>
          <w:tab w:leader="none" w:pos="19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9" w:lineRule="exact"/>
        <w:rPr>
          <w:rFonts w:ascii="Arial" w:cs="Arial" w:eastAsia="Arial" w:hAnsi="Arial"/>
          <w:sz w:val="22"/>
          <w:szCs w:val="22"/>
          <w:color w:val="auto"/>
        </w:rPr>
      </w:pPr>
    </w:p>
    <w:p>
      <w:pPr>
        <w:ind w:left="1960" w:right="20" w:hanging="332"/>
        <w:spacing w:after="0" w:line="225" w:lineRule="auto"/>
        <w:tabs>
          <w:tab w:leader="none" w:pos="1954"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Grantee’s Service is terminated due to a plant closing or reduction in workforce (as defined below);</w:t>
      </w:r>
    </w:p>
    <w:p>
      <w:pPr>
        <w:spacing w:after="0" w:line="65" w:lineRule="exact"/>
        <w:rPr>
          <w:rFonts w:ascii="Arial" w:cs="Arial" w:eastAsia="Arial" w:hAnsi="Arial"/>
          <w:sz w:val="22"/>
          <w:szCs w:val="22"/>
          <w:color w:val="auto"/>
        </w:rPr>
      </w:pPr>
    </w:p>
    <w:p>
      <w:pPr>
        <w:ind w:left="1960" w:right="20" w:hanging="332"/>
        <w:spacing w:after="0" w:line="225" w:lineRule="auto"/>
        <w:tabs>
          <w:tab w:leader="none" w:pos="1948" w:val="left"/>
        </w:tabs>
        <w:numPr>
          <w:ilvl w:val="1"/>
          <w:numId w:val="92"/>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20" w:right="3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960"/>
        <w:spacing w:after="0" w:line="225" w:lineRule="auto"/>
        <w:rPr>
          <w:sz w:val="20"/>
          <w:szCs w:val="20"/>
          <w:color w:val="auto"/>
        </w:rPr>
      </w:pPr>
      <w:r>
        <w:rPr>
          <w:rFonts w:ascii="Arial" w:cs="Arial" w:eastAsia="Arial" w:hAnsi="Arial"/>
          <w:sz w:val="22"/>
          <w:szCs w:val="22"/>
          <w:color w:val="auto"/>
        </w:rPr>
        <w:t>reallocation or medical reassignment in the United States (or equivalent as determined by the Committee).</w:t>
      </w:r>
    </w:p>
    <w:p>
      <w:pPr>
        <w:spacing w:after="0" w:line="66" w:lineRule="exact"/>
        <w:rPr>
          <w:sz w:val="20"/>
          <w:szCs w:val="20"/>
          <w:color w:val="auto"/>
        </w:rPr>
      </w:pPr>
    </w:p>
    <w:p>
      <w:pPr>
        <w:ind w:left="1300" w:right="76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300" w:right="10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65" w:lineRule="exact"/>
        <w:rPr>
          <w:sz w:val="20"/>
          <w:szCs w:val="20"/>
          <w:color w:val="auto"/>
        </w:rPr>
      </w:pPr>
    </w:p>
    <w:p>
      <w:pPr>
        <w:jc w:val="both"/>
        <w:ind w:left="1300" w:hanging="644"/>
        <w:spacing w:after="0" w:line="213" w:lineRule="auto"/>
        <w:tabs>
          <w:tab w:leader="none" w:pos="1291"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Post-Performance Period Retirement.</w:t>
      </w:r>
      <w:r>
        <w:rPr>
          <w:rFonts w:ascii="Arial" w:cs="Arial" w:eastAsia="Arial" w:hAnsi="Arial"/>
          <w:sz w:val="22"/>
          <w:szCs w:val="22"/>
          <w:color w:val="auto"/>
        </w:rPr>
        <w:t xml:space="preserve"> Notwithstanding Section 3(c)(i), in the event the Grantee's Service is terminated due to retirement as a “retiree” (as defined in Section 3(c)(i)) subsequent to the last day of the Performance Period but prior to the Service Vesting Date, the Performance Units, if any, shall continue to accrue Dividend Equivalent Rights and the Performance Units and Dividend Equivalent Rights shall vest on the Service Vesting Date.</w:t>
      </w:r>
    </w:p>
    <w:p>
      <w:pPr>
        <w:spacing w:after="0" w:line="65" w:lineRule="exact"/>
        <w:rPr>
          <w:rFonts w:ascii="Arial" w:cs="Arial" w:eastAsia="Arial" w:hAnsi="Arial"/>
          <w:sz w:val="22"/>
          <w:szCs w:val="22"/>
          <w:color w:val="auto"/>
        </w:rPr>
      </w:pPr>
    </w:p>
    <w:p>
      <w:pPr>
        <w:jc w:val="both"/>
        <w:ind w:left="1300"/>
        <w:spacing w:after="0" w:line="211" w:lineRule="auto"/>
        <w:rPr>
          <w:rFonts w:ascii="Arial" w:cs="Arial" w:eastAsia="Arial" w:hAnsi="Arial"/>
          <w:sz w:val="22"/>
          <w:szCs w:val="22"/>
          <w:color w:val="auto"/>
        </w:rPr>
      </w:pPr>
      <w:r>
        <w:rPr>
          <w:rFonts w:ascii="Arial" w:cs="Arial" w:eastAsia="Arial" w:hAnsi="Arial"/>
          <w:sz w:val="22"/>
          <w:szCs w:val="22"/>
          <w:color w:val="auto"/>
        </w:rPr>
        <w:t>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69"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Company may, in its sole discretion, cancel this Performance Award or reduce the number of Performance Units, prorated according to time or other measure as determined appropriate by the Company, if during any period prior to the Service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5" w:lineRule="exact"/>
        <w:rPr>
          <w:rFonts w:ascii="Arial" w:cs="Arial" w:eastAsia="Arial" w:hAnsi="Arial"/>
          <w:sz w:val="22"/>
          <w:szCs w:val="22"/>
          <w:color w:val="auto"/>
        </w:rPr>
      </w:pPr>
    </w:p>
    <w:p>
      <w:pPr>
        <w:jc w:val="both"/>
        <w:ind w:left="1300" w:hanging="644"/>
        <w:spacing w:after="0" w:line="210" w:lineRule="auto"/>
        <w:tabs>
          <w:tab w:leader="none" w:pos="1299"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Final Written Warning</w:t>
      </w:r>
      <w:r>
        <w:rPr>
          <w:rFonts w:ascii="Arial" w:cs="Arial" w:eastAsia="Arial" w:hAnsi="Arial"/>
          <w:sz w:val="22"/>
          <w:szCs w:val="22"/>
          <w:color w:val="auto"/>
        </w:rPr>
        <w:t>. If the Grantee is placed on final written warning (or its equivalent as determined by the Committee) at any time subsequent to the last day of the Performance Period but prior to the Service Vesting Date, the Grantee shall forfeit the Performance Units and Dividend Equivalent Rights scheduled to vest on the Service Vesting Date to the extent the Award is the next subsequent Award (when compared to other Awards held by the Grantee) that is scheduled to vest following the date that the Grantee is placed on final written warning (it being understood that all other Awards, if any, that are scheduled to vest on the Service Vesting Date shall also be forfeited).</w:t>
      </w:r>
    </w:p>
    <w:p>
      <w:pPr>
        <w:spacing w:after="0" w:line="71" w:lineRule="exact"/>
        <w:rPr>
          <w:sz w:val="20"/>
          <w:szCs w:val="20"/>
          <w:color w:val="auto"/>
        </w:rPr>
      </w:pPr>
    </w:p>
    <w:p>
      <w:pPr>
        <w:jc w:val="both"/>
        <w:ind w:left="420"/>
        <w:spacing w:after="0" w:line="210" w:lineRule="auto"/>
        <w:rPr>
          <w:sz w:val="20"/>
          <w:szCs w:val="20"/>
          <w:color w:val="auto"/>
        </w:rPr>
      </w:pPr>
      <w:r>
        <w:rPr>
          <w:rFonts w:ascii="Arial" w:cs="Arial" w:eastAsia="Arial" w:hAnsi="Arial"/>
          <w:sz w:val="22"/>
          <w:szCs w:val="22"/>
          <w:color w:val="auto"/>
        </w:rPr>
        <w:t>The Committee’s determination as to whether (1) a leave of absence or a transfer of employment between Lilly and an Affiliate or between Affiliates constitutes a termination of Service, (2) the Grantee’s Service has been terminated by reason of Disability, (3) the Grantee’s Service has been terminated as a direct result of either a plant closing or a reduction in force, (4) the Grantee's service has been terminated as a result of the failure to locate a position within the Company or an Affiliate following reallocation or medical reassignment (or equivalent as determined by the Committee), and (5) the Grantee’s Service has been terminated by reason of retirement as a “retiree” (as defined in Section (3)(c)(i)) shall be final and binding on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20"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4.</w:t>
        <w:tab/>
        <w:t>Change in Control</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85" w:lineRule="exact"/>
        <w:rPr>
          <w:sz w:val="20"/>
          <w:szCs w:val="20"/>
          <w:color w:val="auto"/>
        </w:rPr>
      </w:pPr>
    </w:p>
    <w:p>
      <w:pPr>
        <w:jc w:val="both"/>
        <w:ind w:left="1300" w:hanging="644"/>
        <w:spacing w:after="0" w:line="218" w:lineRule="auto"/>
        <w:tabs>
          <w:tab w:leader="none" w:pos="1291"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66"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last day of the Performance Period, the Grantee will be credited with an award of Restricted Stock Units equal to the number of Performance Units,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65" w:lineRule="exact"/>
        <w:rPr>
          <w:rFonts w:ascii="Arial" w:cs="Arial" w:eastAsia="Arial" w:hAnsi="Arial"/>
          <w:sz w:val="22"/>
          <w:szCs w:val="22"/>
          <w:color w:val="auto"/>
        </w:rPr>
      </w:pPr>
    </w:p>
    <w:p>
      <w:pPr>
        <w:jc w:val="both"/>
        <w:ind w:left="1960" w:hanging="413"/>
        <w:spacing w:after="0" w:line="215" w:lineRule="auto"/>
        <w:tabs>
          <w:tab w:leader="none" w:pos="1960" w:val="left"/>
        </w:tabs>
        <w:numPr>
          <w:ilvl w:val="1"/>
          <w:numId w:val="94"/>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5" w:lineRule="exact"/>
        <w:rPr>
          <w:rFonts w:ascii="Arial" w:cs="Arial" w:eastAsia="Arial" w:hAnsi="Arial"/>
          <w:sz w:val="22"/>
          <w:szCs w:val="22"/>
          <w:color w:val="auto"/>
        </w:rPr>
      </w:pPr>
    </w:p>
    <w:p>
      <w:pPr>
        <w:jc w:val="both"/>
        <w:ind w:left="1960" w:hanging="413"/>
        <w:spacing w:after="0" w:line="213" w:lineRule="auto"/>
        <w:tabs>
          <w:tab w:leader="none" w:pos="1954" w:val="left"/>
        </w:tabs>
        <w:numPr>
          <w:ilvl w:val="1"/>
          <w:numId w:val="94"/>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65"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5" w:lineRule="exact"/>
        <w:rPr>
          <w:sz w:val="20"/>
          <w:szCs w:val="20"/>
          <w:color w:val="auto"/>
        </w:rPr>
      </w:pPr>
    </w:p>
    <w:p>
      <w:pPr>
        <w:ind w:left="1300" w:hanging="644"/>
        <w:spacing w:after="0" w:line="225" w:lineRule="auto"/>
        <w:tabs>
          <w:tab w:leader="none" w:pos="129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following shall apply in the event of a Transaction that occurs subsequent to the last day of the Performance Period but prior to the Service Vesting Date:</w:t>
      </w:r>
    </w:p>
    <w:p>
      <w:pPr>
        <w:spacing w:after="0" w:line="65" w:lineRule="exact"/>
        <w:rPr>
          <w:rFonts w:ascii="Arial" w:cs="Arial" w:eastAsia="Arial" w:hAnsi="Arial"/>
          <w:sz w:val="22"/>
          <w:szCs w:val="22"/>
          <w:color w:val="auto"/>
        </w:rPr>
      </w:pPr>
    </w:p>
    <w:p>
      <w:pPr>
        <w:jc w:val="both"/>
        <w:ind w:left="1960" w:hanging="332"/>
        <w:spacing w:after="0" w:line="215" w:lineRule="auto"/>
        <w:tabs>
          <w:tab w:leader="none" w:pos="19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In the event that the Performance Units are not converted, assumed, substituted, continued or replaced by a successor or surviving corporation, or a parent or subsidiary thereof, in connection with a Transaction, then immediately prior to the Transaction, the Performance Units shall vest automatically in full.</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54" w:val="left"/>
        </w:tabs>
        <w:numPr>
          <w:ilvl w:val="1"/>
          <w:numId w:val="95"/>
        </w:numPr>
        <w:rPr>
          <w:rFonts w:ascii="Arial" w:cs="Arial" w:eastAsia="Arial" w:hAnsi="Arial"/>
          <w:sz w:val="22"/>
          <w:szCs w:val="22"/>
          <w:color w:val="auto"/>
        </w:rPr>
      </w:pPr>
      <w:r>
        <w:rPr>
          <w:rFonts w:ascii="Arial" w:cs="Arial" w:eastAsia="Arial" w:hAnsi="Arial"/>
          <w:sz w:val="22"/>
          <w:szCs w:val="22"/>
          <w:color w:val="auto"/>
        </w:rPr>
        <w:t>In the event that the Performance Units are converted, assumed, substituted, continued or replaced by a successor or surviving corporation, or a parent or subsidiary thereof, in connection with the Transaction and the Grantee is subject to a Covered Termination prior to the Service Vesting Date, then immediately as of the date of the Covered Termination, the Performance Units shall vest automatically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120" w:right="33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5.</w:t>
        <w:tab/>
        <w:t>Settlement</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Except as provided below, a vested Award shall be paid to the Grantee as soon as practicable, but in no event later than sixty (60) days following the Service Vesting Date, including if the Award vests pursuant to Sections 3(b) or 3(c).</w:t>
      </w:r>
    </w:p>
    <w:p>
      <w:pPr>
        <w:spacing w:after="0" w:line="66" w:lineRule="exact"/>
        <w:rPr>
          <w:rFonts w:ascii="Arial" w:cs="Arial" w:eastAsia="Arial" w:hAnsi="Arial"/>
          <w:sz w:val="22"/>
          <w:szCs w:val="22"/>
          <w:color w:val="auto"/>
        </w:rPr>
      </w:pPr>
    </w:p>
    <w:p>
      <w:pPr>
        <w:jc w:val="both"/>
        <w:ind w:left="1300" w:hanging="644"/>
        <w:spacing w:after="0" w:line="209" w:lineRule="auto"/>
        <w:tabs>
          <w:tab w:leader="none" w:pos="12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the Award vests pursuant to Section 3(b) subsequent to the last day of the Performance Period, the Award shall be paid to the Grantee no later than sixty (60) days following the date of the Grantee’s termination of Service under Section 3(b), provided that if the Award is considered an item of nonqualified deferred compensation subject to Section 409A of the Code (“NQ Deferred Compensation”), the Award shall be paid within sixty (60) days following the date the Grantee experiences a “separation from service” within the meaning of Section 409A of the Code (a “409A Separation”), provided that if the Grantee is a “specified employee” within the meaning of Section 409A of the Code as of the payment date, the Award shall instead be paid on the earliest of (i) the first day following the six (6) month anniversary of the Grantee’s Section 409A Separation and (ii) the date of the Grantee’s death, as applicable.</w:t>
      </w:r>
    </w:p>
    <w:p>
      <w:pPr>
        <w:spacing w:after="0" w:line="65" w:lineRule="exact"/>
        <w:rPr>
          <w:rFonts w:ascii="Arial" w:cs="Arial" w:eastAsia="Arial" w:hAnsi="Arial"/>
          <w:sz w:val="22"/>
          <w:szCs w:val="22"/>
          <w:color w:val="auto"/>
        </w:rPr>
      </w:pPr>
    </w:p>
    <w:p>
      <w:pPr>
        <w:jc w:val="both"/>
        <w:ind w:left="1300" w:hanging="644"/>
        <w:spacing w:after="0" w:line="211" w:lineRule="auto"/>
        <w:tabs>
          <w:tab w:leader="none" w:pos="1292"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the Award vests pursuant to Section 4(b)(i) or Section 4(c)(i), the Award shall be paid to the Grantee immediately prior to the Transaction, provided that if the Award is considered NQ Deferred Compensation and the Transaction does not constitute a “change in control event” under Section 409A of the Code (a “409A CIC”), then the Award shall be paid in cash (calculated based on the value of the Shares established for the consideration to be paid to holders of Shares in the Transaction) on the Service Vesting Date.</w:t>
      </w:r>
    </w:p>
    <w:p>
      <w:pPr>
        <w:spacing w:after="0" w:line="69"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the Award vests pursuant to Section 4(b)(ii) or Section 4(c)(ii),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5" w:lineRule="exact"/>
        <w:rPr>
          <w:rFonts w:ascii="Arial" w:cs="Arial" w:eastAsia="Arial" w:hAnsi="Arial"/>
          <w:sz w:val="22"/>
          <w:szCs w:val="22"/>
          <w:color w:val="auto"/>
        </w:rPr>
      </w:pPr>
    </w:p>
    <w:p>
      <w:pPr>
        <w:jc w:val="both"/>
        <w:ind w:left="1300" w:hanging="644"/>
        <w:spacing w:after="0" w:line="229" w:lineRule="auto"/>
        <w:tabs>
          <w:tab w:leader="none" w:pos="1291" w:val="left"/>
        </w:tabs>
        <w:numPr>
          <w:ilvl w:val="0"/>
          <w:numId w:val="96"/>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5(f) below, to the Grantee. In the event the Grantee is entitled to a fractional Share, the fraction may be paid in cash or rounded, in the Committee’s discretion.</w:t>
      </w:r>
    </w:p>
    <w:p>
      <w:pPr>
        <w:spacing w:after="0" w:line="64" w:lineRule="exact"/>
        <w:rPr>
          <w:rFonts w:ascii="Arial" w:cs="Arial" w:eastAsia="Arial" w:hAnsi="Arial"/>
          <w:sz w:val="21"/>
          <w:szCs w:val="21"/>
          <w:color w:val="auto"/>
        </w:rPr>
      </w:pPr>
    </w:p>
    <w:p>
      <w:pPr>
        <w:jc w:val="both"/>
        <w:ind w:left="1300" w:hanging="644"/>
        <w:spacing w:after="0" w:line="223" w:lineRule="auto"/>
        <w:tabs>
          <w:tab w:leader="none" w:pos="1299" w:val="left"/>
        </w:tabs>
        <w:numPr>
          <w:ilvl w:val="0"/>
          <w:numId w:val="96"/>
        </w:numPr>
        <w:rPr>
          <w:rFonts w:ascii="Arial" w:cs="Arial" w:eastAsia="Arial" w:hAnsi="Arial"/>
          <w:sz w:val="21"/>
          <w:szCs w:val="21"/>
          <w:color w:val="auto"/>
        </w:rPr>
      </w:pPr>
      <w:r>
        <w:rPr>
          <w:rFonts w:ascii="Arial" w:cs="Arial" w:eastAsia="Arial" w:hAnsi="Arial"/>
          <w:sz w:val="21"/>
          <w:szCs w:val="21"/>
          <w:color w:val="auto"/>
        </w:rPr>
        <w:t>At any time prior to the Service Vesting Date or until the Performance Units are paid in accordance with this Section 5, the Committee may, if it so elects, determine to pay part or all of the Performance Units in cash in lieu of issuing or transferring Shares. The amount of cash shall be calculated based on the Fair Market Value of the Shares on the last day of the Restriction Period in the case of payment pursuant to Section 5(a) and on the date of payment in the case of a payment pursuant to Section 5(d).</w:t>
      </w:r>
    </w:p>
    <w:p>
      <w:pPr>
        <w:spacing w:after="0" w:line="66" w:lineRule="exact"/>
        <w:rPr>
          <w:rFonts w:ascii="Arial" w:cs="Arial" w:eastAsia="Arial" w:hAnsi="Arial"/>
          <w:sz w:val="21"/>
          <w:szCs w:val="21"/>
          <w:color w:val="auto"/>
        </w:rPr>
      </w:pPr>
    </w:p>
    <w:p>
      <w:pPr>
        <w:ind w:left="1300" w:hanging="644"/>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Dividend Equivalent Rights, if any, that accrue hereunder shall be settled in cash.</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120"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6.</w:t>
        <w:tab/>
        <w:t>Rights of the Grantee</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Performance Award does not entitle the Grantee to any rights of a shareholder of Lilly until such time as the Performance Award is settled and Shares are issued or transferred to the Grantee.</w:t>
      </w:r>
    </w:p>
    <w:p>
      <w:pPr>
        <w:spacing w:after="0" w:line="66" w:lineRule="exact"/>
        <w:rPr>
          <w:rFonts w:ascii="Arial" w:cs="Arial" w:eastAsia="Arial" w:hAnsi="Arial"/>
          <w:sz w:val="22"/>
          <w:szCs w:val="22"/>
          <w:color w:val="auto"/>
        </w:rPr>
      </w:pPr>
    </w:p>
    <w:p>
      <w:pPr>
        <w:jc w:val="both"/>
        <w:ind w:left="1300" w:hanging="644"/>
        <w:spacing w:after="0" w:line="209" w:lineRule="auto"/>
        <w:tabs>
          <w:tab w:leader="none" w:pos="129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On each date that the Company pays a cash dividend to holders of Shares during the period commencing on the date the number of Performance Units are determined continuing through the date the Performance Units are settled, the Grantee shall be credited with Dividend Equivalent Rights in an amount equal to the total number of Performance Units, multiplied by the dollar amount of the cash dividend paid per Share by the Company on such date. Dividend Equivalent Rights shall accrue in an account denominated in U.S. dollars and shall not accrue interest or other credits prior to being paid. The Dividend Equivalent Rights shall be subject to the same vesting conditions and restrictions as the Performance Units to which the Dividend Equivalent Rights relate, and the Dividend Equivalent Rights shall be forfeited in the event that the Performance Units with respect to which such Dividend Equivalent Rights were credited are forfeited.</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7.</w:t>
        <w:tab/>
        <w:t>Prohibition Against Transfer</w:t>
      </w:r>
    </w:p>
    <w:p>
      <w:pPr>
        <w:spacing w:after="0" w:line="76"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8.</w:t>
        <w:tab/>
        <w:t>Responsibility for Taxes</w:t>
      </w:r>
    </w:p>
    <w:p>
      <w:pPr>
        <w:spacing w:after="0" w:line="76" w:lineRule="exact"/>
        <w:rPr>
          <w:sz w:val="20"/>
          <w:szCs w:val="20"/>
          <w:color w:val="auto"/>
        </w:rPr>
      </w:pPr>
    </w:p>
    <w:p>
      <w:pPr>
        <w:jc w:val="both"/>
        <w:ind w:left="1300" w:hanging="644"/>
        <w:spacing w:after="0" w:line="214" w:lineRule="auto"/>
        <w:tabs>
          <w:tab w:leader="none" w:pos="1291" w:val="left"/>
        </w:tabs>
        <w:numPr>
          <w:ilvl w:val="0"/>
          <w:numId w:val="98"/>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4" w:lineRule="exact"/>
        <w:rPr>
          <w:rFonts w:ascii="Arial" w:cs="Arial" w:eastAsia="Arial" w:hAnsi="Arial"/>
          <w:sz w:val="21"/>
          <w:szCs w:val="21"/>
          <w:color w:val="auto"/>
        </w:rPr>
      </w:pPr>
    </w:p>
    <w:p>
      <w:pPr>
        <w:jc w:val="both"/>
        <w:ind w:left="1300" w:firstLine="4"/>
        <w:spacing w:after="0" w:line="209" w:lineRule="auto"/>
        <w:tabs>
          <w:tab w:leader="none" w:pos="1608" w:val="left"/>
        </w:tabs>
        <w:numPr>
          <w:ilvl w:val="1"/>
          <w:numId w:val="98"/>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 Related Items in connection with any aspect of the Award, including the grant of the Performance Award, the vesting of the Performance Award, the transfer and issuance of any Shares, the receipt of any cash payment pursuant to the Award, the accrual and payment of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20" w:right="3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employer, as applicable) may be required to withhold or account for Tax Related Items in more than one jurisdiction.</w:t>
      </w:r>
    </w:p>
    <w:p>
      <w:pPr>
        <w:spacing w:after="0" w:line="66" w:lineRule="exact"/>
        <w:rPr>
          <w:sz w:val="20"/>
          <w:szCs w:val="20"/>
          <w:color w:val="auto"/>
        </w:rPr>
      </w:pPr>
    </w:p>
    <w:p>
      <w:pPr>
        <w:ind w:left="1300" w:right="20" w:hanging="644"/>
        <w:spacing w:after="0" w:line="225" w:lineRule="auto"/>
        <w:tabs>
          <w:tab w:leader="none" w:pos="1291" w:val="left"/>
        </w:tabs>
        <w:numPr>
          <w:ilvl w:val="0"/>
          <w:numId w:val="99"/>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rFonts w:ascii="Arial" w:cs="Arial" w:eastAsia="Arial" w:hAnsi="Arial"/>
          <w:sz w:val="22"/>
          <w:szCs w:val="22"/>
          <w:color w:val="auto"/>
        </w:rPr>
      </w:pPr>
    </w:p>
    <w:p>
      <w:pPr>
        <w:jc w:val="both"/>
        <w:ind w:left="1960" w:hanging="332"/>
        <w:spacing w:after="0" w:line="214" w:lineRule="auto"/>
        <w:tabs>
          <w:tab w:leader="none" w:pos="1954" w:val="left"/>
        </w:tabs>
        <w:numPr>
          <w:ilvl w:val="1"/>
          <w:numId w:val="99"/>
        </w:numPr>
        <w:rPr>
          <w:rFonts w:ascii="Arial" w:cs="Arial" w:eastAsia="Arial" w:hAnsi="Arial"/>
          <w:sz w:val="21"/>
          <w:szCs w:val="21"/>
          <w:color w:val="auto"/>
        </w:rPr>
      </w:pPr>
      <w:r>
        <w:rPr>
          <w:rFonts w:ascii="Arial" w:cs="Arial" w:eastAsia="Arial" w:hAnsi="Arial"/>
          <w:sz w:val="21"/>
          <w:szCs w:val="21"/>
          <w:color w:val="auto"/>
        </w:rPr>
        <w:t>If the Performance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w:t>
      </w:r>
    </w:p>
    <w:p>
      <w:pPr>
        <w:spacing w:after="0" w:line="2" w:lineRule="exact"/>
        <w:rPr>
          <w:rFonts w:ascii="Arial" w:cs="Arial" w:eastAsia="Arial" w:hAnsi="Arial"/>
          <w:sz w:val="21"/>
          <w:szCs w:val="21"/>
          <w:color w:val="auto"/>
        </w:rPr>
      </w:pPr>
    </w:p>
    <w:p>
      <w:pPr>
        <w:jc w:val="both"/>
        <w:ind w:left="1960"/>
        <w:spacing w:after="0" w:line="210" w:lineRule="auto"/>
        <w:rPr>
          <w:rFonts w:ascii="Arial" w:cs="Arial" w:eastAsia="Arial" w:hAnsi="Arial"/>
          <w:sz w:val="21"/>
          <w:szCs w:val="21"/>
          <w:color w:val="auto"/>
        </w:rPr>
      </w:pPr>
      <w:r>
        <w:rPr>
          <w:rFonts w:ascii="Arial" w:cs="Arial" w:eastAsia="Arial" w:hAnsi="Arial"/>
          <w:sz w:val="22"/>
          <w:szCs w:val="22"/>
          <w:color w:val="auto"/>
        </w:rPr>
        <w:t>(B)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0" w:lineRule="exact"/>
        <w:rPr>
          <w:rFonts w:ascii="Arial" w:cs="Arial" w:eastAsia="Arial" w:hAnsi="Arial"/>
          <w:sz w:val="21"/>
          <w:szCs w:val="21"/>
          <w:color w:val="auto"/>
        </w:rPr>
      </w:pPr>
    </w:p>
    <w:p>
      <w:pPr>
        <w:jc w:val="both"/>
        <w:ind w:left="1960" w:hanging="332"/>
        <w:spacing w:after="0" w:line="211" w:lineRule="auto"/>
        <w:tabs>
          <w:tab w:leader="none" w:pos="1948" w:val="left"/>
        </w:tabs>
        <w:numPr>
          <w:ilvl w:val="1"/>
          <w:numId w:val="99"/>
        </w:numPr>
        <w:rPr>
          <w:rFonts w:ascii="Arial" w:cs="Arial" w:eastAsia="Arial" w:hAnsi="Arial"/>
          <w:sz w:val="22"/>
          <w:szCs w:val="22"/>
          <w:color w:val="auto"/>
        </w:rPr>
      </w:pPr>
      <w:r>
        <w:rPr>
          <w:rFonts w:ascii="Arial" w:cs="Arial" w:eastAsia="Arial" w:hAnsi="Arial"/>
          <w:sz w:val="22"/>
          <w:szCs w:val="22"/>
          <w:color w:val="auto"/>
        </w:rPr>
        <w:t>If the Performance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9" w:lineRule="exact"/>
        <w:rPr>
          <w:rFonts w:ascii="Arial" w:cs="Arial" w:eastAsia="Arial" w:hAnsi="Arial"/>
          <w:sz w:val="22"/>
          <w:szCs w:val="22"/>
          <w:color w:val="auto"/>
        </w:rPr>
      </w:pPr>
    </w:p>
    <w:p>
      <w:pPr>
        <w:jc w:val="both"/>
        <w:ind w:left="1300" w:hanging="644"/>
        <w:spacing w:after="0" w:line="210" w:lineRule="auto"/>
        <w:tabs>
          <w:tab w:leader="none" w:pos="1292" w:val="left"/>
        </w:tabs>
        <w:numPr>
          <w:ilvl w:val="0"/>
          <w:numId w:val="99"/>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5"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20" w:right="3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9.</w:t>
        <w:tab/>
        <w:t>Section 409A Compliance</w:t>
      </w:r>
    </w:p>
    <w:p>
      <w:pPr>
        <w:spacing w:after="0" w:line="22"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10. Grantee’s Acknowledgments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71" w:lineRule="exact"/>
        <w:rPr>
          <w:sz w:val="20"/>
          <w:szCs w:val="20"/>
          <w:color w:val="auto"/>
        </w:rPr>
      </w:pPr>
    </w:p>
    <w:p>
      <w:pPr>
        <w:ind w:left="1300" w:hanging="644"/>
        <w:spacing w:after="0" w:line="225" w:lineRule="auto"/>
        <w:tabs>
          <w:tab w:leader="none" w:pos="12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300" w:hanging="644"/>
        <w:spacing w:after="0"/>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5" w:lineRule="exact"/>
        <w:rPr>
          <w:rFonts w:ascii="Arial" w:cs="Arial" w:eastAsia="Arial" w:hAnsi="Arial"/>
          <w:sz w:val="22"/>
          <w:szCs w:val="22"/>
          <w:color w:val="auto"/>
        </w:rPr>
      </w:pPr>
    </w:p>
    <w:p>
      <w:pPr>
        <w:jc w:val="both"/>
        <w:ind w:left="1300" w:hanging="644"/>
        <w:spacing w:after="0" w:line="225" w:lineRule="auto"/>
        <w:tabs>
          <w:tab w:leader="none" w:pos="129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6" w:lineRule="exact"/>
        <w:rPr>
          <w:rFonts w:ascii="Arial" w:cs="Arial" w:eastAsia="Arial" w:hAnsi="Arial"/>
          <w:sz w:val="21"/>
          <w:szCs w:val="21"/>
          <w:color w:val="auto"/>
        </w:rPr>
      </w:pPr>
    </w:p>
    <w:p>
      <w:pPr>
        <w:ind w:left="1300" w:hanging="644"/>
        <w:spacing w:after="0" w:line="225" w:lineRule="auto"/>
        <w:tabs>
          <w:tab w:leader="none" w:pos="12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5" w:lineRule="exact"/>
        <w:rPr>
          <w:rFonts w:ascii="Arial" w:cs="Arial" w:eastAsia="Arial" w:hAnsi="Arial"/>
          <w:sz w:val="22"/>
          <w:szCs w:val="22"/>
          <w:color w:val="auto"/>
        </w:rPr>
      </w:pPr>
    </w:p>
    <w:p>
      <w:pPr>
        <w:jc w:val="both"/>
        <w:ind w:left="1300" w:hanging="644"/>
        <w:spacing w:after="0" w:line="210" w:lineRule="auto"/>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and any Dividend Equivalent Rights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120" w:right="3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1" w:lineRule="exact"/>
        <w:rPr>
          <w:sz w:val="20"/>
          <w:szCs w:val="20"/>
          <w:color w:val="auto"/>
        </w:rPr>
      </w:pPr>
    </w:p>
    <w:p>
      <w:pPr>
        <w:jc w:val="both"/>
        <w:ind w:left="1300" w:hanging="644"/>
        <w:spacing w:after="0" w:line="215" w:lineRule="auto"/>
        <w:tabs>
          <w:tab w:leader="none" w:pos="129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5" w:lineRule="exact"/>
        <w:rPr>
          <w:rFonts w:ascii="Arial" w:cs="Arial" w:eastAsia="Arial" w:hAnsi="Arial"/>
          <w:sz w:val="22"/>
          <w:szCs w:val="22"/>
          <w:color w:val="auto"/>
        </w:rPr>
      </w:pPr>
    </w:p>
    <w:p>
      <w:pPr>
        <w:ind w:left="1300" w:hanging="644"/>
        <w:spacing w:after="0" w:line="225"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of Lilly Stock that may be issued pursuant to this Award.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11. Data Privacy</w:t>
      </w:r>
    </w:p>
    <w:p>
      <w:pPr>
        <w:spacing w:after="0" w:line="54" w:lineRule="exact"/>
        <w:rPr>
          <w:sz w:val="20"/>
          <w:szCs w:val="20"/>
          <w:color w:val="auto"/>
        </w:rPr>
      </w:pPr>
    </w:p>
    <w:p>
      <w:pPr>
        <w:jc w:val="both"/>
        <w:ind w:left="1300" w:hanging="644"/>
        <w:spacing w:after="0" w:line="220" w:lineRule="auto"/>
        <w:tabs>
          <w:tab w:leader="none" w:pos="1291" w:val="left"/>
        </w:tabs>
        <w:numPr>
          <w:ilvl w:val="0"/>
          <w:numId w:val="102"/>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Data Collection and Usage</w:t>
      </w:r>
      <w:r>
        <w:rPr>
          <w:rFonts w:ascii="Arial" w:cs="Arial" w:eastAsia="Arial" w:hAnsi="Arial"/>
          <w:sz w:val="21"/>
          <w:szCs w:val="21"/>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9" w:lineRule="exact"/>
        <w:rPr>
          <w:rFonts w:ascii="Arial" w:cs="Arial" w:eastAsia="Arial" w:hAnsi="Arial"/>
          <w:sz w:val="21"/>
          <w:szCs w:val="21"/>
          <w:i w:val="1"/>
          <w:iCs w:val="1"/>
          <w:color w:val="auto"/>
        </w:rPr>
      </w:pPr>
    </w:p>
    <w:p>
      <w:pPr>
        <w:jc w:val="both"/>
        <w:ind w:left="1300" w:hanging="644"/>
        <w:spacing w:after="0" w:line="211" w:lineRule="auto"/>
        <w:tabs>
          <w:tab w:leader="none" w:pos="1291" w:val="left"/>
        </w:tabs>
        <w:numPr>
          <w:ilvl w:val="0"/>
          <w:numId w:val="10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rFonts w:ascii="Arial" w:cs="Arial" w:eastAsia="Arial" w:hAnsi="Arial"/>
          <w:sz w:val="22"/>
          <w:szCs w:val="22"/>
          <w:i w:val="1"/>
          <w:iCs w:val="1"/>
          <w:color w:val="auto"/>
        </w:rPr>
      </w:pPr>
    </w:p>
    <w:p>
      <w:pPr>
        <w:jc w:val="both"/>
        <w:ind w:left="1300" w:right="20" w:hanging="644"/>
        <w:spacing w:after="0" w:line="225" w:lineRule="auto"/>
        <w:tabs>
          <w:tab w:leader="none" w:pos="1292" w:val="left"/>
        </w:tabs>
        <w:numPr>
          <w:ilvl w:val="0"/>
          <w:numId w:val="10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International Data Transfers</w:t>
      </w:r>
      <w:r>
        <w:rPr>
          <w:rFonts w:ascii="Arial" w:cs="Arial" w:eastAsia="Arial" w:hAnsi="Arial"/>
          <w:sz w:val="22"/>
          <w:szCs w:val="22"/>
          <w:i w:val="1"/>
          <w:iCs w:val="1"/>
          <w:color w:val="auto"/>
        </w:rPr>
        <w:t>. The Company and its service providers are based in the United States. The Grantee’s country or jurisdiction may have different data privacy laws and protections than the United States.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20" w:right="3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Company’s legal basis, where required, for the transfer of Data is Grantee’s consent.</w:t>
      </w:r>
    </w:p>
    <w:p>
      <w:pPr>
        <w:spacing w:after="0" w:line="71" w:lineRule="exact"/>
        <w:rPr>
          <w:sz w:val="20"/>
          <w:szCs w:val="20"/>
          <w:color w:val="auto"/>
        </w:rPr>
      </w:pPr>
    </w:p>
    <w:p>
      <w:pPr>
        <w:jc w:val="both"/>
        <w:ind w:left="1300" w:hanging="644"/>
        <w:spacing w:after="0" w:line="225" w:lineRule="auto"/>
        <w:tabs>
          <w:tab w:leader="none" w:pos="1291"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4"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jc w:val="both"/>
        <w:ind w:left="1300" w:hanging="644"/>
        <w:spacing w:after="0" w:line="208" w:lineRule="auto"/>
        <w:tabs>
          <w:tab w:leader="none" w:pos="1299"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103"/>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12. Additional Terms and Conditions</w:t>
      </w:r>
    </w:p>
    <w:p>
      <w:pPr>
        <w:spacing w:after="0" w:line="76" w:lineRule="exact"/>
        <w:rPr>
          <w:sz w:val="20"/>
          <w:szCs w:val="20"/>
          <w:color w:val="auto"/>
        </w:rPr>
      </w:pPr>
    </w:p>
    <w:p>
      <w:pPr>
        <w:jc w:val="both"/>
        <w:ind w:left="420"/>
        <w:spacing w:after="0" w:line="213" w:lineRule="auto"/>
        <w:rPr>
          <w:sz w:val="20"/>
          <w:szCs w:val="20"/>
          <w:color w:val="auto"/>
        </w:rPr>
      </w:pPr>
      <w:r>
        <w:rPr>
          <w:rFonts w:ascii="Arial" w:cs="Arial" w:eastAsia="Arial" w:hAnsi="Arial"/>
          <w:sz w:val="22"/>
          <w:szCs w:val="22"/>
          <w:color w:val="auto"/>
        </w:rPr>
        <w:t>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20" w:right="3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subject to forfeiture and/or repayment to the Company to the extent required to comply with any requirements imposed under Applicable Laws or any compensation recovery policy of the Company that reflects the provisions of Applicable Laws.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13. Governing Law and Choice of Venue</w:t>
      </w:r>
    </w:p>
    <w:p>
      <w:pPr>
        <w:spacing w:after="0" w:line="22" w:lineRule="exact"/>
        <w:rPr>
          <w:sz w:val="20"/>
          <w:szCs w:val="20"/>
          <w:color w:val="auto"/>
        </w:rPr>
      </w:pPr>
    </w:p>
    <w:p>
      <w:pPr>
        <w:jc w:val="both"/>
        <w:ind w:left="42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14. Miscellaneous Provisions</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71" w:lineRule="exact"/>
        <w:rPr>
          <w:rFonts w:ascii="Arial" w:cs="Arial" w:eastAsia="Arial" w:hAnsi="Arial"/>
          <w:sz w:val="21"/>
          <w:szCs w:val="21"/>
          <w:color w:val="auto"/>
        </w:rPr>
      </w:pPr>
    </w:p>
    <w:p>
      <w:pPr>
        <w:jc w:val="both"/>
        <w:ind w:left="1300" w:hanging="644"/>
        <w:spacing w:after="0" w:line="211" w:lineRule="auto"/>
        <w:tabs>
          <w:tab w:leader="none" w:pos="1291"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83" w:lineRule="exact"/>
        <w:rPr>
          <w:rFonts w:ascii="Arial" w:cs="Arial" w:eastAsia="Arial" w:hAnsi="Arial"/>
          <w:sz w:val="22"/>
          <w:szCs w:val="22"/>
          <w:color w:val="auto"/>
        </w:rPr>
      </w:pPr>
    </w:p>
    <w:p>
      <w:pPr>
        <w:jc w:val="both"/>
        <w:ind w:left="1300" w:hanging="644"/>
        <w:spacing w:after="0" w:line="218" w:lineRule="auto"/>
        <w:tabs>
          <w:tab w:leader="none" w:pos="1292"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80" w:lineRule="exact"/>
        <w:rPr>
          <w:rFonts w:ascii="Arial" w:cs="Arial" w:eastAsia="Arial" w:hAnsi="Arial"/>
          <w:sz w:val="22"/>
          <w:szCs w:val="22"/>
          <w:color w:val="auto"/>
        </w:rPr>
      </w:pPr>
    </w:p>
    <w:p>
      <w:pPr>
        <w:jc w:val="both"/>
        <w:ind w:left="1300" w:hanging="644"/>
        <w:spacing w:after="0" w:line="209" w:lineRule="auto"/>
        <w:tabs>
          <w:tab w:leader="none" w:pos="1292" w:val="left"/>
        </w:tabs>
        <w:numPr>
          <w:ilvl w:val="0"/>
          <w:numId w:val="104"/>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20" w:right="3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79" w:lineRule="exact"/>
        <w:rPr>
          <w:sz w:val="20"/>
          <w:szCs w:val="20"/>
          <w:color w:val="auto"/>
        </w:rPr>
      </w:pPr>
    </w:p>
    <w:p>
      <w:pPr>
        <w:jc w:val="both"/>
        <w:ind w:left="1300" w:hanging="644"/>
        <w:spacing w:after="0" w:line="211" w:lineRule="auto"/>
        <w:tabs>
          <w:tab w:leader="none" w:pos="1292" w:val="left"/>
        </w:tabs>
        <w:numPr>
          <w:ilvl w:val="0"/>
          <w:numId w:val="105"/>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15. Compensation Recovery</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At any time during the three years following the date on which the number of Performance Units subject to the Award has been determined under Section 2 above, the Company reserves the right to and, in appropriate cases, will seek restitution of all or part of any Shares that have been issued or cash that has been paid pursuant to this Award if:</w:t>
      </w:r>
    </w:p>
    <w:p>
      <w:pPr>
        <w:spacing w:after="0" w:line="66" w:lineRule="exact"/>
        <w:rPr>
          <w:sz w:val="20"/>
          <w:szCs w:val="20"/>
          <w:color w:val="auto"/>
        </w:rPr>
      </w:pPr>
    </w:p>
    <w:p>
      <w:pPr>
        <w:jc w:val="both"/>
        <w:ind w:left="1300" w:hanging="644"/>
        <w:spacing w:after="0" w:line="218" w:lineRule="auto"/>
        <w:tabs>
          <w:tab w:leader="none" w:pos="129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(i)the number of Shares or the amount of the cash payment was calculated based, directly or indirectly, upon the achievement of financial results that were subsequently the subject of a restatement of all or a portion of the Company’s financial statements; and</w:t>
      </w:r>
    </w:p>
    <w:p>
      <w:pPr>
        <w:spacing w:after="0" w:line="66" w:lineRule="exact"/>
        <w:rPr>
          <w:rFonts w:ascii="Arial" w:cs="Arial" w:eastAsia="Arial" w:hAnsi="Arial"/>
          <w:sz w:val="22"/>
          <w:szCs w:val="22"/>
          <w:color w:val="auto"/>
        </w:rPr>
      </w:pPr>
    </w:p>
    <w:p>
      <w:pPr>
        <w:ind w:left="1300" w:firstLine="4"/>
        <w:spacing w:after="0" w:line="225" w:lineRule="auto"/>
        <w:tabs>
          <w:tab w:leader="none" w:pos="179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65" w:lineRule="exact"/>
        <w:rPr>
          <w:rFonts w:ascii="Arial" w:cs="Arial" w:eastAsia="Arial" w:hAnsi="Arial"/>
          <w:sz w:val="22"/>
          <w:szCs w:val="22"/>
          <w:color w:val="auto"/>
        </w:rPr>
      </w:pPr>
    </w:p>
    <w:p>
      <w:pPr>
        <w:jc w:val="both"/>
        <w:ind w:left="1300" w:firstLine="4"/>
        <w:spacing w:after="0" w:line="218" w:lineRule="auto"/>
        <w:tabs>
          <w:tab w:leader="none" w:pos="185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6" w:lineRule="exact"/>
        <w:rPr>
          <w:sz w:val="20"/>
          <w:szCs w:val="20"/>
          <w:color w:val="auto"/>
        </w:rPr>
      </w:pPr>
    </w:p>
    <w:p>
      <w:pPr>
        <w:ind w:left="420" w:right="20"/>
        <w:spacing w:after="0" w:line="210"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5" w:lineRule="exact"/>
        <w:rPr>
          <w:sz w:val="20"/>
          <w:szCs w:val="20"/>
          <w:color w:val="auto"/>
        </w:rPr>
      </w:pPr>
    </w:p>
    <w:p>
      <w:pPr>
        <w:ind w:left="420" w:right="740"/>
        <w:spacing w:after="0" w:line="218"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16. Award Subject to Acknowledgement of Acceptance</w:t>
      </w:r>
    </w:p>
    <w:p>
      <w:pPr>
        <w:spacing w:after="0" w:line="76" w:lineRule="exact"/>
        <w:rPr>
          <w:sz w:val="20"/>
          <w:szCs w:val="20"/>
          <w:color w:val="auto"/>
        </w:rPr>
      </w:pPr>
    </w:p>
    <w:p>
      <w:pPr>
        <w:jc w:val="both"/>
        <w:ind w:left="400"/>
        <w:spacing w:after="0" w:line="218"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20" w:right="3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right="20"/>
        <w:spacing w:after="0" w:line="225" w:lineRule="auto"/>
        <w:rPr>
          <w:sz w:val="20"/>
          <w:szCs w:val="20"/>
          <w:color w:val="auto"/>
        </w:rPr>
      </w:pPr>
      <w:r>
        <w:rPr>
          <w:rFonts w:ascii="Arial" w:cs="Arial" w:eastAsia="Arial" w:hAnsi="Arial"/>
          <w:sz w:val="22"/>
          <w:szCs w:val="22"/>
          <w:color w:val="auto"/>
        </w:rPr>
        <w:t>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44"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20"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Exhibit 10.3 Form of Performance Award under the 2002 Lilly Stock Plan (with non-compete)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43"/>
          <w:szCs w:val="43"/>
          <w:color w:val="auto"/>
        </w:rPr>
        <w:t>Eli Lilly and Company</w:t>
      </w:r>
    </w:p>
    <w:p>
      <w:pPr>
        <w:jc w:val="center"/>
        <w:ind w:right="-179"/>
        <w:spacing w:after="0" w:line="211" w:lineRule="auto"/>
        <w:rPr>
          <w:sz w:val="20"/>
          <w:szCs w:val="20"/>
          <w:color w:val="auto"/>
        </w:rPr>
      </w:pPr>
      <w:r>
        <w:rPr>
          <w:rFonts w:ascii="Arial" w:cs="Arial" w:eastAsia="Arial" w:hAnsi="Arial"/>
          <w:sz w:val="43"/>
          <w:szCs w:val="43"/>
          <w:color w:val="auto"/>
        </w:rPr>
        <w:t>Performance Award Agreement</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32"/>
          <w:szCs w:val="32"/>
          <w:color w:val="auto"/>
        </w:rPr>
        <w:t>(for Executive Officers)</w:t>
      </w:r>
    </w:p>
    <w:p>
      <w:pPr>
        <w:spacing w:after="0" w:line="200" w:lineRule="exact"/>
        <w:rPr>
          <w:sz w:val="20"/>
          <w:szCs w:val="20"/>
          <w:color w:val="auto"/>
        </w:rPr>
      </w:pPr>
    </w:p>
    <w:p>
      <w:pPr>
        <w:spacing w:after="0" w:line="245" w:lineRule="exact"/>
        <w:rPr>
          <w:sz w:val="20"/>
          <w:szCs w:val="20"/>
          <w:color w:val="auto"/>
        </w:rPr>
      </w:pPr>
    </w:p>
    <w:p>
      <w:pPr>
        <w:spacing w:after="0" w:line="218" w:lineRule="auto"/>
        <w:rPr>
          <w:sz w:val="20"/>
          <w:szCs w:val="20"/>
          <w:color w:val="auto"/>
        </w:rPr>
      </w:pPr>
      <w:r>
        <w:rPr>
          <w:rFonts w:ascii="Arial" w:cs="Arial" w:eastAsia="Arial" w:hAnsi="Arial"/>
          <w:sz w:val="22"/>
          <w:szCs w:val="22"/>
          <w:color w:val="auto"/>
        </w:rPr>
        <w:t>This Performance Award has been granted on [•] (“Grant Date”) by Eli Lilly and Company, an Indiana corporation, with its principal offices in Indianapolis, Indiana (“Lilly” or the “Company”), to the Eligible Individual who has received this Performance Award Agreement (the “Grantee”).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142240</wp:posOffset>
            </wp:positionV>
            <wp:extent cx="5614670" cy="17233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561467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620" w:val="left"/>
        </w:tabs>
        <w:rPr>
          <w:sz w:val="20"/>
          <w:szCs w:val="20"/>
          <w:color w:val="auto"/>
        </w:rPr>
      </w:pPr>
      <w:r>
        <w:rPr>
          <w:rFonts w:ascii="Arial" w:cs="Arial" w:eastAsia="Arial" w:hAnsi="Arial"/>
          <w:sz w:val="25"/>
          <w:szCs w:val="25"/>
          <w:color w:val="auto"/>
        </w:rPr>
        <w:t>Performance Period:</w:t>
        <w:tab/>
        <w:t>January 1, 2022 – December 31, 2023</w:t>
      </w:r>
    </w:p>
    <w:p>
      <w:pPr>
        <w:spacing w:after="0" w:line="239" w:lineRule="exact"/>
        <w:rPr>
          <w:sz w:val="20"/>
          <w:szCs w:val="20"/>
          <w:color w:val="auto"/>
        </w:rPr>
      </w:pPr>
    </w:p>
    <w:p>
      <w:pPr>
        <w:spacing w:after="0"/>
        <w:tabs>
          <w:tab w:leader="none" w:pos="2720" w:val="left"/>
        </w:tabs>
        <w:rPr>
          <w:sz w:val="20"/>
          <w:szCs w:val="20"/>
          <w:color w:val="auto"/>
        </w:rPr>
      </w:pPr>
      <w:r>
        <w:rPr>
          <w:rFonts w:ascii="Arial" w:cs="Arial" w:eastAsia="Arial" w:hAnsi="Arial"/>
          <w:sz w:val="25"/>
          <w:szCs w:val="25"/>
          <w:color w:val="auto"/>
        </w:rPr>
        <w:t>Service Vesting Date:</w:t>
        <w:tab/>
        <w:t>February 1, 2025</w:t>
      </w:r>
    </w:p>
    <w:p>
      <w:pPr>
        <w:sectPr>
          <w:pgSz w:w="11900" w:h="16838" w:orient="portrait"/>
          <w:cols w:equalWidth="0" w:num="1">
            <w:col w:w="11080"/>
          </w:cols>
          <w:pgMar w:left="320" w:top="1251" w:right="49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99"/>
        <w:spacing w:after="0"/>
        <w:rPr>
          <w:sz w:val="20"/>
          <w:szCs w:val="20"/>
          <w:color w:val="auto"/>
        </w:rPr>
      </w:pPr>
      <w:r>
        <w:rPr>
          <w:rFonts w:ascii="Arial" w:cs="Arial" w:eastAsia="Arial" w:hAnsi="Arial"/>
          <w:sz w:val="25"/>
          <w:szCs w:val="25"/>
          <w:color w:val="auto"/>
        </w:rPr>
        <w:t>Table of Contents</w:t>
      </w:r>
    </w:p>
    <w:p>
      <w:pPr>
        <w:spacing w:after="0" w:line="258"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9380" w:type="dxa"/>
            <w:vAlign w:val="bottom"/>
            <w:gridSpan w:val="3"/>
          </w:tcPr>
          <w:p>
            <w:pPr>
              <w:spacing w:after="0"/>
              <w:rPr>
                <w:sz w:val="20"/>
                <w:szCs w:val="20"/>
                <w:color w:val="auto"/>
              </w:rPr>
            </w:pPr>
            <w:r>
              <w:rPr>
                <w:rFonts w:ascii="Arial" w:cs="Arial" w:eastAsia="Arial" w:hAnsi="Arial"/>
                <w:sz w:val="22"/>
                <w:szCs w:val="22"/>
                <w:color w:val="auto"/>
              </w:rPr>
              <w:t>Section 1.  Grant of Performance Award</w:t>
            </w:r>
          </w:p>
        </w:tc>
        <w:tc>
          <w:tcPr>
            <w:tcW w:w="1480" w:type="dxa"/>
            <w:vAlign w:val="bottom"/>
          </w:tcPr>
          <w:p>
            <w:pPr>
              <w:ind w:left="1240"/>
              <w:spacing w:after="0"/>
              <w:rPr>
                <w:sz w:val="20"/>
                <w:szCs w:val="20"/>
                <w:color w:val="auto"/>
              </w:rPr>
            </w:pPr>
            <w:r>
              <w:rPr>
                <w:rFonts w:ascii="Arial" w:cs="Arial" w:eastAsia="Arial" w:hAnsi="Arial"/>
                <w:sz w:val="22"/>
                <w:szCs w:val="22"/>
                <w:color w:val="auto"/>
              </w:rPr>
              <w:t>3</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4"/>
                <w:szCs w:val="24"/>
                <w:color w:val="auto"/>
              </w:rPr>
            </w:pPr>
          </w:p>
        </w:tc>
        <w:tc>
          <w:tcPr>
            <w:tcW w:w="8240" w:type="dxa"/>
            <w:vAlign w:val="bottom"/>
          </w:tcPr>
          <w:p>
            <w:pPr>
              <w:ind w:left="60"/>
              <w:spacing w:after="0"/>
              <w:rPr>
                <w:sz w:val="20"/>
                <w:szCs w:val="20"/>
                <w:color w:val="auto"/>
              </w:rPr>
            </w:pPr>
            <w:r>
              <w:rPr>
                <w:rFonts w:ascii="Arial" w:cs="Arial" w:eastAsia="Arial" w:hAnsi="Arial"/>
                <w:sz w:val="22"/>
                <w:szCs w:val="22"/>
                <w:color w:val="auto"/>
              </w:rPr>
              <w:t>Vesting</w:t>
            </w:r>
          </w:p>
        </w:tc>
        <w:tc>
          <w:tcPr>
            <w:tcW w:w="1480" w:type="dxa"/>
            <w:vAlign w:val="bottom"/>
          </w:tcPr>
          <w:p>
            <w:pPr>
              <w:ind w:left="1240"/>
              <w:spacing w:after="0"/>
              <w:rPr>
                <w:sz w:val="20"/>
                <w:szCs w:val="20"/>
                <w:color w:val="auto"/>
              </w:rPr>
            </w:pPr>
            <w:r>
              <w:rPr>
                <w:rFonts w:ascii="Arial" w:cs="Arial" w:eastAsia="Arial" w:hAnsi="Arial"/>
                <w:sz w:val="22"/>
                <w:szCs w:val="22"/>
                <w:color w:val="auto"/>
              </w:rPr>
              <w:t>3</w:t>
            </w:r>
          </w:p>
        </w:tc>
      </w:tr>
      <w:tr>
        <w:trPr>
          <w:trHeight w:val="310"/>
        </w:trPr>
        <w:tc>
          <w:tcPr>
            <w:tcW w:w="9380" w:type="dxa"/>
            <w:vAlign w:val="bottom"/>
            <w:gridSpan w:val="3"/>
          </w:tcPr>
          <w:p>
            <w:pPr>
              <w:spacing w:after="0"/>
              <w:rPr>
                <w:sz w:val="20"/>
                <w:szCs w:val="20"/>
                <w:color w:val="auto"/>
              </w:rPr>
            </w:pPr>
            <w:r>
              <w:rPr>
                <w:rFonts w:ascii="Arial" w:cs="Arial" w:eastAsia="Arial" w:hAnsi="Arial"/>
                <w:sz w:val="22"/>
                <w:szCs w:val="22"/>
                <w:color w:val="auto"/>
              </w:rPr>
              <w:t>Section 3.  Impact of Certain Employment Status Changes</w:t>
            </w:r>
          </w:p>
        </w:tc>
        <w:tc>
          <w:tcPr>
            <w:tcW w:w="1480" w:type="dxa"/>
            <w:vAlign w:val="bottom"/>
          </w:tcPr>
          <w:p>
            <w:pPr>
              <w:ind w:left="1240"/>
              <w:spacing w:after="0"/>
              <w:rPr>
                <w:sz w:val="20"/>
                <w:szCs w:val="20"/>
                <w:color w:val="auto"/>
              </w:rPr>
            </w:pPr>
            <w:r>
              <w:rPr>
                <w:rFonts w:ascii="Arial" w:cs="Arial" w:eastAsia="Arial" w:hAnsi="Arial"/>
                <w:sz w:val="22"/>
                <w:szCs w:val="22"/>
                <w:color w:val="auto"/>
              </w:rPr>
              <w:t>4</w:t>
            </w:r>
          </w:p>
        </w:tc>
      </w:tr>
      <w:tr>
        <w:trPr>
          <w:trHeight w:val="311"/>
        </w:trPr>
        <w:tc>
          <w:tcPr>
            <w:tcW w:w="9380" w:type="dxa"/>
            <w:vAlign w:val="bottom"/>
            <w:gridSpan w:val="3"/>
          </w:tcPr>
          <w:p>
            <w:pPr>
              <w:spacing w:after="0"/>
              <w:rPr>
                <w:sz w:val="20"/>
                <w:szCs w:val="20"/>
                <w:color w:val="auto"/>
              </w:rPr>
            </w:pPr>
            <w:r>
              <w:rPr>
                <w:rFonts w:ascii="Arial" w:cs="Arial" w:eastAsia="Arial" w:hAnsi="Arial"/>
                <w:sz w:val="22"/>
                <w:szCs w:val="22"/>
                <w:color w:val="auto"/>
              </w:rPr>
              <w:t>Section 4.  Change in Control</w:t>
            </w:r>
          </w:p>
        </w:tc>
        <w:tc>
          <w:tcPr>
            <w:tcW w:w="1480" w:type="dxa"/>
            <w:vAlign w:val="bottom"/>
          </w:tcPr>
          <w:p>
            <w:pPr>
              <w:ind w:left="1240"/>
              <w:spacing w:after="0"/>
              <w:rPr>
                <w:sz w:val="20"/>
                <w:szCs w:val="20"/>
                <w:color w:val="auto"/>
              </w:rPr>
            </w:pPr>
            <w:r>
              <w:rPr>
                <w:rFonts w:ascii="Arial" w:cs="Arial" w:eastAsia="Arial" w:hAnsi="Arial"/>
                <w:sz w:val="22"/>
                <w:szCs w:val="22"/>
                <w:color w:val="auto"/>
              </w:rPr>
              <w:t>6</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4"/>
                <w:szCs w:val="24"/>
                <w:color w:val="auto"/>
              </w:rPr>
            </w:pPr>
          </w:p>
        </w:tc>
        <w:tc>
          <w:tcPr>
            <w:tcW w:w="824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1480" w:type="dxa"/>
            <w:vAlign w:val="bottom"/>
          </w:tcPr>
          <w:p>
            <w:pPr>
              <w:ind w:left="1240"/>
              <w:spacing w:after="0"/>
              <w:rPr>
                <w:sz w:val="20"/>
                <w:szCs w:val="20"/>
                <w:color w:val="auto"/>
              </w:rPr>
            </w:pPr>
            <w:r>
              <w:rPr>
                <w:rFonts w:ascii="Arial" w:cs="Arial" w:eastAsia="Arial" w:hAnsi="Arial"/>
                <w:sz w:val="22"/>
                <w:szCs w:val="22"/>
                <w:color w:val="auto"/>
              </w:rPr>
              <w:t>7</w:t>
            </w:r>
          </w:p>
        </w:tc>
      </w:tr>
      <w:tr>
        <w:trPr>
          <w:trHeight w:val="310"/>
        </w:trPr>
        <w:tc>
          <w:tcPr>
            <w:tcW w:w="9380" w:type="dxa"/>
            <w:vAlign w:val="bottom"/>
            <w:gridSpan w:val="3"/>
          </w:tcPr>
          <w:p>
            <w:pPr>
              <w:spacing w:after="0"/>
              <w:rPr>
                <w:sz w:val="20"/>
                <w:szCs w:val="20"/>
                <w:color w:val="auto"/>
              </w:rPr>
            </w:pPr>
            <w:r>
              <w:rPr>
                <w:rFonts w:ascii="Arial" w:cs="Arial" w:eastAsia="Arial" w:hAnsi="Arial"/>
                <w:sz w:val="22"/>
                <w:szCs w:val="22"/>
                <w:color w:val="auto"/>
              </w:rPr>
              <w:t>Section 6.  Rights of the Grantee</w:t>
            </w:r>
          </w:p>
        </w:tc>
        <w:tc>
          <w:tcPr>
            <w:tcW w:w="1480" w:type="dxa"/>
            <w:vAlign w:val="bottom"/>
          </w:tcPr>
          <w:p>
            <w:pPr>
              <w:ind w:left="1240"/>
              <w:spacing w:after="0"/>
              <w:rPr>
                <w:sz w:val="20"/>
                <w:szCs w:val="20"/>
                <w:color w:val="auto"/>
              </w:rPr>
            </w:pPr>
            <w:r>
              <w:rPr>
                <w:rFonts w:ascii="Arial" w:cs="Arial" w:eastAsia="Arial" w:hAnsi="Arial"/>
                <w:sz w:val="22"/>
                <w:szCs w:val="22"/>
                <w:color w:val="auto"/>
              </w:rPr>
              <w:t>8</w:t>
            </w:r>
          </w:p>
        </w:tc>
      </w:tr>
      <w:tr>
        <w:trPr>
          <w:trHeight w:val="311"/>
        </w:trPr>
        <w:tc>
          <w:tcPr>
            <w:tcW w:w="9380" w:type="dxa"/>
            <w:vAlign w:val="bottom"/>
            <w:gridSpan w:val="3"/>
          </w:tcPr>
          <w:p>
            <w:pPr>
              <w:spacing w:after="0"/>
              <w:rPr>
                <w:sz w:val="20"/>
                <w:szCs w:val="20"/>
                <w:color w:val="auto"/>
              </w:rPr>
            </w:pPr>
            <w:r>
              <w:rPr>
                <w:rFonts w:ascii="Arial" w:cs="Arial" w:eastAsia="Arial" w:hAnsi="Arial"/>
                <w:sz w:val="22"/>
                <w:szCs w:val="22"/>
                <w:color w:val="auto"/>
              </w:rPr>
              <w:t>Section 7.  Prohibition Against Transfer</w:t>
            </w:r>
          </w:p>
        </w:tc>
        <w:tc>
          <w:tcPr>
            <w:tcW w:w="1480" w:type="dxa"/>
            <w:vAlign w:val="bottom"/>
          </w:tcPr>
          <w:p>
            <w:pPr>
              <w:ind w:left="1240"/>
              <w:spacing w:after="0"/>
              <w:rPr>
                <w:sz w:val="20"/>
                <w:szCs w:val="20"/>
                <w:color w:val="auto"/>
              </w:rPr>
            </w:pPr>
            <w:r>
              <w:rPr>
                <w:rFonts w:ascii="Arial" w:cs="Arial" w:eastAsia="Arial" w:hAnsi="Arial"/>
                <w:sz w:val="22"/>
                <w:szCs w:val="22"/>
                <w:color w:val="auto"/>
              </w:rPr>
              <w:t>8</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8.</w:t>
            </w:r>
          </w:p>
        </w:tc>
        <w:tc>
          <w:tcPr>
            <w:tcW w:w="8300" w:type="dxa"/>
            <w:vAlign w:val="bottom"/>
            <w:gridSpan w:val="2"/>
          </w:tcPr>
          <w:p>
            <w:pPr>
              <w:ind w:left="120"/>
              <w:spacing w:after="0"/>
              <w:rPr>
                <w:sz w:val="20"/>
                <w:szCs w:val="20"/>
                <w:color w:val="auto"/>
              </w:rPr>
            </w:pPr>
            <w:r>
              <w:rPr>
                <w:rFonts w:ascii="Arial" w:cs="Arial" w:eastAsia="Arial" w:hAnsi="Arial"/>
                <w:sz w:val="22"/>
                <w:szCs w:val="22"/>
                <w:color w:val="auto"/>
              </w:rPr>
              <w:t>Responsibility for Taxes</w:t>
            </w:r>
          </w:p>
        </w:tc>
        <w:tc>
          <w:tcPr>
            <w:tcW w:w="1480" w:type="dxa"/>
            <w:vAlign w:val="bottom"/>
          </w:tcPr>
          <w:p>
            <w:pPr>
              <w:ind w:left="1240"/>
              <w:spacing w:after="0"/>
              <w:rPr>
                <w:sz w:val="20"/>
                <w:szCs w:val="20"/>
                <w:color w:val="auto"/>
              </w:rPr>
            </w:pPr>
            <w:r>
              <w:rPr>
                <w:rFonts w:ascii="Arial" w:cs="Arial" w:eastAsia="Arial" w:hAnsi="Arial"/>
                <w:sz w:val="22"/>
                <w:szCs w:val="22"/>
                <w:color w:val="auto"/>
              </w:rPr>
              <w:t>8</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9.</w:t>
            </w:r>
          </w:p>
        </w:tc>
        <w:tc>
          <w:tcPr>
            <w:tcW w:w="830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10</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10.</w:t>
            </w:r>
          </w:p>
        </w:tc>
        <w:tc>
          <w:tcPr>
            <w:tcW w:w="8240" w:type="dxa"/>
            <w:vAlign w:val="bottom"/>
          </w:tcPr>
          <w:p>
            <w:pPr>
              <w:ind w:left="180"/>
              <w:spacing w:after="0"/>
              <w:rPr>
                <w:sz w:val="20"/>
                <w:szCs w:val="20"/>
                <w:color w:val="auto"/>
              </w:rPr>
            </w:pPr>
            <w:r>
              <w:rPr>
                <w:rFonts w:ascii="Arial" w:cs="Arial" w:eastAsia="Arial" w:hAnsi="Arial"/>
                <w:sz w:val="22"/>
                <w:szCs w:val="22"/>
                <w:color w:val="auto"/>
              </w:rPr>
              <w:t>Grantee’s Acknowledgments</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10</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11.</w:t>
            </w:r>
          </w:p>
        </w:tc>
        <w:tc>
          <w:tcPr>
            <w:tcW w:w="824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11</w:t>
            </w:r>
          </w:p>
        </w:tc>
      </w:tr>
      <w:tr>
        <w:trPr>
          <w:trHeight w:val="311"/>
        </w:trPr>
        <w:tc>
          <w:tcPr>
            <w:tcW w:w="9380" w:type="dxa"/>
            <w:vAlign w:val="bottom"/>
            <w:gridSpan w:val="3"/>
          </w:tcPr>
          <w:p>
            <w:pPr>
              <w:spacing w:after="0"/>
              <w:rPr>
                <w:sz w:val="20"/>
                <w:szCs w:val="20"/>
                <w:color w:val="auto"/>
              </w:rPr>
            </w:pPr>
            <w:r>
              <w:rPr>
                <w:rFonts w:ascii="Arial" w:cs="Arial" w:eastAsia="Arial" w:hAnsi="Arial"/>
                <w:sz w:val="22"/>
                <w:szCs w:val="22"/>
                <w:color w:val="auto"/>
              </w:rPr>
              <w:t>Section 12.  Restrictive Covenants, Remedies, and Additional Terms and Conditions</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12</w:t>
            </w:r>
          </w:p>
        </w:tc>
      </w:tr>
      <w:tr>
        <w:trPr>
          <w:trHeight w:val="310"/>
        </w:trPr>
        <w:tc>
          <w:tcPr>
            <w:tcW w:w="9380" w:type="dxa"/>
            <w:vAlign w:val="bottom"/>
            <w:gridSpan w:val="3"/>
          </w:tcPr>
          <w:p>
            <w:pPr>
              <w:spacing w:after="0"/>
              <w:rPr>
                <w:sz w:val="20"/>
                <w:szCs w:val="20"/>
                <w:color w:val="auto"/>
              </w:rPr>
            </w:pPr>
            <w:r>
              <w:rPr>
                <w:rFonts w:ascii="Arial" w:cs="Arial" w:eastAsia="Arial" w:hAnsi="Arial"/>
                <w:sz w:val="22"/>
                <w:szCs w:val="22"/>
                <w:color w:val="auto"/>
              </w:rPr>
              <w:t>Section 13.  Governing Law and Choice of Venue</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15</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14.</w:t>
            </w:r>
          </w:p>
        </w:tc>
        <w:tc>
          <w:tcPr>
            <w:tcW w:w="824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15</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15.</w:t>
            </w:r>
          </w:p>
        </w:tc>
        <w:tc>
          <w:tcPr>
            <w:tcW w:w="8240" w:type="dxa"/>
            <w:vAlign w:val="bottom"/>
          </w:tcPr>
          <w:p>
            <w:pPr>
              <w:ind w:left="180"/>
              <w:spacing w:after="0"/>
              <w:rPr>
                <w:sz w:val="20"/>
                <w:szCs w:val="20"/>
                <w:color w:val="auto"/>
              </w:rPr>
            </w:pPr>
            <w:r>
              <w:rPr>
                <w:rFonts w:ascii="Arial" w:cs="Arial" w:eastAsia="Arial" w:hAnsi="Arial"/>
                <w:sz w:val="22"/>
                <w:szCs w:val="22"/>
                <w:color w:val="auto"/>
              </w:rPr>
              <w:t>Compensation Recovery</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16</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16.</w:t>
            </w:r>
          </w:p>
        </w:tc>
        <w:tc>
          <w:tcPr>
            <w:tcW w:w="8240" w:type="dxa"/>
            <w:vAlign w:val="bottom"/>
          </w:tcPr>
          <w:p>
            <w:pPr>
              <w:ind w:left="160"/>
              <w:spacing w:after="0"/>
              <w:rPr>
                <w:sz w:val="20"/>
                <w:szCs w:val="20"/>
                <w:color w:val="auto"/>
              </w:rPr>
            </w:pPr>
            <w:r>
              <w:rPr>
                <w:rFonts w:ascii="Arial" w:cs="Arial" w:eastAsia="Arial" w:hAnsi="Arial"/>
                <w:sz w:val="22"/>
                <w:szCs w:val="22"/>
                <w:color w:val="auto"/>
              </w:rPr>
              <w:t>Award Subject to Acknowledgement of Acceptance</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940"/>
          </w:cols>
          <w:pgMar w:left="320" w:top="120" w:right="6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1.</w:t>
        <w:tab/>
        <w:t>Grant of Performance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0000FF"/>
        </w:rPr>
        <w:t>http://myequity.lilly.com</w:t>
      </w:r>
      <w:r>
        <w:rPr>
          <w:rFonts w:ascii="Arial" w:cs="Arial" w:eastAsia="Arial" w:hAnsi="Arial"/>
          <w:sz w:val="22"/>
          <w:szCs w:val="22"/>
          <w:color w:val="auto"/>
        </w:rPr>
        <w:t xml:space="preserve"> (the "Target Number of Shares").</w:t>
      </w:r>
    </w:p>
    <w:p>
      <w:pPr>
        <w:spacing w:after="0" w:line="65" w:lineRule="exact"/>
        <w:rPr>
          <w:sz w:val="20"/>
          <w:szCs w:val="20"/>
          <w:color w:val="auto"/>
        </w:rPr>
      </w:pPr>
    </w:p>
    <w:p>
      <w:pPr>
        <w:jc w:val="both"/>
        <w:ind w:left="400"/>
        <w:spacing w:after="0" w:line="223" w:lineRule="auto"/>
        <w:rPr>
          <w:sz w:val="20"/>
          <w:szCs w:val="20"/>
          <w:color w:val="auto"/>
        </w:rPr>
      </w:pPr>
      <w:r>
        <w:rPr>
          <w:rFonts w:ascii="Arial" w:cs="Arial" w:eastAsia="Arial" w:hAnsi="Arial"/>
          <w:sz w:val="21"/>
          <w:szCs w:val="21"/>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201" w:lineRule="exact"/>
        <w:rPr>
          <w:sz w:val="20"/>
          <w:szCs w:val="20"/>
          <w:color w:val="auto"/>
        </w:rPr>
      </w:pPr>
    </w:p>
    <w:p>
      <w:pPr>
        <w:jc w:val="both"/>
        <w:ind w:left="42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76" w:lineRule="exact"/>
        <w:rPr>
          <w:sz w:val="20"/>
          <w:szCs w:val="20"/>
          <w:color w:val="auto"/>
        </w:rPr>
      </w:pPr>
    </w:p>
    <w:p>
      <w:pPr>
        <w:jc w:val="both"/>
        <w:ind w:left="420"/>
        <w:spacing w:after="0" w:line="211"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units eligible to vest (“Performance Units”)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70" w:lineRule="exact"/>
        <w:rPr>
          <w:sz w:val="20"/>
          <w:szCs w:val="20"/>
          <w:color w:val="auto"/>
        </w:rPr>
      </w:pPr>
    </w:p>
    <w:p>
      <w:pPr>
        <w:ind w:left="1300" w:hanging="644"/>
        <w:spacing w:after="0" w:line="225" w:lineRule="auto"/>
        <w:tabs>
          <w:tab w:leader="none" w:pos="129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actual cumulative EPS for the Performance Period shall be computed using the following procedures: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A determination of adjusted consolidated net income ascertained from the Company's audited consolidated financial statements shall be made for each fiscal year in the Performance Period in accordance with accounting principles currently applicable in the United States ("US GAAP"), adjusted to the extent deemed appropriate by the Committee for any unusual items deemed significant by the Committee.</w:t>
      </w:r>
    </w:p>
    <w:p>
      <w:pPr>
        <w:spacing w:after="0" w:line="65" w:lineRule="exact"/>
        <w:rPr>
          <w:rFonts w:ascii="Arial" w:cs="Arial" w:eastAsia="Arial" w:hAnsi="Arial"/>
          <w:sz w:val="22"/>
          <w:szCs w:val="22"/>
          <w:color w:val="auto"/>
        </w:rPr>
      </w:pPr>
    </w:p>
    <w:p>
      <w:pPr>
        <w:jc w:val="both"/>
        <w:ind w:left="1960" w:hanging="332"/>
        <w:spacing w:after="0" w:line="218" w:lineRule="auto"/>
        <w:tabs>
          <w:tab w:leader="none" w:pos="195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number of shares of outstanding Lilly Common Stock used to compute consolidated EPS shall be determined as of the end of each fiscal year in the Performance Period on a diluted basis or its equivalent in accordance with US GAAP.</w:t>
      </w:r>
    </w:p>
    <w:p>
      <w:pPr>
        <w:spacing w:after="0" w:line="66" w:lineRule="exact"/>
        <w:rPr>
          <w:rFonts w:ascii="Arial" w:cs="Arial" w:eastAsia="Arial" w:hAnsi="Arial"/>
          <w:sz w:val="22"/>
          <w:szCs w:val="22"/>
          <w:color w:val="auto"/>
        </w:rPr>
      </w:pPr>
    </w:p>
    <w:p>
      <w:pPr>
        <w:jc w:val="both"/>
        <w:ind w:left="1960" w:hanging="332"/>
        <w:spacing w:after="0" w:line="215" w:lineRule="auto"/>
        <w:tabs>
          <w:tab w:leader="none" w:pos="1948"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65" w:lineRule="exact"/>
        <w:rPr>
          <w:rFonts w:ascii="Arial" w:cs="Arial" w:eastAsia="Arial" w:hAnsi="Arial"/>
          <w:sz w:val="22"/>
          <w:szCs w:val="22"/>
          <w:color w:val="auto"/>
        </w:rPr>
      </w:pPr>
    </w:p>
    <w:p>
      <w:pPr>
        <w:ind w:left="1960" w:hanging="332"/>
        <w:spacing w:after="0" w:line="225" w:lineRule="auto"/>
        <w:tabs>
          <w:tab w:leader="none" w:pos="194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determine the cumulative EPS for the Performance Period, the EPS amounts for each fiscal year as determined above shall be added.</w:t>
      </w:r>
    </w:p>
    <w:p>
      <w:pPr>
        <w:spacing w:after="0" w:line="65"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payout multiple corresponding to the EPS Growth (as shown on page 1 of this document) shall then be applied to the Target Number of Shares.</w:t>
      </w:r>
    </w:p>
    <w:p>
      <w:pPr>
        <w:spacing w:after="0" w:line="65"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number of Performance Units under this Performance Award will be the number resulting from the calculation described in subsection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20" w:right="3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0" w:hanging="644"/>
        <w:spacing w:after="0" w:line="218" w:lineRule="auto"/>
        <w:tabs>
          <w:tab w:leader="none" w:pos="129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 the event the Grantee’s Service is terminated prior to the Service Vesting Date for any reason or in any circumstance other than as described in Section 3 below, the Award, including any accrued Dividend Equivalent Rights, shall be forfeited.</w:t>
      </w:r>
    </w:p>
    <w:p>
      <w:pPr>
        <w:spacing w:after="0" w:line="17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76"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hanging="644"/>
        <w:spacing w:after="0" w:line="211" w:lineRule="auto"/>
        <w:tabs>
          <w:tab w:leader="none" w:pos="129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Retirement; Death; Disability</w:t>
      </w:r>
      <w:r>
        <w:rPr>
          <w:rFonts w:ascii="Arial" w:cs="Arial" w:eastAsia="Arial" w:hAnsi="Arial"/>
          <w:sz w:val="22"/>
          <w:szCs w:val="22"/>
          <w:color w:val="auto"/>
        </w:rPr>
        <w:t>. Except as otherwise provided below (including Section 12), in the event the Grantee’s Service is terminated (i) on or following the Retirement Vesting Date due to the Grantee’s Retirement, (ii) due to the Grantee’s death, or (iii)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69" w:lineRule="exact"/>
        <w:rPr>
          <w:rFonts w:ascii="Arial" w:cs="Arial" w:eastAsia="Arial" w:hAnsi="Arial"/>
          <w:sz w:val="22"/>
          <w:szCs w:val="22"/>
          <w:color w:val="auto"/>
        </w:rPr>
      </w:pPr>
    </w:p>
    <w:p>
      <w:pPr>
        <w:jc w:val="both"/>
        <w:ind w:left="1300"/>
        <w:spacing w:after="0" w:line="214" w:lineRule="auto"/>
        <w:rPr>
          <w:rFonts w:ascii="Arial" w:cs="Arial" w:eastAsia="Arial" w:hAnsi="Arial"/>
          <w:sz w:val="22"/>
          <w:szCs w:val="22"/>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(E) otherwise determined to be a retired employee in the sole discretion of the Company.</w:t>
      </w:r>
    </w:p>
    <w:p>
      <w:pPr>
        <w:spacing w:after="0" w:line="71"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66"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9" w:lineRule="exact"/>
        <w:rPr>
          <w:sz w:val="20"/>
          <w:szCs w:val="20"/>
          <w:color w:val="auto"/>
        </w:rPr>
      </w:pPr>
    </w:p>
    <w:p>
      <w:pPr>
        <w:jc w:val="both"/>
        <w:ind w:left="1300" w:hanging="644"/>
        <w:spacing w:after="0" w:line="213" w:lineRule="auto"/>
        <w:tabs>
          <w:tab w:leader="none" w:pos="129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Performance Units shall vest, provided that if the Qualifying Termination occurs prior to the last day of the Performance Period, the number of Shares eligible to vest shall be the number determined in accordance with Section 2 above, reduced proportionally for the portion of the total days during the Performance Period in which the Grantee was not in active Service.</w:t>
      </w:r>
    </w:p>
    <w:p>
      <w:pPr>
        <w:spacing w:after="0" w:line="65" w:lineRule="exact"/>
        <w:rPr>
          <w:rFonts w:ascii="Arial" w:cs="Arial" w:eastAsia="Arial" w:hAnsi="Arial"/>
          <w:sz w:val="22"/>
          <w:szCs w:val="22"/>
          <w:color w:val="auto"/>
        </w:rPr>
      </w:pPr>
    </w:p>
    <w:p>
      <w:pPr>
        <w:ind w:left="1300" w:right="20"/>
        <w:spacing w:after="0" w:line="225" w:lineRule="auto"/>
        <w:rPr>
          <w:rFonts w:ascii="Arial" w:cs="Arial" w:eastAsia="Arial" w:hAnsi="Arial"/>
          <w:sz w:val="22"/>
          <w:szCs w:val="22"/>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20"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60" w:hanging="332"/>
        <w:spacing w:after="0"/>
        <w:tabs>
          <w:tab w:leader="none" w:pos="19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18" w:lineRule="auto"/>
        <w:tabs>
          <w:tab w:leader="none" w:pos="19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1300" w:right="76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300" w:right="10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65" w:lineRule="exact"/>
        <w:rPr>
          <w:sz w:val="20"/>
          <w:szCs w:val="20"/>
          <w:color w:val="auto"/>
        </w:rPr>
      </w:pPr>
    </w:p>
    <w:p>
      <w:pPr>
        <w:jc w:val="both"/>
        <w:ind w:left="1300" w:hanging="644"/>
        <w:spacing w:after="0" w:line="225" w:lineRule="auto"/>
        <w:tabs>
          <w:tab w:leader="none" w:pos="1291"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Post-Performance Period Retirement.</w:t>
      </w:r>
      <w:r>
        <w:rPr>
          <w:rFonts w:ascii="Arial" w:cs="Arial" w:eastAsia="Arial" w:hAnsi="Arial"/>
          <w:sz w:val="21"/>
          <w:szCs w:val="21"/>
          <w:color w:val="auto"/>
        </w:rPr>
        <w:t xml:space="preserve"> Notwithstanding Section 3(b), in the event the Grantee's Service is terminated due to Retirement subsequent to the last day of the Performance Period but prior to the Service Vesting Date, the Performance Units, if any, shall continue to accrue Dividend Equivalent Rights and the Performance Units and Dividend Equivalent Rights shall vest on the Service Vesting Date.</w:t>
      </w:r>
    </w:p>
    <w:p>
      <w:pPr>
        <w:spacing w:after="0" w:line="66" w:lineRule="exact"/>
        <w:rPr>
          <w:rFonts w:ascii="Arial" w:cs="Arial" w:eastAsia="Arial" w:hAnsi="Arial"/>
          <w:sz w:val="21"/>
          <w:szCs w:val="21"/>
          <w:color w:val="auto"/>
        </w:rPr>
      </w:pPr>
    </w:p>
    <w:p>
      <w:pPr>
        <w:jc w:val="both"/>
        <w:ind w:left="1300"/>
        <w:spacing w:after="0" w:line="211" w:lineRule="auto"/>
        <w:rPr>
          <w:rFonts w:ascii="Arial" w:cs="Arial" w:eastAsia="Arial" w:hAnsi="Arial"/>
          <w:sz w:val="21"/>
          <w:szCs w:val="21"/>
          <w:color w:val="auto"/>
        </w:rPr>
      </w:pPr>
      <w:r>
        <w:rPr>
          <w:rFonts w:ascii="Arial" w:cs="Arial" w:eastAsia="Arial" w:hAnsi="Arial"/>
          <w:sz w:val="22"/>
          <w:szCs w:val="22"/>
          <w:color w:val="auto"/>
        </w:rPr>
        <w:t>A Grantee who has not received a year-end individual performance rating and (i) is on final written warning (or equivalent as determined by the Committee) for unsatisfactory performance and elects to retire in lieu of a termination of employment; or (ii) elects to retire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pacing w:after="0" w:line="69" w:lineRule="exact"/>
        <w:rPr>
          <w:rFonts w:ascii="Arial" w:cs="Arial" w:eastAsia="Arial" w:hAnsi="Arial"/>
          <w:sz w:val="21"/>
          <w:szCs w:val="21"/>
          <w:color w:val="auto"/>
        </w:rPr>
      </w:pPr>
    </w:p>
    <w:p>
      <w:pPr>
        <w:jc w:val="both"/>
        <w:ind w:left="1300" w:hanging="644"/>
        <w:spacing w:after="0" w:line="210" w:lineRule="auto"/>
        <w:tabs>
          <w:tab w:leader="none" w:pos="1291"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Company may, in its sole discretion, cancel this Performance Award or reduce the number of Performance Units, prorated according to time or other measure as determined appropriate by the Company, if during any period prior to the Service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5" w:lineRule="exact"/>
        <w:rPr>
          <w:rFonts w:ascii="Arial" w:cs="Arial" w:eastAsia="Arial" w:hAnsi="Arial"/>
          <w:sz w:val="22"/>
          <w:szCs w:val="22"/>
          <w:color w:val="auto"/>
        </w:rPr>
      </w:pPr>
    </w:p>
    <w:p>
      <w:pPr>
        <w:jc w:val="both"/>
        <w:ind w:left="1300" w:hanging="644"/>
        <w:spacing w:after="0" w:line="210" w:lineRule="auto"/>
        <w:tabs>
          <w:tab w:leader="none" w:pos="1299"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Final Written Warning</w:t>
      </w:r>
      <w:r>
        <w:rPr>
          <w:rFonts w:ascii="Arial" w:cs="Arial" w:eastAsia="Arial" w:hAnsi="Arial"/>
          <w:sz w:val="22"/>
          <w:szCs w:val="22"/>
          <w:color w:val="auto"/>
        </w:rPr>
        <w:t>. If the Grantee is placed on final written warning (or its equivalent as determined by the Committee) at any time subsequent to the last day of the Performance Period but prior to the Service Vesting Date, the Grantee shall forfeit the Performance Units and Dividend Equivalent Rights scheduled to vest on the Service Vesting Date to the extent the Award is the next subsequent Award (when compared to other Awards held by the Grantee) that is scheduled to vest following the date that the Grantee is placed on final written warning (it being understood that all other Awards, if any, that are scheduled to vest on the Service Vesting Date shall also be forfeited).</w:t>
      </w:r>
    </w:p>
    <w:p>
      <w:pPr>
        <w:spacing w:after="0" w:line="71" w:lineRule="exact"/>
        <w:rPr>
          <w:sz w:val="20"/>
          <w:szCs w:val="20"/>
          <w:color w:val="auto"/>
        </w:rPr>
      </w:pPr>
    </w:p>
    <w:p>
      <w:pPr>
        <w:jc w:val="both"/>
        <w:ind w:left="420"/>
        <w:spacing w:after="0" w:line="211" w:lineRule="auto"/>
        <w:rPr>
          <w:sz w:val="20"/>
          <w:szCs w:val="20"/>
          <w:color w:val="auto"/>
        </w:rPr>
      </w:pPr>
      <w:r>
        <w:rPr>
          <w:rFonts w:ascii="Arial" w:cs="Arial" w:eastAsia="Arial" w:hAnsi="Arial"/>
          <w:sz w:val="22"/>
          <w:szCs w:val="22"/>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20" w:right="3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4.</w:t>
        <w:tab/>
        <w:t>Change in Control</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85" w:lineRule="exact"/>
        <w:rPr>
          <w:sz w:val="20"/>
          <w:szCs w:val="20"/>
          <w:color w:val="auto"/>
        </w:rPr>
      </w:pPr>
    </w:p>
    <w:p>
      <w:pPr>
        <w:jc w:val="both"/>
        <w:ind w:left="1300" w:hanging="644"/>
        <w:spacing w:after="0" w:line="218" w:lineRule="auto"/>
        <w:tabs>
          <w:tab w:leader="none" w:pos="129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66"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last day of the Performance Period, the Grantee will be credited with an award of Restricted Stock Units equal to the number of Performance Units,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65" w:lineRule="exact"/>
        <w:rPr>
          <w:rFonts w:ascii="Arial" w:cs="Arial" w:eastAsia="Arial" w:hAnsi="Arial"/>
          <w:sz w:val="22"/>
          <w:szCs w:val="22"/>
          <w:color w:val="auto"/>
        </w:rPr>
      </w:pPr>
    </w:p>
    <w:p>
      <w:pPr>
        <w:jc w:val="both"/>
        <w:ind w:left="1960" w:hanging="332"/>
        <w:spacing w:after="0" w:line="215" w:lineRule="auto"/>
        <w:tabs>
          <w:tab w:leader="none" w:pos="196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6" w:lineRule="exact"/>
        <w:rPr>
          <w:sz w:val="20"/>
          <w:szCs w:val="20"/>
          <w:color w:val="auto"/>
        </w:rPr>
      </w:pPr>
    </w:p>
    <w:p>
      <w:pPr>
        <w:jc w:val="both"/>
        <w:ind w:left="1960" w:hanging="161"/>
        <w:spacing w:after="0" w:line="213" w:lineRule="auto"/>
        <w:rPr>
          <w:sz w:val="20"/>
          <w:szCs w:val="20"/>
          <w:color w:val="auto"/>
        </w:rPr>
      </w:pPr>
      <w:r>
        <w:rPr>
          <w:rFonts w:ascii="Arial" w:cs="Arial" w:eastAsia="Arial" w:hAnsi="Arial"/>
          <w:sz w:val="22"/>
          <w:szCs w:val="22"/>
          <w:color w:val="auto"/>
        </w:rPr>
        <w:t>ii.In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65"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5" w:lineRule="exact"/>
        <w:rPr>
          <w:sz w:val="20"/>
          <w:szCs w:val="20"/>
          <w:color w:val="auto"/>
        </w:rPr>
      </w:pPr>
    </w:p>
    <w:p>
      <w:pPr>
        <w:ind w:left="1300" w:hanging="644"/>
        <w:spacing w:after="0" w:line="225" w:lineRule="auto"/>
        <w:tabs>
          <w:tab w:leader="none" w:pos="129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following shall apply in the event of a Transaction that occurs subsequent to the last day of the Performance Period but prior to the Service Vesting Date:</w:t>
      </w:r>
    </w:p>
    <w:p>
      <w:pPr>
        <w:spacing w:after="0" w:line="65" w:lineRule="exact"/>
        <w:rPr>
          <w:rFonts w:ascii="Arial" w:cs="Arial" w:eastAsia="Arial" w:hAnsi="Arial"/>
          <w:sz w:val="22"/>
          <w:szCs w:val="22"/>
          <w:color w:val="auto"/>
        </w:rPr>
      </w:pPr>
    </w:p>
    <w:p>
      <w:pPr>
        <w:jc w:val="both"/>
        <w:ind w:left="1960" w:hanging="332"/>
        <w:spacing w:after="0" w:line="215" w:lineRule="auto"/>
        <w:tabs>
          <w:tab w:leader="none" w:pos="196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In the event that the Performance Units are not converted, assumed, substituted, continued or replaced by a successor or surviving corporation, or a parent or subsidiary thereof, in connection with a Transaction, then immediately prior to the Transaction, the Performance Units shall vest automatically in full.</w:t>
      </w:r>
    </w:p>
    <w:p>
      <w:pPr>
        <w:spacing w:after="0" w:line="66" w:lineRule="exact"/>
        <w:rPr>
          <w:sz w:val="20"/>
          <w:szCs w:val="20"/>
          <w:color w:val="auto"/>
        </w:rPr>
      </w:pPr>
    </w:p>
    <w:p>
      <w:pPr>
        <w:jc w:val="both"/>
        <w:ind w:left="1960" w:hanging="161"/>
        <w:spacing w:after="0" w:line="213" w:lineRule="auto"/>
        <w:rPr>
          <w:sz w:val="20"/>
          <w:szCs w:val="20"/>
          <w:color w:val="auto"/>
        </w:rPr>
      </w:pPr>
      <w:r>
        <w:rPr>
          <w:rFonts w:ascii="Arial" w:cs="Arial" w:eastAsia="Arial" w:hAnsi="Arial"/>
          <w:sz w:val="22"/>
          <w:szCs w:val="22"/>
          <w:color w:val="auto"/>
        </w:rPr>
        <w:t>ii.In the event that the Performance Units are converted, assumed, substituted, continued or replaced by a successor or surviving corporation, or a parent or subsidiary thereof, in connection with the Transaction and the Grantee is subject to a Covered Termination prior to the Service Vesting Date, then immediately as of the date of the Covered Termination, the Performance Units shall vest automatically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120" w:right="3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5.</w:t>
        <w:tab/>
        <w:t>Settlement</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Except as provided below, a vested Award shall be paid to the Grantee as soon as practicable, but in no event later than sixty (60) days following the Service Vesting Date, including if the Award vests pursuant to Sections 3(b) or 3(c).</w:t>
      </w:r>
    </w:p>
    <w:p>
      <w:pPr>
        <w:spacing w:after="0" w:line="66" w:lineRule="exact"/>
        <w:rPr>
          <w:rFonts w:ascii="Arial" w:cs="Arial" w:eastAsia="Arial" w:hAnsi="Arial"/>
          <w:sz w:val="22"/>
          <w:szCs w:val="22"/>
          <w:color w:val="auto"/>
        </w:rPr>
      </w:pPr>
    </w:p>
    <w:p>
      <w:pPr>
        <w:jc w:val="both"/>
        <w:ind w:left="1300" w:hanging="644"/>
        <w:spacing w:after="0" w:line="209" w:lineRule="auto"/>
        <w:tabs>
          <w:tab w:leader="none" w:pos="12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the Award vests pursuant to Section 3(b)(ii) or (iii) subsequent to the last day of the Performance Period, the Award shall be paid to the Grantee no later than sixty (60) days following the date of the Grantee’s termination of Service under Section 3(b)(ii) or (iii), provided that if the Award is considered an item of nonqualified deferred compensation subject to Section 409A of the Code (“NQ Deferred Compensation”), the Award shall be paid within sixty (60) days following the date the Grantee experiences a “separation from service” within the meaning of Section 409A of the Code (a “409A Separation”), provided that if the Grantee is a “specified employee” within the meaning of Section 409A of the Code as of the payment date, the Award shall instead be paid on the earliest of (i) the first day following the six (6) month anniversary of the Grantee’s Section 409A Separation and (ii) the date of the Grantee’s death, as applicable.</w:t>
      </w:r>
    </w:p>
    <w:p>
      <w:pPr>
        <w:spacing w:after="0" w:line="65" w:lineRule="exact"/>
        <w:rPr>
          <w:rFonts w:ascii="Arial" w:cs="Arial" w:eastAsia="Arial" w:hAnsi="Arial"/>
          <w:sz w:val="22"/>
          <w:szCs w:val="22"/>
          <w:color w:val="auto"/>
        </w:rPr>
      </w:pPr>
    </w:p>
    <w:p>
      <w:pPr>
        <w:jc w:val="both"/>
        <w:ind w:left="1300" w:hanging="644"/>
        <w:spacing w:after="0" w:line="211" w:lineRule="auto"/>
        <w:tabs>
          <w:tab w:leader="none" w:pos="129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the Award vests pursuant to Section 4(b)(i) or Section 4(c)(i), the Award shall be paid to the Grantee immediately prior to the Transaction, provided that if the Award is considered NQ Deferred Compensation and the Transaction does not constitute a “change in control event” under Section 409A of the Code (a “409A CIC”), then the Award shall be paid in cash (calculated based on the value of the Shares established for the consideration to be paid to holders of Shares in the Transaction) on the Service Vesting Date.</w:t>
      </w:r>
    </w:p>
    <w:p>
      <w:pPr>
        <w:spacing w:after="0" w:line="69"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the Award vests pursuant to Section 4(b)(ii) or Section 4(c)(ii),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409A Separation, and (ii) 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5" w:lineRule="exact"/>
        <w:rPr>
          <w:rFonts w:ascii="Arial" w:cs="Arial" w:eastAsia="Arial" w:hAnsi="Arial"/>
          <w:sz w:val="22"/>
          <w:szCs w:val="22"/>
          <w:color w:val="auto"/>
        </w:rPr>
      </w:pPr>
    </w:p>
    <w:p>
      <w:pPr>
        <w:jc w:val="both"/>
        <w:ind w:left="1300" w:hanging="644"/>
        <w:spacing w:after="0" w:line="229" w:lineRule="auto"/>
        <w:tabs>
          <w:tab w:leader="none" w:pos="129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5(f) below, to the Grantee. In the event the Grantee is entitled to a fractional Share, the fraction may be paid in cash or rounded, in the Committee’s discretion.</w:t>
      </w:r>
    </w:p>
    <w:p>
      <w:pPr>
        <w:spacing w:after="0" w:line="64" w:lineRule="exact"/>
        <w:rPr>
          <w:rFonts w:ascii="Arial" w:cs="Arial" w:eastAsia="Arial" w:hAnsi="Arial"/>
          <w:sz w:val="21"/>
          <w:szCs w:val="21"/>
          <w:color w:val="auto"/>
        </w:rPr>
      </w:pPr>
    </w:p>
    <w:p>
      <w:pPr>
        <w:jc w:val="both"/>
        <w:ind w:left="1300" w:hanging="644"/>
        <w:spacing w:after="0" w:line="223" w:lineRule="auto"/>
        <w:tabs>
          <w:tab w:leader="none" w:pos="129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At any time prior to the Service Vesting Date or until the Performance Units are paid in accordance with this Section 5, the Committee may, if it so elects, determine to pay part or all of the Performance Units in cash in lieu of issuing or transferring Shares. The amount of cash shall be calculated based on the Fair Market Value of the Shares on the last day of the Restriction Period in the case of payment pursuant to Section 5(a) and on the date of payment in the case of a payment pursuant to Section 5(d).</w:t>
      </w:r>
    </w:p>
    <w:p>
      <w:pPr>
        <w:spacing w:after="0" w:line="66" w:lineRule="exact"/>
        <w:rPr>
          <w:rFonts w:ascii="Arial" w:cs="Arial" w:eastAsia="Arial" w:hAnsi="Arial"/>
          <w:sz w:val="21"/>
          <w:szCs w:val="21"/>
          <w:color w:val="auto"/>
        </w:rPr>
      </w:pPr>
    </w:p>
    <w:p>
      <w:pPr>
        <w:ind w:left="1300" w:hanging="644"/>
        <w:spacing w:after="0"/>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Dividend Equivalent Rights, if any, that accrue hereunder shall be settled in cash.</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120" w:right="3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6.</w:t>
        <w:tab/>
        <w:t>Rights of the Grantee</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Performance Award does not entitle the Grantee to any rights of a shareholder of Lilly until such time as the Performance Award is settled and Shares are issued or transferred to the Grantee.</w:t>
      </w:r>
    </w:p>
    <w:p>
      <w:pPr>
        <w:spacing w:after="0" w:line="66" w:lineRule="exact"/>
        <w:rPr>
          <w:rFonts w:ascii="Arial" w:cs="Arial" w:eastAsia="Arial" w:hAnsi="Arial"/>
          <w:sz w:val="22"/>
          <w:szCs w:val="22"/>
          <w:color w:val="auto"/>
        </w:rPr>
      </w:pPr>
    </w:p>
    <w:p>
      <w:pPr>
        <w:jc w:val="both"/>
        <w:ind w:left="1300" w:hanging="644"/>
        <w:spacing w:after="0" w:line="209" w:lineRule="auto"/>
        <w:tabs>
          <w:tab w:leader="none" w:pos="1291"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On each date that the Company pays a cash dividend to holders of Shares during the period commencing on the date the number of Performance Units are determined continuing through the date the Performance Units are settled, the Grantee shall be credited with Dividend Equivalent Rights in an amount equal to the total number of Performance Units, multiplied by the dollar amount of the cash dividend paid per Share by the Company on such date. Dividend Equivalent Rights shall accrue in an account denominated in U.S. dollars and shall not accrue interest or other credits prior to being paid. The Dividend Equivalent Rights shall be subject to the same vesting conditions and restrictions as the Performance Units to which the Dividend Equivalent Rights relate, and the Dividend Equivalent Rights shall be forfeited in the event that the Performance Units with respect to which such Dividend Equivalent Rights were credited are forfeited.</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7.</w:t>
        <w:tab/>
        <w:t>Prohibition Against Transfer</w:t>
      </w:r>
    </w:p>
    <w:p>
      <w:pPr>
        <w:spacing w:after="0" w:line="76"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8.</w:t>
        <w:tab/>
        <w:t>Responsibility for Taxes</w:t>
      </w:r>
    </w:p>
    <w:p>
      <w:pPr>
        <w:spacing w:after="0" w:line="76" w:lineRule="exact"/>
        <w:rPr>
          <w:sz w:val="20"/>
          <w:szCs w:val="20"/>
          <w:color w:val="auto"/>
        </w:rPr>
      </w:pPr>
    </w:p>
    <w:p>
      <w:pPr>
        <w:jc w:val="both"/>
        <w:ind w:left="1300" w:hanging="644"/>
        <w:spacing w:after="0" w:line="214" w:lineRule="auto"/>
        <w:tabs>
          <w:tab w:leader="none" w:pos="1291" w:val="left"/>
        </w:tabs>
        <w:numPr>
          <w:ilvl w:val="0"/>
          <w:numId w:val="117"/>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4" w:lineRule="exact"/>
        <w:rPr>
          <w:rFonts w:ascii="Arial" w:cs="Arial" w:eastAsia="Arial" w:hAnsi="Arial"/>
          <w:sz w:val="21"/>
          <w:szCs w:val="21"/>
          <w:color w:val="auto"/>
        </w:rPr>
      </w:pPr>
    </w:p>
    <w:p>
      <w:pPr>
        <w:jc w:val="both"/>
        <w:ind w:left="1300" w:firstLine="4"/>
        <w:spacing w:after="0" w:line="209" w:lineRule="auto"/>
        <w:tabs>
          <w:tab w:leader="none" w:pos="1608" w:val="left"/>
        </w:tabs>
        <w:numPr>
          <w:ilvl w:val="1"/>
          <w:numId w:val="117"/>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 Related Items in connection with any aspect of the Award, including the grant of the Performance Award, the vesting of the Performance Award, the transfer and issuance of any Shares, the receipt of any cash payment pursuant to the Award, the accrual and payment of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20" w:right="3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employer, as applicable) may be required to withhold or account for Tax Related Items in more than one jurisdiction.</w:t>
      </w:r>
    </w:p>
    <w:p>
      <w:pPr>
        <w:spacing w:after="0" w:line="66" w:lineRule="exact"/>
        <w:rPr>
          <w:sz w:val="20"/>
          <w:szCs w:val="20"/>
          <w:color w:val="auto"/>
        </w:rPr>
      </w:pPr>
    </w:p>
    <w:p>
      <w:pPr>
        <w:ind w:left="1300" w:right="20" w:hanging="644"/>
        <w:spacing w:after="0" w:line="225" w:lineRule="auto"/>
        <w:tabs>
          <w:tab w:leader="none" w:pos="129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rFonts w:ascii="Arial" w:cs="Arial" w:eastAsia="Arial" w:hAnsi="Arial"/>
          <w:sz w:val="22"/>
          <w:szCs w:val="22"/>
          <w:color w:val="auto"/>
        </w:rPr>
      </w:pPr>
    </w:p>
    <w:p>
      <w:pPr>
        <w:jc w:val="both"/>
        <w:ind w:left="1960" w:hanging="332"/>
        <w:spacing w:after="0" w:line="214" w:lineRule="auto"/>
        <w:tabs>
          <w:tab w:leader="none" w:pos="1954" w:val="left"/>
        </w:tabs>
        <w:numPr>
          <w:ilvl w:val="1"/>
          <w:numId w:val="118"/>
        </w:numPr>
        <w:rPr>
          <w:rFonts w:ascii="Arial" w:cs="Arial" w:eastAsia="Arial" w:hAnsi="Arial"/>
          <w:sz w:val="21"/>
          <w:szCs w:val="21"/>
          <w:color w:val="auto"/>
        </w:rPr>
      </w:pPr>
      <w:r>
        <w:rPr>
          <w:rFonts w:ascii="Arial" w:cs="Arial" w:eastAsia="Arial" w:hAnsi="Arial"/>
          <w:sz w:val="21"/>
          <w:szCs w:val="21"/>
          <w:color w:val="auto"/>
        </w:rPr>
        <w:t>If the Performance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w:t>
      </w:r>
    </w:p>
    <w:p>
      <w:pPr>
        <w:spacing w:after="0" w:line="2" w:lineRule="exact"/>
        <w:rPr>
          <w:rFonts w:ascii="Arial" w:cs="Arial" w:eastAsia="Arial" w:hAnsi="Arial"/>
          <w:sz w:val="21"/>
          <w:szCs w:val="21"/>
          <w:color w:val="auto"/>
        </w:rPr>
      </w:pPr>
    </w:p>
    <w:p>
      <w:pPr>
        <w:jc w:val="both"/>
        <w:ind w:left="1960"/>
        <w:spacing w:after="0" w:line="210" w:lineRule="auto"/>
        <w:rPr>
          <w:rFonts w:ascii="Arial" w:cs="Arial" w:eastAsia="Arial" w:hAnsi="Arial"/>
          <w:sz w:val="21"/>
          <w:szCs w:val="21"/>
          <w:color w:val="auto"/>
        </w:rPr>
      </w:pPr>
      <w:r>
        <w:rPr>
          <w:rFonts w:ascii="Arial" w:cs="Arial" w:eastAsia="Arial" w:hAnsi="Arial"/>
          <w:sz w:val="22"/>
          <w:szCs w:val="22"/>
          <w:color w:val="auto"/>
        </w:rPr>
        <w:t>(B)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0" w:lineRule="exact"/>
        <w:rPr>
          <w:rFonts w:ascii="Arial" w:cs="Arial" w:eastAsia="Arial" w:hAnsi="Arial"/>
          <w:sz w:val="21"/>
          <w:szCs w:val="21"/>
          <w:color w:val="auto"/>
        </w:rPr>
      </w:pPr>
    </w:p>
    <w:p>
      <w:pPr>
        <w:jc w:val="both"/>
        <w:ind w:left="1960" w:hanging="332"/>
        <w:spacing w:after="0" w:line="211" w:lineRule="auto"/>
        <w:tabs>
          <w:tab w:leader="none" w:pos="194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If the Performance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9" w:lineRule="exact"/>
        <w:rPr>
          <w:rFonts w:ascii="Arial" w:cs="Arial" w:eastAsia="Arial" w:hAnsi="Arial"/>
          <w:sz w:val="22"/>
          <w:szCs w:val="22"/>
          <w:color w:val="auto"/>
        </w:rPr>
      </w:pPr>
    </w:p>
    <w:p>
      <w:pPr>
        <w:jc w:val="both"/>
        <w:ind w:left="1300" w:hanging="644"/>
        <w:spacing w:after="0" w:line="210" w:lineRule="auto"/>
        <w:tabs>
          <w:tab w:leader="none" w:pos="129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5"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20" w:right="3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9.</w:t>
        <w:tab/>
        <w:t>Section 409A Compliance</w:t>
      </w:r>
    </w:p>
    <w:p>
      <w:pPr>
        <w:spacing w:after="0" w:line="22"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10. Grantee’s Acknowledgments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71" w:lineRule="exact"/>
        <w:rPr>
          <w:sz w:val="20"/>
          <w:szCs w:val="20"/>
          <w:color w:val="auto"/>
        </w:rPr>
      </w:pPr>
    </w:p>
    <w:p>
      <w:pPr>
        <w:ind w:left="1300" w:hanging="644"/>
        <w:spacing w:after="0" w:line="225" w:lineRule="auto"/>
        <w:tabs>
          <w:tab w:leader="none" w:pos="129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300" w:hanging="644"/>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5" w:lineRule="exact"/>
        <w:rPr>
          <w:rFonts w:ascii="Arial" w:cs="Arial" w:eastAsia="Arial" w:hAnsi="Arial"/>
          <w:sz w:val="22"/>
          <w:szCs w:val="22"/>
          <w:color w:val="auto"/>
        </w:rPr>
      </w:pPr>
    </w:p>
    <w:p>
      <w:pPr>
        <w:jc w:val="both"/>
        <w:ind w:left="1300" w:hanging="644"/>
        <w:spacing w:after="0" w:line="225" w:lineRule="auto"/>
        <w:tabs>
          <w:tab w:leader="none" w:pos="1291"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6" w:lineRule="exact"/>
        <w:rPr>
          <w:rFonts w:ascii="Arial" w:cs="Arial" w:eastAsia="Arial" w:hAnsi="Arial"/>
          <w:sz w:val="21"/>
          <w:szCs w:val="21"/>
          <w:color w:val="auto"/>
        </w:rPr>
      </w:pPr>
    </w:p>
    <w:p>
      <w:pPr>
        <w:ind w:left="1300" w:hanging="644"/>
        <w:spacing w:after="0" w:line="225" w:lineRule="auto"/>
        <w:tabs>
          <w:tab w:leader="none" w:pos="129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5" w:lineRule="exact"/>
        <w:rPr>
          <w:rFonts w:ascii="Arial" w:cs="Arial" w:eastAsia="Arial" w:hAnsi="Arial"/>
          <w:sz w:val="22"/>
          <w:szCs w:val="22"/>
          <w:color w:val="auto"/>
        </w:rPr>
      </w:pPr>
    </w:p>
    <w:p>
      <w:pPr>
        <w:jc w:val="both"/>
        <w:ind w:left="1300" w:hanging="644"/>
        <w:spacing w:after="0" w:line="210" w:lineRule="auto"/>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and any Dividend Equivalent Rights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120" w:right="3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1" w:lineRule="exact"/>
        <w:rPr>
          <w:sz w:val="20"/>
          <w:szCs w:val="20"/>
          <w:color w:val="auto"/>
        </w:rPr>
      </w:pPr>
    </w:p>
    <w:p>
      <w:pPr>
        <w:jc w:val="both"/>
        <w:ind w:left="1300" w:hanging="644"/>
        <w:spacing w:after="0" w:line="215" w:lineRule="auto"/>
        <w:tabs>
          <w:tab w:leader="none" w:pos="129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5" w:lineRule="exact"/>
        <w:rPr>
          <w:rFonts w:ascii="Arial" w:cs="Arial" w:eastAsia="Arial" w:hAnsi="Arial"/>
          <w:sz w:val="22"/>
          <w:szCs w:val="22"/>
          <w:color w:val="auto"/>
        </w:rPr>
      </w:pPr>
    </w:p>
    <w:p>
      <w:pPr>
        <w:ind w:left="1300" w:hanging="644"/>
        <w:spacing w:after="0" w:line="225" w:lineRule="auto"/>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of Lilly Stock that may be issued pursuant to this Award.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11. Data Privacy</w:t>
      </w:r>
    </w:p>
    <w:p>
      <w:pPr>
        <w:spacing w:after="0" w:line="54" w:lineRule="exact"/>
        <w:rPr>
          <w:sz w:val="20"/>
          <w:szCs w:val="20"/>
          <w:color w:val="auto"/>
        </w:rPr>
      </w:pPr>
    </w:p>
    <w:p>
      <w:pPr>
        <w:jc w:val="both"/>
        <w:ind w:left="1300" w:hanging="644"/>
        <w:spacing w:after="0" w:line="220" w:lineRule="auto"/>
        <w:tabs>
          <w:tab w:leader="none" w:pos="1291" w:val="left"/>
        </w:tabs>
        <w:numPr>
          <w:ilvl w:val="0"/>
          <w:numId w:val="121"/>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Data Collection and Usage</w:t>
      </w:r>
      <w:r>
        <w:rPr>
          <w:rFonts w:ascii="Arial" w:cs="Arial" w:eastAsia="Arial" w:hAnsi="Arial"/>
          <w:sz w:val="21"/>
          <w:szCs w:val="21"/>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9" w:lineRule="exact"/>
        <w:rPr>
          <w:rFonts w:ascii="Arial" w:cs="Arial" w:eastAsia="Arial" w:hAnsi="Arial"/>
          <w:sz w:val="21"/>
          <w:szCs w:val="21"/>
          <w:i w:val="1"/>
          <w:iCs w:val="1"/>
          <w:color w:val="auto"/>
        </w:rPr>
      </w:pPr>
    </w:p>
    <w:p>
      <w:pPr>
        <w:jc w:val="both"/>
        <w:ind w:left="1300" w:hanging="644"/>
        <w:spacing w:after="0" w:line="211" w:lineRule="auto"/>
        <w:tabs>
          <w:tab w:leader="none" w:pos="1291" w:val="left"/>
        </w:tabs>
        <w:numPr>
          <w:ilvl w:val="0"/>
          <w:numId w:val="121"/>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rFonts w:ascii="Arial" w:cs="Arial" w:eastAsia="Arial" w:hAnsi="Arial"/>
          <w:sz w:val="22"/>
          <w:szCs w:val="22"/>
          <w:i w:val="1"/>
          <w:iCs w:val="1"/>
          <w:color w:val="auto"/>
        </w:rPr>
      </w:pPr>
    </w:p>
    <w:p>
      <w:pPr>
        <w:jc w:val="both"/>
        <w:ind w:left="1300" w:right="20" w:hanging="644"/>
        <w:spacing w:after="0" w:line="225" w:lineRule="auto"/>
        <w:tabs>
          <w:tab w:leader="none" w:pos="1292" w:val="left"/>
        </w:tabs>
        <w:numPr>
          <w:ilvl w:val="0"/>
          <w:numId w:val="121"/>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International Data Transfers</w:t>
      </w:r>
      <w:r>
        <w:rPr>
          <w:rFonts w:ascii="Arial" w:cs="Arial" w:eastAsia="Arial" w:hAnsi="Arial"/>
          <w:sz w:val="22"/>
          <w:szCs w:val="22"/>
          <w:i w:val="1"/>
          <w:iCs w:val="1"/>
          <w:color w:val="auto"/>
        </w:rPr>
        <w:t>. The Company and its service providers are based in the United States. The Grantee’s country or jurisdiction may have different data privacy laws and protections than the United States.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20"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Company’s legal basis, where required, for the transfer of Data is Grantee’s consent.</w:t>
      </w:r>
    </w:p>
    <w:p>
      <w:pPr>
        <w:spacing w:after="0" w:line="71" w:lineRule="exact"/>
        <w:rPr>
          <w:sz w:val="20"/>
          <w:szCs w:val="20"/>
          <w:color w:val="auto"/>
        </w:rPr>
      </w:pPr>
    </w:p>
    <w:p>
      <w:pPr>
        <w:jc w:val="both"/>
        <w:ind w:left="1300" w:hanging="644"/>
        <w:spacing w:after="0" w:line="225" w:lineRule="auto"/>
        <w:tabs>
          <w:tab w:leader="none" w:pos="1291" w:val="left"/>
        </w:tabs>
        <w:numPr>
          <w:ilvl w:val="0"/>
          <w:numId w:val="12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4"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12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jc w:val="both"/>
        <w:ind w:left="1300" w:hanging="644"/>
        <w:spacing w:after="0" w:line="208" w:lineRule="auto"/>
        <w:tabs>
          <w:tab w:leader="none" w:pos="1299" w:val="left"/>
        </w:tabs>
        <w:numPr>
          <w:ilvl w:val="0"/>
          <w:numId w:val="12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12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12. Restrictive Covenants, Remedies, and Additional Terms and Conditions</w:t>
      </w:r>
    </w:p>
    <w:p>
      <w:pPr>
        <w:spacing w:after="0" w:line="22" w:lineRule="exact"/>
        <w:rPr>
          <w:sz w:val="20"/>
          <w:szCs w:val="20"/>
          <w:color w:val="auto"/>
        </w:rPr>
      </w:pPr>
    </w:p>
    <w:p>
      <w:pPr>
        <w:jc w:val="both"/>
        <w:ind w:left="1300" w:hanging="644"/>
        <w:spacing w:after="0" w:line="215" w:lineRule="auto"/>
        <w:tabs>
          <w:tab w:leader="none" w:pos="1291"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20"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right="20"/>
        <w:spacing w:after="0" w:line="225" w:lineRule="auto"/>
        <w:rPr>
          <w:sz w:val="20"/>
          <w:szCs w:val="20"/>
          <w:color w:val="auto"/>
        </w:rPr>
      </w:pPr>
      <w:r>
        <w:rPr>
          <w:rFonts w:ascii="Arial" w:cs="Arial" w:eastAsia="Arial" w:hAnsi="Arial"/>
          <w:sz w:val="22"/>
          <w:szCs w:val="22"/>
          <w:color w:val="auto"/>
        </w:rPr>
        <w:t>(regardless of reason), the Grantee will not directly or indirectly, on a worldwide basis, engage in any of the following activities:</w:t>
      </w:r>
    </w:p>
    <w:p>
      <w:pPr>
        <w:spacing w:after="0" w:line="66" w:lineRule="exact"/>
        <w:rPr>
          <w:sz w:val="20"/>
          <w:szCs w:val="20"/>
          <w:color w:val="auto"/>
        </w:rPr>
      </w:pPr>
    </w:p>
    <w:p>
      <w:pPr>
        <w:jc w:val="both"/>
        <w:ind w:left="1960" w:hanging="332"/>
        <w:spacing w:after="0" w:line="211" w:lineRule="auto"/>
        <w:tabs>
          <w:tab w:leader="none" w:pos="19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69" w:lineRule="exact"/>
        <w:rPr>
          <w:rFonts w:ascii="Arial" w:cs="Arial" w:eastAsia="Arial" w:hAnsi="Arial"/>
          <w:sz w:val="22"/>
          <w:szCs w:val="22"/>
          <w:color w:val="auto"/>
        </w:rPr>
      </w:pPr>
    </w:p>
    <w:p>
      <w:pPr>
        <w:jc w:val="both"/>
        <w:ind w:left="1960" w:hanging="332"/>
        <w:spacing w:after="0" w:line="220" w:lineRule="auto"/>
        <w:tabs>
          <w:tab w:leader="none" w:pos="1954" w:val="left"/>
        </w:tabs>
        <w:numPr>
          <w:ilvl w:val="0"/>
          <w:numId w:val="124"/>
        </w:numPr>
        <w:rPr>
          <w:rFonts w:ascii="Arial" w:cs="Arial" w:eastAsia="Arial" w:hAnsi="Arial"/>
          <w:sz w:val="21"/>
          <w:szCs w:val="21"/>
          <w:color w:val="auto"/>
        </w:rPr>
      </w:pPr>
      <w:r>
        <w:rPr>
          <w:rFonts w:ascii="Arial" w:cs="Arial" w:eastAsia="Arial" w:hAnsi="Arial"/>
          <w:sz w:val="21"/>
          <w:szCs w:val="21"/>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70"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66" w:lineRule="exact"/>
        <w:rPr>
          <w:sz w:val="20"/>
          <w:szCs w:val="20"/>
          <w:color w:val="auto"/>
        </w:rPr>
      </w:pPr>
    </w:p>
    <w:p>
      <w:pPr>
        <w:jc w:val="both"/>
        <w:ind w:left="1300"/>
        <w:spacing w:after="0" w:line="207"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75"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 (b) such scope is the only way for Lilly and its Affiliates to protect their trade secrets and confidential information. In the event the Grantee violates any of the restrictive covenants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20" w:right="3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herein, their duration will automatically be extended by the length of time during which the Grantee was in violation of any of the restrictive covenants.</w:t>
      </w:r>
    </w:p>
    <w:p>
      <w:pPr>
        <w:spacing w:after="0" w:line="66" w:lineRule="exact"/>
        <w:rPr>
          <w:sz w:val="20"/>
          <w:szCs w:val="20"/>
          <w:color w:val="auto"/>
        </w:rPr>
      </w:pPr>
    </w:p>
    <w:p>
      <w:pPr>
        <w:jc w:val="both"/>
        <w:ind w:left="1300"/>
        <w:spacing w:after="0" w:line="207"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77"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65"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each of which remains in full force and effect, or that the Grantee agrees to in the future.</w:t>
      </w:r>
    </w:p>
    <w:p>
      <w:pPr>
        <w:spacing w:after="0" w:line="70"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70" w:lineRule="exact"/>
        <w:rPr>
          <w:sz w:val="20"/>
          <w:szCs w:val="20"/>
          <w:color w:val="auto"/>
        </w:rPr>
      </w:pPr>
    </w:p>
    <w:p>
      <w:pPr>
        <w:jc w:val="both"/>
        <w:ind w:left="1300" w:hanging="644"/>
        <w:spacing w:after="0" w:line="213" w:lineRule="auto"/>
        <w:tabs>
          <w:tab w:leader="none" w:pos="1291"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20"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payment under the Award; and (iii) the foregoing remedies set forth in this Section 12 shall not be Lilly’s exclusive remedies. Lilly reserves all other rights and remedies available to it at law or in equity.</w:t>
      </w:r>
    </w:p>
    <w:p>
      <w:pPr>
        <w:spacing w:after="0" w:line="66"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In addition,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13. Governing Law and Choice of Venue</w:t>
      </w:r>
    </w:p>
    <w:p>
      <w:pPr>
        <w:spacing w:after="0" w:line="22" w:lineRule="exact"/>
        <w:rPr>
          <w:sz w:val="20"/>
          <w:szCs w:val="20"/>
          <w:color w:val="auto"/>
        </w:rPr>
      </w:pPr>
    </w:p>
    <w:p>
      <w:pPr>
        <w:jc w:val="both"/>
        <w:ind w:left="42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14. Miscellaneous Provisions</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71" w:lineRule="exact"/>
        <w:rPr>
          <w:rFonts w:ascii="Arial" w:cs="Arial" w:eastAsia="Arial" w:hAnsi="Arial"/>
          <w:sz w:val="21"/>
          <w:szCs w:val="21"/>
          <w:color w:val="auto"/>
        </w:rPr>
      </w:pPr>
    </w:p>
    <w:p>
      <w:pPr>
        <w:jc w:val="both"/>
        <w:ind w:left="1300" w:hanging="644"/>
        <w:spacing w:after="0" w:line="211" w:lineRule="auto"/>
        <w:tabs>
          <w:tab w:leader="none" w:pos="1291"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83" w:lineRule="exact"/>
        <w:rPr>
          <w:rFonts w:ascii="Arial" w:cs="Arial" w:eastAsia="Arial" w:hAnsi="Arial"/>
          <w:sz w:val="22"/>
          <w:szCs w:val="22"/>
          <w:color w:val="auto"/>
        </w:rPr>
      </w:pPr>
    </w:p>
    <w:p>
      <w:pPr>
        <w:ind w:left="1300" w:hanging="644"/>
        <w:spacing w:after="0" w:line="225" w:lineRule="auto"/>
        <w:tabs>
          <w:tab w:leader="none" w:pos="1292"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20" w:right="3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the same or any other provision of this Award Agreement at any subsequent time or for any other purpose.</w:t>
      </w:r>
    </w:p>
    <w:p>
      <w:pPr>
        <w:spacing w:after="0" w:line="79" w:lineRule="exact"/>
        <w:rPr>
          <w:sz w:val="20"/>
          <w:szCs w:val="20"/>
          <w:color w:val="auto"/>
        </w:rPr>
      </w:pPr>
    </w:p>
    <w:p>
      <w:pPr>
        <w:jc w:val="both"/>
        <w:ind w:left="1300" w:hanging="644"/>
        <w:spacing w:after="0" w:line="209" w:lineRule="auto"/>
        <w:tabs>
          <w:tab w:leader="none" w:pos="1292" w:val="left"/>
        </w:tabs>
        <w:numPr>
          <w:ilvl w:val="0"/>
          <w:numId w:val="127"/>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7" w:lineRule="exact"/>
        <w:rPr>
          <w:rFonts w:ascii="Arial" w:cs="Arial" w:eastAsia="Arial" w:hAnsi="Arial"/>
          <w:sz w:val="23"/>
          <w:szCs w:val="23"/>
          <w:color w:val="auto"/>
        </w:rPr>
      </w:pPr>
    </w:p>
    <w:p>
      <w:pPr>
        <w:ind w:left="1300"/>
        <w:spacing w:after="0" w:line="225" w:lineRule="auto"/>
        <w:rPr>
          <w:rFonts w:ascii="Arial" w:cs="Arial" w:eastAsia="Arial" w:hAnsi="Arial"/>
          <w:sz w:val="23"/>
          <w:szCs w:val="23"/>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79" w:lineRule="exact"/>
        <w:rPr>
          <w:rFonts w:ascii="Arial" w:cs="Arial" w:eastAsia="Arial" w:hAnsi="Arial"/>
          <w:sz w:val="23"/>
          <w:szCs w:val="23"/>
          <w:color w:val="auto"/>
        </w:rPr>
      </w:pPr>
    </w:p>
    <w:p>
      <w:pPr>
        <w:jc w:val="both"/>
        <w:ind w:left="1300" w:hanging="644"/>
        <w:spacing w:after="0" w:line="211" w:lineRule="auto"/>
        <w:tabs>
          <w:tab w:leader="none" w:pos="1292" w:val="left"/>
        </w:tabs>
        <w:numPr>
          <w:ilvl w:val="0"/>
          <w:numId w:val="127"/>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15. Compensation Recovery</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At any time during the three years following the date on which the number of Performance Units subject to the Award has been determined under Section 2 above, the Company reserves the right to and, in appropriate cases, will seek restitution of all or part of any Shares that have been issued or cash that has been paid pursuant to this Award if:</w:t>
      </w:r>
    </w:p>
    <w:p>
      <w:pPr>
        <w:spacing w:after="0" w:line="66" w:lineRule="exact"/>
        <w:rPr>
          <w:sz w:val="20"/>
          <w:szCs w:val="20"/>
          <w:color w:val="auto"/>
        </w:rPr>
      </w:pPr>
    </w:p>
    <w:p>
      <w:pPr>
        <w:jc w:val="both"/>
        <w:ind w:left="1300" w:hanging="644"/>
        <w:spacing w:after="0" w:line="218" w:lineRule="auto"/>
        <w:tabs>
          <w:tab w:leader="none" w:pos="129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(i)the number of Shares or the amount of the cash payment was calculated based, directly or indirectly, upon the achievement of financial results that were subsequently the subject of a restatement of all or a portion of the Company’s financial statements; and</w:t>
      </w:r>
    </w:p>
    <w:p>
      <w:pPr>
        <w:spacing w:after="0" w:line="66" w:lineRule="exact"/>
        <w:rPr>
          <w:rFonts w:ascii="Arial" w:cs="Arial" w:eastAsia="Arial" w:hAnsi="Arial"/>
          <w:sz w:val="22"/>
          <w:szCs w:val="22"/>
          <w:color w:val="auto"/>
        </w:rPr>
      </w:pPr>
    </w:p>
    <w:p>
      <w:pPr>
        <w:ind w:left="1300" w:firstLine="4"/>
        <w:spacing w:after="0" w:line="225" w:lineRule="auto"/>
        <w:tabs>
          <w:tab w:leader="none" w:pos="1797"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65" w:lineRule="exact"/>
        <w:rPr>
          <w:rFonts w:ascii="Arial" w:cs="Arial" w:eastAsia="Arial" w:hAnsi="Arial"/>
          <w:sz w:val="22"/>
          <w:szCs w:val="22"/>
          <w:color w:val="auto"/>
        </w:rPr>
      </w:pPr>
    </w:p>
    <w:p>
      <w:pPr>
        <w:jc w:val="both"/>
        <w:ind w:left="1300" w:firstLine="4"/>
        <w:spacing w:after="0" w:line="218" w:lineRule="auto"/>
        <w:tabs>
          <w:tab w:leader="none" w:pos="1857"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6" w:lineRule="exact"/>
        <w:rPr>
          <w:sz w:val="20"/>
          <w:szCs w:val="20"/>
          <w:color w:val="auto"/>
        </w:rPr>
      </w:pPr>
    </w:p>
    <w:p>
      <w:pPr>
        <w:ind w:left="420" w:right="20"/>
        <w:spacing w:after="0" w:line="211"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20" w:right="3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u w:val="single" w:color="auto"/>
          <w:color w:val="auto"/>
        </w:rPr>
        <w:t>Eli Lilly and Company Performance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right="260"/>
        <w:spacing w:after="0" w:line="225" w:lineRule="auto"/>
        <w:rPr>
          <w:sz w:val="20"/>
          <w:szCs w:val="20"/>
          <w:color w:val="auto"/>
        </w:rPr>
      </w:pPr>
      <w:r>
        <w:rPr>
          <w:rFonts w:ascii="Arial" w:cs="Arial" w:eastAsia="Arial" w:hAnsi="Arial"/>
          <w:sz w:val="22"/>
          <w:szCs w:val="22"/>
          <w:color w:val="auto"/>
        </w:rPr>
        <w:t>paid had the inaccuracy or error not occurred, or (B) issue additional Shares or make additional payment to the extent that the number of Shares issued or the amount paid was less than the correct amount.</w:t>
      </w:r>
    </w:p>
    <w:p>
      <w:pPr>
        <w:spacing w:after="0" w:line="66" w:lineRule="exact"/>
        <w:rPr>
          <w:sz w:val="20"/>
          <w:szCs w:val="20"/>
          <w:color w:val="auto"/>
        </w:rPr>
      </w:pPr>
    </w:p>
    <w:p>
      <w:pPr>
        <w:ind w:left="420" w:right="740"/>
        <w:spacing w:after="0" w:line="218"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16. Award Subject to Acknowledgement of Acceptance</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44"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40"/>
          </w:cols>
          <w:pgMar w:left="320" w:top="120"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Exhibit 10.4 Form of Performance Award under the 2002 Lilly Stock Plan (non-executive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Eli Lilly and Company</w:t>
      </w:r>
    </w:p>
    <w:p>
      <w:pPr>
        <w:jc w:val="center"/>
        <w:spacing w:after="0"/>
        <w:rPr>
          <w:sz w:val="20"/>
          <w:szCs w:val="20"/>
          <w:color w:val="auto"/>
        </w:rPr>
      </w:pPr>
      <w:r>
        <w:rPr>
          <w:rFonts w:ascii="Arial" w:cs="Arial" w:eastAsia="Arial" w:hAnsi="Arial"/>
          <w:sz w:val="43"/>
          <w:szCs w:val="43"/>
          <w:color w:val="auto"/>
        </w:rPr>
        <w:t>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This Performance Award has been granted on [•] (“Grant Date”) by Eli Lilly and Company, an Indiana corporation, with its principal offices in Indianapolis, Indiana (“Lilly” or the “Company”), to the Eligible Individual who has received this Performance Award Agreement (the “Grantee”).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5220335" cy="1594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522033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640" w:val="left"/>
        </w:tabs>
        <w:rPr>
          <w:sz w:val="20"/>
          <w:szCs w:val="20"/>
          <w:color w:val="auto"/>
        </w:rPr>
      </w:pPr>
      <w:r>
        <w:rPr>
          <w:rFonts w:ascii="Arial" w:cs="Arial" w:eastAsia="Arial" w:hAnsi="Arial"/>
          <w:sz w:val="25"/>
          <w:szCs w:val="25"/>
          <w:color w:val="auto"/>
        </w:rPr>
        <w:t>Performance Period:</w:t>
        <w:tab/>
        <w:t>January 1, 2022 – December 31, 2023</w:t>
      </w:r>
    </w:p>
    <w:p>
      <w:pPr>
        <w:sectPr>
          <w:pgSz w:w="11900" w:h="16838" w:orient="portrait"/>
          <w:cols w:equalWidth="0" w:num="1">
            <w:col w:w="11240"/>
          </w:cols>
          <w:pgMar w:left="320" w:top="1143" w:right="3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9"/>
        <w:spacing w:after="0"/>
        <w:rPr>
          <w:sz w:val="20"/>
          <w:szCs w:val="20"/>
          <w:color w:val="auto"/>
        </w:rPr>
      </w:pPr>
      <w:r>
        <w:rPr>
          <w:rFonts w:ascii="Arial" w:cs="Arial" w:eastAsia="Arial" w:hAnsi="Arial"/>
          <w:sz w:val="25"/>
          <w:szCs w:val="25"/>
          <w:color w:val="auto"/>
        </w:rPr>
        <w:t>Table of Contents</w:t>
      </w:r>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8340" w:type="dxa"/>
            <w:vAlign w:val="bottom"/>
            <w:gridSpan w:val="3"/>
          </w:tcPr>
          <w:p>
            <w:pPr>
              <w:spacing w:after="0"/>
              <w:rPr>
                <w:sz w:val="20"/>
                <w:szCs w:val="20"/>
                <w:color w:val="auto"/>
              </w:rPr>
            </w:pPr>
            <w:r>
              <w:rPr>
                <w:rFonts w:ascii="Arial" w:cs="Arial" w:eastAsia="Arial" w:hAnsi="Arial"/>
                <w:sz w:val="22"/>
                <w:szCs w:val="22"/>
                <w:color w:val="auto"/>
              </w:rPr>
              <w:t>Section 1.  Grant of Performance Award</w:t>
            </w:r>
          </w:p>
        </w:tc>
        <w:tc>
          <w:tcPr>
            <w:tcW w:w="2420" w:type="dxa"/>
            <w:vAlign w:val="bottom"/>
          </w:tcPr>
          <w:p>
            <w:pPr>
              <w:ind w:left="2180"/>
              <w:spacing w:after="0"/>
              <w:rPr>
                <w:sz w:val="20"/>
                <w:szCs w:val="20"/>
                <w:color w:val="auto"/>
              </w:rPr>
            </w:pPr>
            <w:r>
              <w:rPr>
                <w:rFonts w:ascii="Arial" w:cs="Arial" w:eastAsia="Arial" w:hAnsi="Arial"/>
                <w:sz w:val="22"/>
                <w:szCs w:val="22"/>
                <w:color w:val="auto"/>
              </w:rPr>
              <w:t>3</w:t>
            </w:r>
          </w:p>
        </w:tc>
      </w:tr>
      <w:tr>
        <w:trPr>
          <w:trHeight w:val="310"/>
        </w:trPr>
        <w:tc>
          <w:tcPr>
            <w:tcW w:w="106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22"/>
                <w:szCs w:val="22"/>
                <w:color w:val="auto"/>
              </w:rPr>
              <w:t>Vesting</w:t>
            </w:r>
          </w:p>
        </w:tc>
        <w:tc>
          <w:tcPr>
            <w:tcW w:w="2420" w:type="dxa"/>
            <w:vAlign w:val="bottom"/>
          </w:tcPr>
          <w:p>
            <w:pPr>
              <w:ind w:left="2180"/>
              <w:spacing w:after="0"/>
              <w:rPr>
                <w:sz w:val="20"/>
                <w:szCs w:val="20"/>
                <w:color w:val="auto"/>
              </w:rPr>
            </w:pPr>
            <w:r>
              <w:rPr>
                <w:rFonts w:ascii="Arial" w:cs="Arial" w:eastAsia="Arial" w:hAnsi="Arial"/>
                <w:sz w:val="22"/>
                <w:szCs w:val="22"/>
                <w:color w:val="auto"/>
              </w:rPr>
              <w:t>3</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3.  Impact of Certain Employment Status Changes</w:t>
            </w:r>
          </w:p>
        </w:tc>
        <w:tc>
          <w:tcPr>
            <w:tcW w:w="2420" w:type="dxa"/>
            <w:vAlign w:val="bottom"/>
          </w:tcPr>
          <w:p>
            <w:pPr>
              <w:ind w:left="2180"/>
              <w:spacing w:after="0"/>
              <w:rPr>
                <w:sz w:val="20"/>
                <w:szCs w:val="20"/>
                <w:color w:val="auto"/>
              </w:rPr>
            </w:pPr>
            <w:r>
              <w:rPr>
                <w:rFonts w:ascii="Arial" w:cs="Arial" w:eastAsia="Arial" w:hAnsi="Arial"/>
                <w:sz w:val="22"/>
                <w:szCs w:val="22"/>
                <w:color w:val="auto"/>
              </w:rPr>
              <w:t>4</w:t>
            </w:r>
          </w:p>
        </w:tc>
      </w:tr>
      <w:tr>
        <w:trPr>
          <w:trHeight w:val="310"/>
        </w:trPr>
        <w:tc>
          <w:tcPr>
            <w:tcW w:w="8340" w:type="dxa"/>
            <w:vAlign w:val="bottom"/>
            <w:gridSpan w:val="3"/>
          </w:tcPr>
          <w:p>
            <w:pPr>
              <w:spacing w:after="0"/>
              <w:rPr>
                <w:sz w:val="20"/>
                <w:szCs w:val="20"/>
                <w:color w:val="auto"/>
              </w:rPr>
            </w:pPr>
            <w:r>
              <w:rPr>
                <w:rFonts w:ascii="Arial" w:cs="Arial" w:eastAsia="Arial" w:hAnsi="Arial"/>
                <w:sz w:val="22"/>
                <w:szCs w:val="22"/>
                <w:color w:val="auto"/>
              </w:rPr>
              <w:t>Section 4.  Change in Control</w:t>
            </w:r>
          </w:p>
        </w:tc>
        <w:tc>
          <w:tcPr>
            <w:tcW w:w="2420" w:type="dxa"/>
            <w:vAlign w:val="bottom"/>
          </w:tcPr>
          <w:p>
            <w:pPr>
              <w:ind w:left="2180"/>
              <w:spacing w:after="0"/>
              <w:rPr>
                <w:sz w:val="20"/>
                <w:szCs w:val="20"/>
                <w:color w:val="auto"/>
              </w:rPr>
            </w:pPr>
            <w:r>
              <w:rPr>
                <w:rFonts w:ascii="Arial" w:cs="Arial" w:eastAsia="Arial" w:hAnsi="Arial"/>
                <w:sz w:val="22"/>
                <w:szCs w:val="22"/>
                <w:color w:val="auto"/>
              </w:rPr>
              <w:t>5</w:t>
            </w:r>
          </w:p>
        </w:tc>
      </w:tr>
      <w:tr>
        <w:trPr>
          <w:trHeight w:val="311"/>
        </w:trPr>
        <w:tc>
          <w:tcPr>
            <w:tcW w:w="106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4"/>
                <w:szCs w:val="24"/>
                <w:color w:val="auto"/>
              </w:rPr>
            </w:pPr>
          </w:p>
        </w:tc>
        <w:tc>
          <w:tcPr>
            <w:tcW w:w="722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2420" w:type="dxa"/>
            <w:vAlign w:val="bottom"/>
          </w:tcPr>
          <w:p>
            <w:pPr>
              <w:ind w:left="2180"/>
              <w:spacing w:after="0"/>
              <w:rPr>
                <w:sz w:val="20"/>
                <w:szCs w:val="20"/>
                <w:color w:val="auto"/>
              </w:rPr>
            </w:pPr>
            <w:r>
              <w:rPr>
                <w:rFonts w:ascii="Arial" w:cs="Arial" w:eastAsia="Arial" w:hAnsi="Arial"/>
                <w:sz w:val="22"/>
                <w:szCs w:val="22"/>
                <w:color w:val="auto"/>
              </w:rPr>
              <w:t>6</w:t>
            </w:r>
          </w:p>
        </w:tc>
      </w:tr>
      <w:tr>
        <w:trPr>
          <w:trHeight w:val="310"/>
        </w:trPr>
        <w:tc>
          <w:tcPr>
            <w:tcW w:w="8340" w:type="dxa"/>
            <w:vAlign w:val="bottom"/>
            <w:gridSpan w:val="3"/>
          </w:tcPr>
          <w:p>
            <w:pPr>
              <w:spacing w:after="0"/>
              <w:rPr>
                <w:sz w:val="20"/>
                <w:szCs w:val="20"/>
                <w:color w:val="auto"/>
              </w:rPr>
            </w:pPr>
            <w:r>
              <w:rPr>
                <w:rFonts w:ascii="Arial" w:cs="Arial" w:eastAsia="Arial" w:hAnsi="Arial"/>
                <w:sz w:val="22"/>
                <w:szCs w:val="22"/>
                <w:color w:val="auto"/>
              </w:rPr>
              <w:t>Section 6.  Rights of the Grantee</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7.  Prohibition Against Transfer</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1"/>
        </w:trPr>
        <w:tc>
          <w:tcPr>
            <w:tcW w:w="1060" w:type="dxa"/>
            <w:vAlign w:val="bottom"/>
          </w:tcPr>
          <w:p>
            <w:pPr>
              <w:spacing w:after="0"/>
              <w:rPr>
                <w:sz w:val="20"/>
                <w:szCs w:val="20"/>
                <w:color w:val="auto"/>
              </w:rPr>
            </w:pPr>
            <w:r>
              <w:rPr>
                <w:rFonts w:ascii="Arial" w:cs="Arial" w:eastAsia="Arial" w:hAnsi="Arial"/>
                <w:sz w:val="22"/>
                <w:szCs w:val="22"/>
                <w:color w:val="auto"/>
              </w:rPr>
              <w:t>Section 8.</w:t>
            </w:r>
          </w:p>
        </w:tc>
        <w:tc>
          <w:tcPr>
            <w:tcW w:w="7280" w:type="dxa"/>
            <w:vAlign w:val="bottom"/>
            <w:gridSpan w:val="2"/>
          </w:tcPr>
          <w:p>
            <w:pPr>
              <w:ind w:left="120"/>
              <w:spacing w:after="0"/>
              <w:rPr>
                <w:sz w:val="20"/>
                <w:szCs w:val="20"/>
                <w:color w:val="auto"/>
              </w:rPr>
            </w:pPr>
            <w:r>
              <w:rPr>
                <w:rFonts w:ascii="Arial" w:cs="Arial" w:eastAsia="Arial" w:hAnsi="Arial"/>
                <w:sz w:val="22"/>
                <w:szCs w:val="22"/>
                <w:color w:val="auto"/>
              </w:rPr>
              <w:t>Responsibility for Taxes</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0"/>
        </w:trPr>
        <w:tc>
          <w:tcPr>
            <w:tcW w:w="1060" w:type="dxa"/>
            <w:vAlign w:val="bottom"/>
          </w:tcPr>
          <w:p>
            <w:pPr>
              <w:spacing w:after="0"/>
              <w:rPr>
                <w:sz w:val="20"/>
                <w:szCs w:val="20"/>
                <w:color w:val="auto"/>
              </w:rPr>
            </w:pPr>
            <w:r>
              <w:rPr>
                <w:rFonts w:ascii="Arial" w:cs="Arial" w:eastAsia="Arial" w:hAnsi="Arial"/>
                <w:sz w:val="22"/>
                <w:szCs w:val="22"/>
                <w:color w:val="auto"/>
              </w:rPr>
              <w:t>Section 9.</w:t>
            </w:r>
          </w:p>
        </w:tc>
        <w:tc>
          <w:tcPr>
            <w:tcW w:w="728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2420" w:type="dxa"/>
            <w:vAlign w:val="bottom"/>
          </w:tcPr>
          <w:p>
            <w:pPr>
              <w:ind w:left="2180"/>
              <w:spacing w:after="0"/>
              <w:rPr>
                <w:sz w:val="20"/>
                <w:szCs w:val="20"/>
                <w:color w:val="auto"/>
              </w:rPr>
            </w:pPr>
            <w:r>
              <w:rPr>
                <w:rFonts w:ascii="Arial" w:cs="Arial" w:eastAsia="Arial" w:hAnsi="Arial"/>
                <w:sz w:val="22"/>
                <w:szCs w:val="22"/>
                <w:color w:val="auto"/>
              </w:rPr>
              <w:t>9</w:t>
            </w:r>
          </w:p>
        </w:tc>
      </w:tr>
      <w:tr>
        <w:trPr>
          <w:trHeight w:val="311"/>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10.</w:t>
            </w:r>
          </w:p>
        </w:tc>
        <w:tc>
          <w:tcPr>
            <w:tcW w:w="7220" w:type="dxa"/>
            <w:vAlign w:val="bottom"/>
          </w:tcPr>
          <w:p>
            <w:pPr>
              <w:ind w:left="180"/>
              <w:spacing w:after="0"/>
              <w:rPr>
                <w:sz w:val="20"/>
                <w:szCs w:val="20"/>
                <w:color w:val="auto"/>
              </w:rPr>
            </w:pPr>
            <w:r>
              <w:rPr>
                <w:rFonts w:ascii="Arial" w:cs="Arial" w:eastAsia="Arial" w:hAnsi="Arial"/>
                <w:sz w:val="22"/>
                <w:szCs w:val="22"/>
                <w:color w:val="auto"/>
              </w:rPr>
              <w:t>Grantee’s Acknowledgement</w:t>
            </w:r>
          </w:p>
        </w:tc>
        <w:tc>
          <w:tcPr>
            <w:tcW w:w="2420" w:type="dxa"/>
            <w:vAlign w:val="bottom"/>
          </w:tcPr>
          <w:p>
            <w:pPr>
              <w:ind w:left="2180"/>
              <w:spacing w:after="0"/>
              <w:rPr>
                <w:sz w:val="20"/>
                <w:szCs w:val="20"/>
                <w:color w:val="auto"/>
              </w:rPr>
            </w:pPr>
            <w:r>
              <w:rPr>
                <w:rFonts w:ascii="Arial" w:cs="Arial" w:eastAsia="Arial" w:hAnsi="Arial"/>
                <w:sz w:val="22"/>
                <w:szCs w:val="22"/>
                <w:color w:val="auto"/>
              </w:rPr>
              <w:t>9</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11.</w:t>
            </w:r>
          </w:p>
        </w:tc>
        <w:tc>
          <w:tcPr>
            <w:tcW w:w="722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10</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12.  Additional Terms and Conditions</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12</w:t>
            </w:r>
          </w:p>
        </w:tc>
      </w:tr>
      <w:tr>
        <w:trPr>
          <w:trHeight w:val="310"/>
        </w:trPr>
        <w:tc>
          <w:tcPr>
            <w:tcW w:w="8340" w:type="dxa"/>
            <w:vAlign w:val="bottom"/>
            <w:gridSpan w:val="3"/>
          </w:tcPr>
          <w:p>
            <w:pPr>
              <w:spacing w:after="0"/>
              <w:rPr>
                <w:sz w:val="20"/>
                <w:szCs w:val="20"/>
                <w:color w:val="auto"/>
              </w:rPr>
            </w:pPr>
            <w:r>
              <w:rPr>
                <w:rFonts w:ascii="Arial" w:cs="Arial" w:eastAsia="Arial" w:hAnsi="Arial"/>
                <w:sz w:val="22"/>
                <w:szCs w:val="22"/>
                <w:color w:val="auto"/>
              </w:rPr>
              <w:t>Section 13.  Governing Law and Choice of Venue</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12</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14.</w:t>
            </w:r>
          </w:p>
        </w:tc>
        <w:tc>
          <w:tcPr>
            <w:tcW w:w="722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13</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15.</w:t>
            </w:r>
          </w:p>
        </w:tc>
        <w:tc>
          <w:tcPr>
            <w:tcW w:w="7220" w:type="dxa"/>
            <w:vAlign w:val="bottom"/>
          </w:tcPr>
          <w:p>
            <w:pPr>
              <w:ind w:left="180"/>
              <w:spacing w:after="0"/>
              <w:rPr>
                <w:sz w:val="20"/>
                <w:szCs w:val="20"/>
                <w:color w:val="auto"/>
              </w:rPr>
            </w:pPr>
            <w:r>
              <w:rPr>
                <w:rFonts w:ascii="Arial" w:cs="Arial" w:eastAsia="Arial" w:hAnsi="Arial"/>
                <w:sz w:val="22"/>
                <w:szCs w:val="22"/>
                <w:color w:val="auto"/>
              </w:rPr>
              <w:t>Award Subject to Acknowledgement of Acceptance</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0840"/>
          </w:cols>
          <w:pgMar w:left="320" w:top="120" w:right="7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w:t>
      </w:r>
      <w:r>
        <w:rPr>
          <w:sz w:val="20"/>
          <w:szCs w:val="20"/>
          <w:color w:val="auto"/>
        </w:rPr>
        <w:tab/>
      </w:r>
      <w:r>
        <w:rPr>
          <w:rFonts w:ascii="Arial" w:cs="Arial" w:eastAsia="Arial" w:hAnsi="Arial"/>
          <w:sz w:val="23"/>
          <w:szCs w:val="23"/>
          <w:color w:val="auto"/>
        </w:rPr>
        <w:t>Grant of Performance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0000FF"/>
        </w:rPr>
        <w:t>http://myequity.lilly.com</w:t>
      </w:r>
      <w:r>
        <w:rPr>
          <w:rFonts w:ascii="Arial" w:cs="Arial" w:eastAsia="Arial" w:hAnsi="Arial"/>
          <w:sz w:val="22"/>
          <w:szCs w:val="22"/>
          <w:color w:val="auto"/>
        </w:rPr>
        <w:t xml:space="preserve"> (the “Target Number of Shares”).</w:t>
      </w:r>
    </w:p>
    <w:p>
      <w:pPr>
        <w:spacing w:after="0" w:line="65"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w:t>
      </w:r>
    </w:p>
    <w:p>
      <w:pPr>
        <w:spacing w:after="0" w:line="66" w:lineRule="exact"/>
        <w:rPr>
          <w:sz w:val="20"/>
          <w:szCs w:val="20"/>
          <w:color w:val="auto"/>
        </w:rPr>
      </w:pPr>
    </w:p>
    <w:p>
      <w:pPr>
        <w:jc w:val="both"/>
        <w:ind w:left="40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76" w:lineRule="exact"/>
        <w:rPr>
          <w:sz w:val="20"/>
          <w:szCs w:val="20"/>
          <w:color w:val="auto"/>
        </w:rPr>
      </w:pPr>
    </w:p>
    <w:p>
      <w:pPr>
        <w:jc w:val="both"/>
        <w:ind w:left="420"/>
        <w:spacing w:after="0" w:line="223" w:lineRule="auto"/>
        <w:rPr>
          <w:sz w:val="20"/>
          <w:szCs w:val="20"/>
          <w:color w:val="auto"/>
        </w:rPr>
      </w:pPr>
      <w:r>
        <w:rPr>
          <w:rFonts w:ascii="Arial" w:cs="Arial" w:eastAsia="Arial" w:hAnsi="Arial"/>
          <w:sz w:val="21"/>
          <w:szCs w:val="21"/>
          <w:color w:val="auto"/>
        </w:rPr>
        <w:t>As soon as reasonably practicable following the end of the Performance Period, the Committee shall determine the number of Shares eligible to vest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66" w:lineRule="exact"/>
        <w:rPr>
          <w:sz w:val="20"/>
          <w:szCs w:val="20"/>
          <w:color w:val="auto"/>
        </w:rPr>
      </w:pPr>
    </w:p>
    <w:p>
      <w:pPr>
        <w:ind w:left="1300" w:right="660" w:hanging="644"/>
        <w:spacing w:after="0" w:line="225" w:lineRule="auto"/>
        <w:tabs>
          <w:tab w:leader="none" w:pos="129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actual cumulative EPS for the Performance Period shall be computed using the following procedures:</w:t>
      </w:r>
    </w:p>
    <w:p>
      <w:pPr>
        <w:spacing w:after="0" w:line="65" w:lineRule="exact"/>
        <w:rPr>
          <w:rFonts w:ascii="Arial" w:cs="Arial" w:eastAsia="Arial" w:hAnsi="Arial"/>
          <w:sz w:val="22"/>
          <w:szCs w:val="22"/>
          <w:color w:val="auto"/>
        </w:rPr>
      </w:pPr>
    </w:p>
    <w:p>
      <w:pPr>
        <w:jc w:val="both"/>
        <w:ind w:left="1960" w:right="640" w:hanging="332"/>
        <w:spacing w:after="0" w:line="213" w:lineRule="auto"/>
        <w:tabs>
          <w:tab w:leader="none" w:pos="1949" w:val="left"/>
        </w:tabs>
        <w:numPr>
          <w:ilvl w:val="1"/>
          <w:numId w:val="129"/>
        </w:numPr>
        <w:rPr>
          <w:rFonts w:ascii="Arial" w:cs="Arial" w:eastAsia="Arial" w:hAnsi="Arial"/>
          <w:sz w:val="22"/>
          <w:szCs w:val="22"/>
          <w:color w:val="auto"/>
        </w:rPr>
      </w:pPr>
      <w:r>
        <w:rPr>
          <w:rFonts w:ascii="Arial" w:cs="Arial" w:eastAsia="Arial" w:hAnsi="Arial"/>
          <w:sz w:val="22"/>
          <w:szCs w:val="22"/>
          <w:color w:val="auto"/>
        </w:rPr>
        <w:t>A determination of adjusted consolidated net income ascertained from the Company's audited consolidated financial statements shall be made for each fiscal year in the Performance Period in accordance with accounting principles currently applicable in the United States (“US GAAP”), adjusted to the extent deemed appropriate by the Committee for any unusual items deemed significant by the Committee.</w:t>
      </w:r>
    </w:p>
    <w:p>
      <w:pPr>
        <w:spacing w:after="0" w:line="65" w:lineRule="exact"/>
        <w:rPr>
          <w:rFonts w:ascii="Arial" w:cs="Arial" w:eastAsia="Arial" w:hAnsi="Arial"/>
          <w:sz w:val="22"/>
          <w:szCs w:val="22"/>
          <w:color w:val="auto"/>
        </w:rPr>
      </w:pPr>
    </w:p>
    <w:p>
      <w:pPr>
        <w:jc w:val="both"/>
        <w:ind w:left="1960" w:right="660" w:hanging="332"/>
        <w:spacing w:after="0" w:line="218" w:lineRule="auto"/>
        <w:tabs>
          <w:tab w:leader="none" w:pos="1957"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number of shares of outstanding Lilly Common Stock used to compute consolidated EPS shall be determined as of the end of each fiscal year in the Performance Period on a diluted basis or its equivalent in accordance with US GAAP.</w:t>
      </w:r>
    </w:p>
    <w:p>
      <w:pPr>
        <w:spacing w:after="0" w:line="202" w:lineRule="exact"/>
        <w:rPr>
          <w:sz w:val="20"/>
          <w:szCs w:val="20"/>
          <w:color w:val="auto"/>
        </w:rPr>
      </w:pPr>
    </w:p>
    <w:p>
      <w:pPr>
        <w:jc w:val="both"/>
        <w:ind w:left="1960" w:right="660" w:hanging="323"/>
        <w:spacing w:after="0" w:line="215" w:lineRule="auto"/>
        <w:rPr>
          <w:sz w:val="20"/>
          <w:szCs w:val="20"/>
          <w:color w:val="auto"/>
        </w:rPr>
      </w:pPr>
      <w:r>
        <w:rPr>
          <w:rFonts w:ascii="Arial" w:cs="Arial" w:eastAsia="Arial" w:hAnsi="Arial"/>
          <w:sz w:val="22"/>
          <w:szCs w:val="22"/>
          <w:color w:val="auto"/>
        </w:rPr>
        <w:t>(iii)To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66" w:lineRule="exact"/>
        <w:rPr>
          <w:sz w:val="20"/>
          <w:szCs w:val="20"/>
          <w:color w:val="auto"/>
        </w:rPr>
      </w:pPr>
    </w:p>
    <w:p>
      <w:pPr>
        <w:jc w:val="both"/>
        <w:ind w:left="1960" w:right="640" w:hanging="323"/>
        <w:spacing w:after="0" w:line="225" w:lineRule="auto"/>
        <w:rPr>
          <w:sz w:val="20"/>
          <w:szCs w:val="20"/>
          <w:color w:val="auto"/>
        </w:rPr>
      </w:pPr>
      <w:r>
        <w:rPr>
          <w:rFonts w:ascii="Arial" w:cs="Arial" w:eastAsia="Arial" w:hAnsi="Arial"/>
          <w:sz w:val="22"/>
          <w:szCs w:val="22"/>
          <w:color w:val="auto"/>
        </w:rPr>
        <w:t>(iv)To determine the cumulative EPS for the Performance Period, the EPS amounts for each fiscal year as determined above shall be added.</w:t>
      </w:r>
    </w:p>
    <w:p>
      <w:pPr>
        <w:spacing w:after="0" w:line="66" w:lineRule="exact"/>
        <w:rPr>
          <w:sz w:val="20"/>
          <w:szCs w:val="20"/>
          <w:color w:val="auto"/>
        </w:rPr>
      </w:pPr>
    </w:p>
    <w:p>
      <w:pPr>
        <w:ind w:left="1300" w:hanging="644"/>
        <w:spacing w:after="0" w:line="225" w:lineRule="auto"/>
        <w:tabs>
          <w:tab w:leader="none" w:pos="129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payout multiple corresponding to the EPS Growth (as shown on page 1 of this document) shall then be applied to the Target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40"/>
          </w:cols>
          <w:pgMar w:left="320" w:top="120"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00" w:hanging="644"/>
        <w:spacing w:after="0" w:line="225" w:lineRule="auto"/>
        <w:tabs>
          <w:tab w:leader="none" w:pos="129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number of Shares eligible to vest under this Performance Award will be the number of Shares resulting from the calculation described in subsection (b) above.</w:t>
      </w:r>
    </w:p>
    <w:p>
      <w:pPr>
        <w:spacing w:after="0" w:line="65" w:lineRule="exact"/>
        <w:rPr>
          <w:rFonts w:ascii="Arial" w:cs="Arial" w:eastAsia="Arial" w:hAnsi="Arial"/>
          <w:sz w:val="22"/>
          <w:szCs w:val="22"/>
          <w:color w:val="auto"/>
        </w:rPr>
      </w:pPr>
    </w:p>
    <w:p>
      <w:pPr>
        <w:ind w:left="1300" w:hanging="644"/>
        <w:spacing w:after="0" w:line="236" w:lineRule="auto"/>
        <w:tabs>
          <w:tab w:leader="none" w:pos="1291"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In the event the Grantee’s Service is terminated prior to the end of the Performance Period for any reason or in any circumstance other than as described in Section 3 below, the Award shall be forfeited.</w:t>
      </w:r>
    </w:p>
    <w:p>
      <w:pPr>
        <w:spacing w:after="0" w:line="170"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3.</w:t>
      </w:r>
      <w:r>
        <w:rPr>
          <w:sz w:val="20"/>
          <w:szCs w:val="20"/>
          <w:color w:val="auto"/>
        </w:rPr>
        <w:tab/>
      </w:r>
      <w:r>
        <w:rPr>
          <w:rFonts w:ascii="Arial" w:cs="Arial" w:eastAsia="Arial" w:hAnsi="Arial"/>
          <w:sz w:val="23"/>
          <w:szCs w:val="23"/>
          <w:color w:val="auto"/>
        </w:rPr>
        <w:t>Impact of Certain Employment Status Changes</w:t>
      </w:r>
    </w:p>
    <w:p>
      <w:pPr>
        <w:spacing w:after="0" w:line="76"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Unless the Committee determines, in its sole discretion, that such adjustments are not advisable after consideration of Applicable Laws, the number of Shares that are eligible to vest upon a change in employment status of the Grantee during the Performance Period will be as follows:</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hanging="644"/>
        <w:spacing w:after="0" w:line="211" w:lineRule="auto"/>
        <w:tabs>
          <w:tab w:leader="none" w:pos="1291"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Retirement; Death; Disability</w:t>
      </w:r>
      <w:r>
        <w:rPr>
          <w:rFonts w:ascii="Arial" w:cs="Arial" w:eastAsia="Arial" w:hAnsi="Arial"/>
          <w:sz w:val="22"/>
          <w:szCs w:val="22"/>
          <w:color w:val="auto"/>
        </w:rPr>
        <w:t>. Except as otherwise provided below, in the event the Grantee’s Service is terminated (i) on or following the Retirement Vesting Date due to the Grantee’s Retirement, (ii) due to the Grantee’s death, or (ii)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70" w:lineRule="exact"/>
        <w:rPr>
          <w:sz w:val="20"/>
          <w:szCs w:val="20"/>
          <w:color w:val="auto"/>
        </w:rPr>
      </w:pPr>
    </w:p>
    <w:p>
      <w:pPr>
        <w:jc w:val="both"/>
        <w:ind w:left="1300"/>
        <w:spacing w:after="0" w:line="223"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6"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“Retirement Vesting Date” means the date that is on or following July 31 immediately following the commencement of the Performance Period.</w:t>
      </w:r>
    </w:p>
    <w:p>
      <w:pPr>
        <w:spacing w:after="0" w:line="66"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9" w:lineRule="exact"/>
        <w:rPr>
          <w:sz w:val="20"/>
          <w:szCs w:val="20"/>
          <w:color w:val="auto"/>
        </w:rPr>
      </w:pPr>
    </w:p>
    <w:p>
      <w:pPr>
        <w:jc w:val="both"/>
        <w:ind w:left="1300" w:hanging="644"/>
        <w:spacing w:after="0" w:line="215" w:lineRule="auto"/>
        <w:tabs>
          <w:tab w:leader="none" w:pos="1292"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40"/>
          </w:cols>
          <w:pgMar w:left="320" w:top="120" w:right="3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purposes of this Award Agreement, a “Qualifying Termination” means the termination of the</w:t>
      </w:r>
    </w:p>
    <w:p>
      <w:pPr>
        <w:ind w:left="1300"/>
        <w:spacing w:after="0"/>
        <w:rPr>
          <w:sz w:val="20"/>
          <w:szCs w:val="20"/>
          <w:color w:val="auto"/>
        </w:rPr>
      </w:pPr>
      <w:r>
        <w:rPr>
          <w:rFonts w:ascii="Arial" w:cs="Arial" w:eastAsia="Arial" w:hAnsi="Arial"/>
          <w:sz w:val="22"/>
          <w:szCs w:val="22"/>
          <w:color w:val="auto"/>
        </w:rPr>
        <w:t>Grantee’s Service under any one of the following circumstances:</w:t>
      </w:r>
    </w:p>
    <w:p>
      <w:pPr>
        <w:spacing w:after="0" w:line="71" w:lineRule="exact"/>
        <w:rPr>
          <w:sz w:val="20"/>
          <w:szCs w:val="20"/>
          <w:color w:val="auto"/>
        </w:rPr>
      </w:pPr>
    </w:p>
    <w:p>
      <w:pPr>
        <w:ind w:left="1940" w:hanging="312"/>
        <w:spacing w:after="0"/>
        <w:tabs>
          <w:tab w:leader="none" w:pos="194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18" w:lineRule="auto"/>
        <w:tabs>
          <w:tab w:leader="none" w:pos="195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1300" w:right="76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300" w:right="10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65" w:lineRule="exact"/>
        <w:rPr>
          <w:sz w:val="20"/>
          <w:szCs w:val="20"/>
          <w:color w:val="auto"/>
        </w:rPr>
      </w:pPr>
    </w:p>
    <w:p>
      <w:pPr>
        <w:jc w:val="both"/>
        <w:ind w:left="1300" w:hanging="644"/>
        <w:spacing w:after="0" w:line="210" w:lineRule="auto"/>
        <w:tabs>
          <w:tab w:leader="none" w:pos="1291"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Performance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5" w:lineRule="exact"/>
        <w:rPr>
          <w:sz w:val="20"/>
          <w:szCs w:val="20"/>
          <w:color w:val="auto"/>
        </w:rPr>
      </w:pPr>
    </w:p>
    <w:p>
      <w:pPr>
        <w:jc w:val="both"/>
        <w:ind w:left="420"/>
        <w:spacing w:after="0" w:line="211" w:lineRule="auto"/>
        <w:rPr>
          <w:sz w:val="20"/>
          <w:szCs w:val="20"/>
          <w:color w:val="auto"/>
        </w:rPr>
      </w:pPr>
      <w:r>
        <w:rPr>
          <w:rFonts w:ascii="Arial" w:cs="Arial" w:eastAsia="Arial" w:hAnsi="Arial"/>
          <w:sz w:val="22"/>
          <w:szCs w:val="22"/>
          <w:color w:val="auto"/>
        </w:rPr>
        <w:t>The Committee and/or the Company’s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4.</w:t>
      </w:r>
      <w:r>
        <w:rPr>
          <w:sz w:val="20"/>
          <w:szCs w:val="20"/>
          <w:color w:val="auto"/>
        </w:rPr>
        <w:tab/>
      </w:r>
      <w:r>
        <w:rPr>
          <w:rFonts w:ascii="Arial" w:cs="Arial" w:eastAsia="Arial" w:hAnsi="Arial"/>
          <w:sz w:val="23"/>
          <w:szCs w:val="23"/>
          <w:color w:val="auto"/>
        </w:rPr>
        <w:t>Change in Control</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jc w:val="both"/>
        <w:ind w:left="1300" w:hanging="644"/>
        <w:spacing w:after="0" w:line="218" w:lineRule="auto"/>
        <w:tabs>
          <w:tab w:leader="none" w:pos="129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66" w:lineRule="exact"/>
        <w:rPr>
          <w:rFonts w:ascii="Arial" w:cs="Arial" w:eastAsia="Arial" w:hAnsi="Arial"/>
          <w:sz w:val="22"/>
          <w:szCs w:val="22"/>
          <w:color w:val="auto"/>
        </w:rPr>
      </w:pPr>
    </w:p>
    <w:p>
      <w:pPr>
        <w:jc w:val="both"/>
        <w:ind w:left="1300" w:hanging="644"/>
        <w:spacing w:after="0" w:line="211" w:lineRule="auto"/>
        <w:tabs>
          <w:tab w:leader="none" w:pos="129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last day of the Performance Period, the Grantee will be credited with an award of Restricted Stock Units equal to the number of Shares eligible to vest,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40"/>
          </w:cols>
          <w:pgMar w:left="320" w:top="120" w:right="3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day of the Performance Period, subject to the Grantee’s continued Service through the last day of the</w:t>
      </w:r>
    </w:p>
    <w:p>
      <w:pPr>
        <w:ind w:left="1300"/>
        <w:spacing w:after="0"/>
        <w:rPr>
          <w:sz w:val="20"/>
          <w:szCs w:val="20"/>
          <w:color w:val="auto"/>
        </w:rPr>
      </w:pPr>
      <w:r>
        <w:rPr>
          <w:rFonts w:ascii="Arial" w:cs="Arial" w:eastAsia="Arial" w:hAnsi="Arial"/>
          <w:sz w:val="22"/>
          <w:szCs w:val="22"/>
          <w:color w:val="auto"/>
        </w:rPr>
        <w:t>Performance Period, except as provided below:</w:t>
      </w:r>
    </w:p>
    <w:p>
      <w:pPr>
        <w:spacing w:after="0" w:line="71" w:lineRule="exact"/>
        <w:rPr>
          <w:sz w:val="20"/>
          <w:szCs w:val="20"/>
          <w:color w:val="auto"/>
        </w:rPr>
      </w:pPr>
    </w:p>
    <w:p>
      <w:pPr>
        <w:jc w:val="both"/>
        <w:ind w:left="1960" w:hanging="332"/>
        <w:spacing w:after="0" w:line="215" w:lineRule="auto"/>
        <w:tabs>
          <w:tab w:leader="none" w:pos="194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5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65"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Employees or the Eli Lilly and Company 2007 Change in Control Severance Pay Plan for Select Employees (both as amended from time to time) or any successor plan or arrangement thereto, as applicable.</w:t>
      </w:r>
    </w:p>
    <w:p>
      <w:pPr>
        <w:spacing w:after="0" w:line="70" w:lineRule="exact"/>
        <w:rPr>
          <w:sz w:val="20"/>
          <w:szCs w:val="20"/>
          <w:color w:val="auto"/>
        </w:rPr>
      </w:pPr>
    </w:p>
    <w:p>
      <w:pPr>
        <w:jc w:val="both"/>
        <w:ind w:left="1300" w:hanging="644"/>
        <w:spacing w:after="0" w:line="218" w:lineRule="auto"/>
        <w:tabs>
          <w:tab w:leader="none" w:pos="129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2"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5.</w:t>
      </w:r>
      <w:r>
        <w:rPr>
          <w:sz w:val="20"/>
          <w:szCs w:val="20"/>
          <w:color w:val="auto"/>
        </w:rPr>
        <w:tab/>
      </w:r>
      <w:r>
        <w:rPr>
          <w:rFonts w:ascii="Arial" w:cs="Arial" w:eastAsia="Arial" w:hAnsi="Arial"/>
          <w:sz w:val="23"/>
          <w:szCs w:val="23"/>
          <w:color w:val="auto"/>
        </w:rPr>
        <w:t>Settlement</w:t>
      </w:r>
    </w:p>
    <w:p>
      <w:pPr>
        <w:spacing w:after="0" w:line="76" w:lineRule="exact"/>
        <w:rPr>
          <w:sz w:val="20"/>
          <w:szCs w:val="20"/>
          <w:color w:val="auto"/>
        </w:rPr>
      </w:pPr>
    </w:p>
    <w:p>
      <w:pPr>
        <w:ind w:left="1300" w:hanging="644"/>
        <w:spacing w:after="0" w:line="225" w:lineRule="auto"/>
        <w:tabs>
          <w:tab w:leader="none" w:pos="129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65" w:lineRule="exact"/>
        <w:rPr>
          <w:rFonts w:ascii="Arial" w:cs="Arial" w:eastAsia="Arial" w:hAnsi="Arial"/>
          <w:sz w:val="22"/>
          <w:szCs w:val="22"/>
          <w:color w:val="auto"/>
        </w:rPr>
      </w:pPr>
    </w:p>
    <w:p>
      <w:pPr>
        <w:jc w:val="both"/>
        <w:ind w:left="1300" w:hanging="644"/>
        <w:spacing w:after="0" w:line="214" w:lineRule="auto"/>
        <w:tabs>
          <w:tab w:leader="none" w:pos="1291" w:val="left"/>
        </w:tabs>
        <w:numPr>
          <w:ilvl w:val="0"/>
          <w:numId w:val="139"/>
        </w:numPr>
        <w:rPr>
          <w:rFonts w:ascii="Arial" w:cs="Arial" w:eastAsia="Arial" w:hAnsi="Arial"/>
          <w:sz w:val="21"/>
          <w:szCs w:val="21"/>
          <w:color w:val="auto"/>
        </w:rPr>
      </w:pPr>
      <w:r>
        <w:rPr>
          <w:rFonts w:ascii="Arial" w:cs="Arial" w:eastAsia="Arial" w:hAnsi="Arial"/>
          <w:sz w:val="21"/>
          <w:szCs w:val="21"/>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w:t>
      </w:r>
    </w:p>
    <w:p>
      <w:pPr>
        <w:spacing w:after="0" w:line="4" w:lineRule="exact"/>
        <w:rPr>
          <w:rFonts w:ascii="Arial" w:cs="Arial" w:eastAsia="Arial" w:hAnsi="Arial"/>
          <w:sz w:val="21"/>
          <w:szCs w:val="21"/>
          <w:color w:val="auto"/>
        </w:rPr>
      </w:pPr>
    </w:p>
    <w:p>
      <w:pPr>
        <w:jc w:val="both"/>
        <w:ind w:left="1300" w:firstLine="4"/>
        <w:spacing w:after="0" w:line="211" w:lineRule="auto"/>
        <w:tabs>
          <w:tab w:leader="none" w:pos="158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date that the Grantee experiences a “separation from service” within the meaning of Section 409A of the Code (a “Section 409A Separation”), provided that if the Grantee is a “specified employee” within the meaning of Section 409A of the Code as of the date of the Section 409A Separation, the Award shall instead be paid on the first day following the six (6) month anniversary of the Grantee’s 409A Separation (the “409A Delayed Payment Date”), (ii) the date of the Grantee’s death and (iii) the date set forth in Section 5(a) above.</w:t>
      </w:r>
    </w:p>
    <w:p>
      <w:pPr>
        <w:spacing w:after="0" w:line="69" w:lineRule="exact"/>
        <w:rPr>
          <w:rFonts w:ascii="Arial" w:cs="Arial" w:eastAsia="Arial" w:hAnsi="Arial"/>
          <w:sz w:val="22"/>
          <w:szCs w:val="22"/>
          <w:color w:val="auto"/>
        </w:rPr>
      </w:pPr>
    </w:p>
    <w:p>
      <w:pPr>
        <w:ind w:left="1300" w:hanging="644"/>
        <w:spacing w:after="0" w:line="225" w:lineRule="auto"/>
        <w:tabs>
          <w:tab w:leader="none" w:pos="129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6</w:t>
      </w:r>
    </w:p>
    <w:p>
      <w:pPr>
        <w:sectPr>
          <w:pgSz w:w="11900" w:h="16838" w:orient="portrait"/>
          <w:cols w:equalWidth="0" w:num="1">
            <w:col w:w="11240"/>
          </w:cols>
          <w:pgMar w:left="320" w:top="120" w:right="3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409A Delayed Payment Date and (2) the date of the Grantee’s death.</w:t>
      </w:r>
    </w:p>
    <w:p>
      <w:pPr>
        <w:spacing w:after="0" w:line="70" w:lineRule="exact"/>
        <w:rPr>
          <w:sz w:val="20"/>
          <w:szCs w:val="20"/>
          <w:color w:val="auto"/>
        </w:rPr>
      </w:pPr>
    </w:p>
    <w:p>
      <w:pPr>
        <w:jc w:val="both"/>
        <w:ind w:left="1300" w:hanging="644"/>
        <w:spacing w:after="0" w:line="229" w:lineRule="auto"/>
        <w:tabs>
          <w:tab w:leader="none" w:pos="1291"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64" w:lineRule="exact"/>
        <w:rPr>
          <w:rFonts w:ascii="Arial" w:cs="Arial" w:eastAsia="Arial" w:hAnsi="Arial"/>
          <w:sz w:val="21"/>
          <w:szCs w:val="21"/>
          <w:color w:val="auto"/>
        </w:rPr>
      </w:pPr>
    </w:p>
    <w:p>
      <w:pPr>
        <w:jc w:val="both"/>
        <w:ind w:left="1300" w:hanging="644"/>
        <w:spacing w:after="0" w:line="223" w:lineRule="auto"/>
        <w:tabs>
          <w:tab w:leader="none" w:pos="1291"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21"/>
          <w:szCs w:val="21"/>
          <w:color w:val="auto"/>
        </w:rPr>
      </w:pPr>
    </w:p>
    <w:p>
      <w:pPr>
        <w:ind w:left="1300" w:right="20" w:hanging="644"/>
        <w:spacing w:after="0" w:line="225" w:lineRule="auto"/>
        <w:tabs>
          <w:tab w:leader="none" w:pos="129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6.</w:t>
      </w:r>
      <w:r>
        <w:rPr>
          <w:sz w:val="20"/>
          <w:szCs w:val="20"/>
          <w:color w:val="auto"/>
        </w:rPr>
        <w:tab/>
      </w:r>
      <w:r>
        <w:rPr>
          <w:rFonts w:ascii="Arial" w:cs="Arial" w:eastAsia="Arial" w:hAnsi="Arial"/>
          <w:sz w:val="23"/>
          <w:szCs w:val="23"/>
          <w:color w:val="auto"/>
        </w:rPr>
        <w:t>Rights of the Grantee</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Performance Award does not entitle the Grantee to any rights of a shareholder of Lilly until such time as the Performance Award is settled and Shares are issued or transferred to the Grantee.</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7.</w:t>
      </w:r>
      <w:r>
        <w:rPr>
          <w:sz w:val="20"/>
          <w:szCs w:val="20"/>
          <w:color w:val="auto"/>
        </w:rPr>
        <w:tab/>
      </w:r>
      <w:r>
        <w:rPr>
          <w:rFonts w:ascii="Arial" w:cs="Arial" w:eastAsia="Arial" w:hAnsi="Arial"/>
          <w:sz w:val="23"/>
          <w:szCs w:val="23"/>
          <w:color w:val="auto"/>
        </w:rPr>
        <w:t>Prohibition Against Transfer</w:t>
      </w:r>
    </w:p>
    <w:p>
      <w:pPr>
        <w:spacing w:after="0" w:line="76"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8.</w:t>
      </w:r>
      <w:r>
        <w:rPr>
          <w:sz w:val="20"/>
          <w:szCs w:val="20"/>
          <w:color w:val="auto"/>
        </w:rPr>
        <w:tab/>
      </w:r>
      <w:r>
        <w:rPr>
          <w:rFonts w:ascii="Arial" w:cs="Arial" w:eastAsia="Arial" w:hAnsi="Arial"/>
          <w:sz w:val="23"/>
          <w:szCs w:val="23"/>
          <w:color w:val="auto"/>
        </w:rPr>
        <w:t>Responsibility for Taxes</w:t>
      </w:r>
    </w:p>
    <w:p>
      <w:pPr>
        <w:spacing w:after="0" w:line="76" w:lineRule="exact"/>
        <w:rPr>
          <w:sz w:val="20"/>
          <w:szCs w:val="20"/>
          <w:color w:val="auto"/>
        </w:rPr>
      </w:pPr>
    </w:p>
    <w:p>
      <w:pPr>
        <w:jc w:val="both"/>
        <w:ind w:left="1300" w:hanging="644"/>
        <w:spacing w:after="0" w:line="211" w:lineRule="auto"/>
        <w:tabs>
          <w:tab w:leader="none" w:pos="129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Regardless of any action Lilly and/or the Grantee’s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7</w:t>
      </w:r>
    </w:p>
    <w:p>
      <w:pPr>
        <w:sectPr>
          <w:pgSz w:w="11900" w:h="16838" w:orient="portrait"/>
          <w:cols w:equalWidth="0" w:num="1">
            <w:col w:w="11240"/>
          </w:cols>
          <w:pgMar w:left="320" w:top="120" w:right="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withheld by Lilly or the Employer. The Grantee further acknowledges that Lilly and the Employer</w:t>
      </w:r>
    </w:p>
    <w:p>
      <w:pPr>
        <w:jc w:val="both"/>
        <w:ind w:left="1300" w:firstLine="4"/>
        <w:spacing w:after="0" w:line="209" w:lineRule="auto"/>
        <w:tabs>
          <w:tab w:leader="none" w:pos="160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 Related Items in connection with any aspect of the Award, including the grant of the Performance Award, the vesting of the Performance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5" w:lineRule="exact"/>
        <w:rPr>
          <w:rFonts w:ascii="Arial" w:cs="Arial" w:eastAsia="Arial" w:hAnsi="Arial"/>
          <w:sz w:val="22"/>
          <w:szCs w:val="22"/>
          <w:color w:val="auto"/>
        </w:rPr>
      </w:pPr>
    </w:p>
    <w:p>
      <w:pPr>
        <w:ind w:left="1300" w:right="20" w:hanging="644"/>
        <w:spacing w:after="0" w:line="225" w:lineRule="auto"/>
        <w:tabs>
          <w:tab w:leader="none" w:pos="129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49" w:val="left"/>
        </w:tabs>
        <w:numPr>
          <w:ilvl w:val="2"/>
          <w:numId w:val="144"/>
        </w:numPr>
        <w:rPr>
          <w:rFonts w:ascii="Arial" w:cs="Arial" w:eastAsia="Arial" w:hAnsi="Arial"/>
          <w:sz w:val="22"/>
          <w:szCs w:val="22"/>
          <w:color w:val="auto"/>
        </w:rPr>
      </w:pPr>
      <w:r>
        <w:rPr>
          <w:rFonts w:ascii="Arial" w:cs="Arial" w:eastAsia="Arial" w:hAnsi="Arial"/>
          <w:sz w:val="22"/>
          <w:szCs w:val="22"/>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rFonts w:ascii="Arial" w:cs="Arial" w:eastAsia="Arial" w:hAnsi="Arial"/>
          <w:sz w:val="22"/>
          <w:szCs w:val="22"/>
          <w:color w:val="auto"/>
        </w:rPr>
      </w:pPr>
    </w:p>
    <w:p>
      <w:pPr>
        <w:jc w:val="both"/>
        <w:ind w:left="1960" w:hanging="332"/>
        <w:spacing w:after="0" w:line="214" w:lineRule="auto"/>
        <w:tabs>
          <w:tab w:leader="none" w:pos="1957" w:val="left"/>
        </w:tabs>
        <w:numPr>
          <w:ilvl w:val="2"/>
          <w:numId w:val="144"/>
        </w:numPr>
        <w:rPr>
          <w:rFonts w:ascii="Arial" w:cs="Arial" w:eastAsia="Arial" w:hAnsi="Arial"/>
          <w:sz w:val="21"/>
          <w:szCs w:val="21"/>
          <w:color w:val="auto"/>
        </w:rPr>
      </w:pPr>
      <w:r>
        <w:rPr>
          <w:rFonts w:ascii="Arial" w:cs="Arial" w:eastAsia="Arial" w:hAnsi="Arial"/>
          <w:sz w:val="21"/>
          <w:szCs w:val="21"/>
          <w:color w:val="auto"/>
        </w:rPr>
        <w:t>If the Performance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w:t>
      </w:r>
    </w:p>
    <w:p>
      <w:pPr>
        <w:spacing w:after="0" w:line="2" w:lineRule="exact"/>
        <w:rPr>
          <w:rFonts w:ascii="Arial" w:cs="Arial" w:eastAsia="Arial" w:hAnsi="Arial"/>
          <w:sz w:val="21"/>
          <w:szCs w:val="21"/>
          <w:color w:val="auto"/>
        </w:rPr>
      </w:pPr>
    </w:p>
    <w:p>
      <w:pPr>
        <w:jc w:val="both"/>
        <w:ind w:left="1960"/>
        <w:spacing w:after="0" w:line="210" w:lineRule="auto"/>
        <w:rPr>
          <w:rFonts w:ascii="Arial" w:cs="Arial" w:eastAsia="Arial" w:hAnsi="Arial"/>
          <w:sz w:val="21"/>
          <w:szCs w:val="21"/>
          <w:color w:val="auto"/>
        </w:rPr>
      </w:pPr>
      <w:r>
        <w:rPr>
          <w:rFonts w:ascii="Arial" w:cs="Arial" w:eastAsia="Arial" w:hAnsi="Arial"/>
          <w:sz w:val="22"/>
          <w:szCs w:val="22"/>
          <w:color w:val="auto"/>
        </w:rPr>
        <w:t>(B)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1" w:lineRule="exact"/>
        <w:rPr>
          <w:sz w:val="20"/>
          <w:szCs w:val="20"/>
          <w:color w:val="auto"/>
        </w:rPr>
      </w:pPr>
    </w:p>
    <w:p>
      <w:pPr>
        <w:jc w:val="both"/>
        <w:ind w:left="1960" w:hanging="323"/>
        <w:spacing w:after="0" w:line="211" w:lineRule="auto"/>
        <w:rPr>
          <w:sz w:val="20"/>
          <w:szCs w:val="20"/>
          <w:color w:val="auto"/>
        </w:rPr>
      </w:pPr>
      <w:r>
        <w:rPr>
          <w:rFonts w:ascii="Arial" w:cs="Arial" w:eastAsia="Arial" w:hAnsi="Arial"/>
          <w:sz w:val="22"/>
          <w:szCs w:val="22"/>
          <w:color w:val="auto"/>
        </w:rPr>
        <w:t>(iii)If the Performance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70" w:lineRule="exact"/>
        <w:rPr>
          <w:sz w:val="20"/>
          <w:szCs w:val="20"/>
          <w:color w:val="auto"/>
        </w:rPr>
      </w:pPr>
    </w:p>
    <w:p>
      <w:pPr>
        <w:jc w:val="both"/>
        <w:ind w:left="1300" w:hanging="644"/>
        <w:spacing w:after="0" w:line="218" w:lineRule="auto"/>
        <w:tabs>
          <w:tab w:leader="none" w:pos="129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8</w:t>
      </w:r>
    </w:p>
    <w:p>
      <w:pPr>
        <w:sectPr>
          <w:pgSz w:w="11900" w:h="16838" w:orient="portrait"/>
          <w:cols w:equalWidth="0" w:num="1">
            <w:col w:w="11240"/>
          </w:cols>
          <w:pgMar w:left="320" w:top="120" w:right="3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70" w:lineRule="exact"/>
        <w:rPr>
          <w:sz w:val="20"/>
          <w:szCs w:val="20"/>
          <w:color w:val="auto"/>
        </w:rPr>
      </w:pPr>
    </w:p>
    <w:p>
      <w:pPr>
        <w:ind w:left="1300" w:hanging="644"/>
        <w:spacing w:after="0" w:line="225" w:lineRule="auto"/>
        <w:tabs>
          <w:tab w:leader="none" w:pos="129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9.</w:t>
      </w:r>
      <w:r>
        <w:rPr>
          <w:sz w:val="20"/>
          <w:szCs w:val="20"/>
          <w:color w:val="auto"/>
        </w:rPr>
        <w:tab/>
      </w:r>
      <w:r>
        <w:rPr>
          <w:rFonts w:ascii="Arial" w:cs="Arial" w:eastAsia="Arial" w:hAnsi="Arial"/>
          <w:sz w:val="23"/>
          <w:szCs w:val="23"/>
          <w:color w:val="auto"/>
        </w:rPr>
        <w:t>Section 409A Compliance</w:t>
      </w:r>
    </w:p>
    <w:p>
      <w:pPr>
        <w:spacing w:after="0" w:line="76"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10.</w:t>
      </w:r>
      <w:r>
        <w:rPr>
          <w:sz w:val="20"/>
          <w:szCs w:val="20"/>
          <w:color w:val="auto"/>
        </w:rPr>
        <w:tab/>
      </w:r>
      <w:r>
        <w:rPr>
          <w:rFonts w:ascii="Arial" w:cs="Arial" w:eastAsia="Arial" w:hAnsi="Arial"/>
          <w:sz w:val="23"/>
          <w:szCs w:val="23"/>
          <w:color w:val="auto"/>
        </w:rPr>
        <w:t>Grantee’s Acknowledgement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71" w:lineRule="exact"/>
        <w:rPr>
          <w:sz w:val="20"/>
          <w:szCs w:val="20"/>
          <w:color w:val="auto"/>
        </w:rPr>
      </w:pPr>
    </w:p>
    <w:p>
      <w:pPr>
        <w:ind w:left="1300" w:hanging="644"/>
        <w:spacing w:after="0" w:line="225" w:lineRule="auto"/>
        <w:tabs>
          <w:tab w:leader="none" w:pos="129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300" w:hanging="644"/>
        <w:spacing w:after="0"/>
        <w:tabs>
          <w:tab w:leader="none" w:pos="13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66" w:lineRule="exact"/>
        <w:rPr>
          <w:rFonts w:ascii="Arial" w:cs="Arial" w:eastAsia="Arial" w:hAnsi="Arial"/>
          <w:sz w:val="22"/>
          <w:szCs w:val="22"/>
          <w:color w:val="auto"/>
        </w:rPr>
      </w:pPr>
    </w:p>
    <w:p>
      <w:pPr>
        <w:jc w:val="both"/>
        <w:ind w:left="1300" w:hanging="644"/>
        <w:spacing w:after="0" w:line="225" w:lineRule="auto"/>
        <w:tabs>
          <w:tab w:leader="none" w:pos="1291" w:val="left"/>
        </w:tabs>
        <w:numPr>
          <w:ilvl w:val="0"/>
          <w:numId w:val="147"/>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9</w:t>
      </w:r>
    </w:p>
    <w:p>
      <w:pPr>
        <w:sectPr>
          <w:pgSz w:w="11900" w:h="16838" w:orient="portrait"/>
          <w:cols w:equalWidth="0" w:num="1">
            <w:col w:w="11240"/>
          </w:cols>
          <w:pgMar w:left="320" w:top="120" w:right="3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00" w:hanging="644"/>
        <w:spacing w:after="0" w:line="225" w:lineRule="auto"/>
        <w:tabs>
          <w:tab w:leader="none" w:pos="1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5" w:lineRule="exact"/>
        <w:rPr>
          <w:rFonts w:ascii="Arial" w:cs="Arial" w:eastAsia="Arial" w:hAnsi="Arial"/>
          <w:sz w:val="22"/>
          <w:szCs w:val="22"/>
          <w:color w:val="auto"/>
        </w:rPr>
      </w:pPr>
    </w:p>
    <w:p>
      <w:pPr>
        <w:jc w:val="both"/>
        <w:ind w:left="1300" w:hanging="644"/>
        <w:spacing w:after="0" w:line="208" w:lineRule="auto"/>
        <w:tabs>
          <w:tab w:leader="none" w:pos="129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7" w:val="left"/>
        </w:tabs>
        <w:numPr>
          <w:ilvl w:val="0"/>
          <w:numId w:val="148"/>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11.</w:t>
      </w:r>
      <w:r>
        <w:rPr>
          <w:sz w:val="20"/>
          <w:szCs w:val="20"/>
          <w:color w:val="auto"/>
        </w:rPr>
        <w:tab/>
      </w:r>
      <w:r>
        <w:rPr>
          <w:rFonts w:ascii="Arial" w:cs="Arial" w:eastAsia="Arial" w:hAnsi="Arial"/>
          <w:sz w:val="23"/>
          <w:szCs w:val="23"/>
          <w:color w:val="auto"/>
        </w:rPr>
        <w:t>Data Privacy</w:t>
      </w:r>
    </w:p>
    <w:p>
      <w:pPr>
        <w:spacing w:after="0" w:line="54" w:lineRule="exact"/>
        <w:rPr>
          <w:sz w:val="20"/>
          <w:szCs w:val="20"/>
          <w:color w:val="auto"/>
        </w:rPr>
      </w:pPr>
    </w:p>
    <w:p>
      <w:pPr>
        <w:jc w:val="both"/>
        <w:ind w:left="1300" w:hanging="644"/>
        <w:spacing w:after="0" w:line="211" w:lineRule="auto"/>
        <w:tabs>
          <w:tab w:leader="none" w:pos="1291" w:val="left"/>
        </w:tabs>
        <w:numPr>
          <w:ilvl w:val="0"/>
          <w:numId w:val="14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10</w:t>
      </w:r>
    </w:p>
    <w:p>
      <w:pPr>
        <w:sectPr>
          <w:pgSz w:w="11900" w:h="16838" w:orient="portrait"/>
          <w:cols w:equalWidth="0" w:num="1">
            <w:col w:w="11240"/>
          </w:cols>
          <w:pgMar w:left="320" w:top="120" w:right="3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300"/>
        <w:spacing w:after="0" w:line="235" w:lineRule="auto"/>
        <w:rPr>
          <w:sz w:val="20"/>
          <w:szCs w:val="20"/>
          <w:color w:val="auto"/>
        </w:rPr>
      </w:pPr>
      <w:r>
        <w:rPr>
          <w:rFonts w:ascii="Arial" w:cs="Arial" w:eastAsia="Arial" w:hAnsi="Arial"/>
          <w:sz w:val="22"/>
          <w:szCs w:val="22"/>
          <w:i w:val="1"/>
          <w:iCs w:val="1"/>
          <w:color w:val="auto"/>
        </w:rPr>
        <w:t>Company’s securities are listed or traded or regulatory filings are made and the legal basis, where required, for such disclosure are the Applicable Laws.</w:t>
      </w:r>
    </w:p>
    <w:p>
      <w:pPr>
        <w:spacing w:after="0" w:line="45" w:lineRule="exact"/>
        <w:rPr>
          <w:sz w:val="20"/>
          <w:szCs w:val="20"/>
          <w:color w:val="auto"/>
        </w:rPr>
      </w:pPr>
    </w:p>
    <w:p>
      <w:pPr>
        <w:jc w:val="both"/>
        <w:ind w:left="1300" w:hanging="644"/>
        <w:spacing w:after="0" w:line="211" w:lineRule="auto"/>
        <w:tabs>
          <w:tab w:leader="none" w:pos="1291" w:val="left"/>
        </w:tabs>
        <w:numPr>
          <w:ilvl w:val="0"/>
          <w:numId w:val="15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rFonts w:ascii="Arial" w:cs="Arial" w:eastAsia="Arial" w:hAnsi="Arial"/>
          <w:sz w:val="22"/>
          <w:szCs w:val="22"/>
          <w:i w:val="1"/>
          <w:iCs w:val="1"/>
          <w:color w:val="auto"/>
        </w:rPr>
      </w:pPr>
    </w:p>
    <w:p>
      <w:pPr>
        <w:jc w:val="both"/>
        <w:ind w:left="1300" w:hanging="644"/>
        <w:spacing w:after="0" w:line="236" w:lineRule="auto"/>
        <w:tabs>
          <w:tab w:leader="none" w:pos="1292" w:val="left"/>
        </w:tabs>
        <w:numPr>
          <w:ilvl w:val="0"/>
          <w:numId w:val="150"/>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3" w:lineRule="exact"/>
        <w:rPr>
          <w:rFonts w:ascii="Arial" w:cs="Arial" w:eastAsia="Arial" w:hAnsi="Arial"/>
          <w:sz w:val="21"/>
          <w:szCs w:val="21"/>
          <w:i w:val="1"/>
          <w:iCs w:val="1"/>
          <w:color w:val="auto"/>
        </w:rPr>
      </w:pPr>
    </w:p>
    <w:p>
      <w:pPr>
        <w:jc w:val="both"/>
        <w:ind w:left="1300" w:hanging="644"/>
        <w:spacing w:after="0" w:line="225" w:lineRule="auto"/>
        <w:tabs>
          <w:tab w:leader="none" w:pos="1291" w:val="left"/>
        </w:tabs>
        <w:numPr>
          <w:ilvl w:val="0"/>
          <w:numId w:val="15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4"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15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jc w:val="both"/>
        <w:ind w:left="1300" w:hanging="644"/>
        <w:spacing w:after="0" w:line="219" w:lineRule="auto"/>
        <w:tabs>
          <w:tab w:leader="none" w:pos="1299" w:val="left"/>
        </w:tabs>
        <w:numPr>
          <w:ilvl w:val="0"/>
          <w:numId w:val="150"/>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Data Subject Rights</w:t>
      </w:r>
      <w:r>
        <w:rPr>
          <w:rFonts w:ascii="Arial" w:cs="Arial" w:eastAsia="Arial" w:hAnsi="Arial"/>
          <w:sz w:val="21"/>
          <w:szCs w:val="21"/>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11</w:t>
      </w:r>
    </w:p>
    <w:p>
      <w:pPr>
        <w:sectPr>
          <w:pgSz w:w="11900" w:h="16838" w:orient="portrait"/>
          <w:cols w:equalWidth="0" w:num="1">
            <w:col w:w="11240"/>
          </w:cols>
          <w:pgMar w:left="320" w:top="120" w:right="33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i w:val="1"/>
          <w:iCs w:val="1"/>
          <w:color w:val="auto"/>
        </w:rPr>
        <w:t>local data protection authority. Further, to receive clarification of, or to exercise any of, the Grantee’s rights, the Grantee understands that he or she should contact his or her local human resources representative.</w:t>
      </w:r>
    </w:p>
    <w:p>
      <w:pPr>
        <w:spacing w:after="0" w:line="45" w:lineRule="exact"/>
        <w:rPr>
          <w:sz w:val="20"/>
          <w:szCs w:val="20"/>
          <w:color w:val="auto"/>
        </w:rPr>
      </w:pPr>
    </w:p>
    <w:p>
      <w:pPr>
        <w:jc w:val="both"/>
        <w:ind w:left="1300" w:hanging="644"/>
        <w:spacing w:after="0" w:line="215" w:lineRule="auto"/>
        <w:tabs>
          <w:tab w:leader="none" w:pos="1291" w:val="left"/>
        </w:tabs>
        <w:numPr>
          <w:ilvl w:val="0"/>
          <w:numId w:val="151"/>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2"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12.</w:t>
      </w:r>
      <w:r>
        <w:rPr>
          <w:sz w:val="20"/>
          <w:szCs w:val="20"/>
          <w:color w:val="auto"/>
        </w:rPr>
        <w:tab/>
      </w:r>
      <w:r>
        <w:rPr>
          <w:rFonts w:ascii="Arial" w:cs="Arial" w:eastAsia="Arial" w:hAnsi="Arial"/>
          <w:sz w:val="23"/>
          <w:szCs w:val="23"/>
          <w:color w:val="auto"/>
        </w:rPr>
        <w:t>Additional Terms and Conditions</w:t>
      </w:r>
    </w:p>
    <w:p>
      <w:pPr>
        <w:spacing w:after="0" w:line="76" w:lineRule="exact"/>
        <w:rPr>
          <w:sz w:val="20"/>
          <w:szCs w:val="20"/>
          <w:color w:val="auto"/>
        </w:rPr>
      </w:pPr>
    </w:p>
    <w:p>
      <w:pPr>
        <w:jc w:val="both"/>
        <w:ind w:left="1300" w:hanging="644"/>
        <w:spacing w:after="0" w:line="211" w:lineRule="auto"/>
        <w:tabs>
          <w:tab w:leader="none" w:pos="1291"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69" w:lineRule="exact"/>
        <w:rPr>
          <w:rFonts w:ascii="Arial" w:cs="Arial" w:eastAsia="Arial" w:hAnsi="Arial"/>
          <w:sz w:val="22"/>
          <w:szCs w:val="22"/>
          <w:color w:val="auto"/>
        </w:rPr>
      </w:pPr>
    </w:p>
    <w:p>
      <w:pPr>
        <w:jc w:val="both"/>
        <w:ind w:left="1300" w:hanging="644"/>
        <w:spacing w:after="0" w:line="208" w:lineRule="auto"/>
        <w:tabs>
          <w:tab w:leader="none" w:pos="1291"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Performance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72" w:lineRule="exact"/>
        <w:rPr>
          <w:rFonts w:ascii="Arial" w:cs="Arial" w:eastAsia="Arial" w:hAnsi="Arial"/>
          <w:sz w:val="22"/>
          <w:szCs w:val="22"/>
          <w:color w:val="auto"/>
        </w:rPr>
      </w:pPr>
    </w:p>
    <w:p>
      <w:pPr>
        <w:jc w:val="both"/>
        <w:ind w:left="1300" w:hanging="644"/>
        <w:spacing w:after="0" w:line="210" w:lineRule="auto"/>
        <w:tabs>
          <w:tab w:leader="none" w:pos="1292"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0"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13.</w:t>
      </w:r>
      <w:r>
        <w:rPr>
          <w:sz w:val="20"/>
          <w:szCs w:val="20"/>
          <w:color w:val="auto"/>
        </w:rPr>
        <w:tab/>
      </w:r>
      <w:r>
        <w:rPr>
          <w:rFonts w:ascii="Arial" w:cs="Arial" w:eastAsia="Arial" w:hAnsi="Arial"/>
          <w:sz w:val="23"/>
          <w:szCs w:val="23"/>
          <w:color w:val="auto"/>
        </w:rPr>
        <w:t>Governing Law and Choice of Venue</w:t>
      </w:r>
    </w:p>
    <w:p>
      <w:pPr>
        <w:spacing w:after="0" w:line="76" w:lineRule="exact"/>
        <w:rPr>
          <w:sz w:val="20"/>
          <w:szCs w:val="20"/>
          <w:color w:val="auto"/>
        </w:rPr>
      </w:pPr>
    </w:p>
    <w:p>
      <w:pPr>
        <w:jc w:val="both"/>
        <w:ind w:left="400"/>
        <w:spacing w:after="0" w:line="218"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12</w:t>
      </w:r>
    </w:p>
    <w:p>
      <w:pPr>
        <w:sectPr>
          <w:pgSz w:w="11900" w:h="16838" w:orient="portrait"/>
          <w:cols w:equalWidth="0" w:num="1">
            <w:col w:w="11240"/>
          </w:cols>
          <w:pgMar w:left="320" w:top="120" w:right="3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14.</w:t>
      </w:r>
      <w:r>
        <w:rPr>
          <w:sz w:val="20"/>
          <w:szCs w:val="20"/>
          <w:color w:val="auto"/>
        </w:rPr>
        <w:tab/>
      </w:r>
      <w:r>
        <w:rPr>
          <w:rFonts w:ascii="Arial" w:cs="Arial" w:eastAsia="Arial" w:hAnsi="Arial"/>
          <w:sz w:val="23"/>
          <w:szCs w:val="23"/>
          <w:color w:val="auto"/>
        </w:rPr>
        <w:t>Miscellaneous Provisions</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71" w:lineRule="exact"/>
        <w:rPr>
          <w:rFonts w:ascii="Arial" w:cs="Arial" w:eastAsia="Arial" w:hAnsi="Arial"/>
          <w:sz w:val="21"/>
          <w:szCs w:val="21"/>
          <w:color w:val="auto"/>
        </w:rPr>
      </w:pPr>
    </w:p>
    <w:p>
      <w:pPr>
        <w:jc w:val="both"/>
        <w:ind w:left="1300" w:hanging="644"/>
        <w:spacing w:after="0" w:line="211" w:lineRule="auto"/>
        <w:tabs>
          <w:tab w:leader="none" w:pos="1291"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83" w:lineRule="exact"/>
        <w:rPr>
          <w:rFonts w:ascii="Arial" w:cs="Arial" w:eastAsia="Arial" w:hAnsi="Arial"/>
          <w:sz w:val="22"/>
          <w:szCs w:val="22"/>
          <w:color w:val="auto"/>
        </w:rPr>
      </w:pPr>
    </w:p>
    <w:p>
      <w:pPr>
        <w:jc w:val="both"/>
        <w:ind w:left="1300" w:hanging="644"/>
        <w:spacing w:after="0" w:line="218" w:lineRule="auto"/>
        <w:tabs>
          <w:tab w:leader="none" w:pos="1292"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80" w:lineRule="exact"/>
        <w:rPr>
          <w:rFonts w:ascii="Arial" w:cs="Arial" w:eastAsia="Arial" w:hAnsi="Arial"/>
          <w:sz w:val="22"/>
          <w:szCs w:val="22"/>
          <w:color w:val="auto"/>
        </w:rPr>
      </w:pPr>
    </w:p>
    <w:p>
      <w:pPr>
        <w:jc w:val="both"/>
        <w:ind w:left="1300" w:hanging="644"/>
        <w:spacing w:after="0" w:line="209" w:lineRule="auto"/>
        <w:tabs>
          <w:tab w:leader="none" w:pos="1292" w:val="left"/>
        </w:tabs>
        <w:numPr>
          <w:ilvl w:val="0"/>
          <w:numId w:val="153"/>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7" w:lineRule="exact"/>
        <w:rPr>
          <w:rFonts w:ascii="Arial" w:cs="Arial" w:eastAsia="Arial" w:hAnsi="Arial"/>
          <w:sz w:val="23"/>
          <w:szCs w:val="23"/>
          <w:color w:val="auto"/>
        </w:rPr>
      </w:pPr>
    </w:p>
    <w:p>
      <w:pPr>
        <w:ind w:left="1300"/>
        <w:spacing w:after="0" w:line="225" w:lineRule="auto"/>
        <w:rPr>
          <w:rFonts w:ascii="Arial" w:cs="Arial" w:eastAsia="Arial" w:hAnsi="Arial"/>
          <w:sz w:val="23"/>
          <w:szCs w:val="23"/>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79" w:lineRule="exact"/>
        <w:rPr>
          <w:rFonts w:ascii="Arial" w:cs="Arial" w:eastAsia="Arial" w:hAnsi="Arial"/>
          <w:sz w:val="23"/>
          <w:szCs w:val="23"/>
          <w:color w:val="auto"/>
        </w:rPr>
      </w:pPr>
    </w:p>
    <w:p>
      <w:pPr>
        <w:ind w:left="1300" w:hanging="644"/>
        <w:spacing w:after="0" w:line="220" w:lineRule="auto"/>
        <w:tabs>
          <w:tab w:leader="none" w:pos="1292" w:val="left"/>
        </w:tabs>
        <w:numPr>
          <w:ilvl w:val="0"/>
          <w:numId w:val="153"/>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13</w:t>
      </w:r>
    </w:p>
    <w:p>
      <w:pPr>
        <w:sectPr>
          <w:pgSz w:w="11900" w:h="16838" w:orient="portrait"/>
          <w:cols w:equalWidth="0" w:num="1">
            <w:col w:w="11240"/>
          </w:cols>
          <w:pgMar w:left="320" w:top="120" w:right="3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Eli Lilly and Company Performance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300"/>
        <w:spacing w:after="0" w:line="218" w:lineRule="auto"/>
        <w:rPr>
          <w:sz w:val="20"/>
          <w:szCs w:val="20"/>
          <w:color w:val="auto"/>
        </w:rPr>
      </w:pPr>
      <w:r>
        <w:rPr>
          <w:rFonts w:ascii="Arial" w:cs="Arial" w:eastAsia="Arial" w:hAnsi="Arial"/>
          <w:sz w:val="22"/>
          <w:szCs w:val="22"/>
          <w:color w:val="auto"/>
        </w:rPr>
        <w:t>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72"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15.</w:t>
      </w:r>
      <w:r>
        <w:rPr>
          <w:sz w:val="20"/>
          <w:szCs w:val="20"/>
          <w:color w:val="auto"/>
        </w:rPr>
        <w:tab/>
      </w:r>
      <w:r>
        <w:rPr>
          <w:rFonts w:ascii="Arial" w:cs="Arial" w:eastAsia="Arial" w:hAnsi="Arial"/>
          <w:sz w:val="23"/>
          <w:szCs w:val="23"/>
          <w:color w:val="auto"/>
        </w:rPr>
        <w:t>Award Subject to Acknowledgement of Acceptance</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325"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39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14</w:t>
      </w:r>
    </w:p>
    <w:p>
      <w:pPr>
        <w:sectPr>
          <w:pgSz w:w="11900" w:h="16838" w:orient="portrait"/>
          <w:cols w:equalWidth="0" w:num="1">
            <w:col w:w="11240"/>
          </w:cols>
          <w:pgMar w:left="320" w:top="120" w:right="339" w:bottom="1440" w:gutter="0" w:footer="0" w:header="0"/>
        </w:sectPr>
      </w:pPr>
    </w:p>
    <w:bookmarkStart w:id="192" w:name="page193"/>
    <w:bookmarkEnd w:id="192"/>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10.5 — Form of Shareholder Value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line="224" w:lineRule="auto"/>
        <w:rPr>
          <w:sz w:val="20"/>
          <w:szCs w:val="20"/>
          <w:color w:val="auto"/>
        </w:rPr>
      </w:pPr>
      <w:r>
        <w:rPr>
          <w:rFonts w:ascii="Arial" w:cs="Arial" w:eastAsia="Arial" w:hAnsi="Arial"/>
          <w:sz w:val="43"/>
          <w:szCs w:val="43"/>
          <w:color w:val="auto"/>
        </w:rPr>
        <w:t>Eli Lilly and Company Shareholder Value Award Agreement (for Executive Officers)</w:t>
      </w:r>
    </w:p>
    <w:p>
      <w:pPr>
        <w:spacing w:after="0" w:line="16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auto"/>
        </w:rPr>
        <w:t>Lilly Stock Price Performance Levels: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5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No Payout</w:t>
            </w:r>
          </w:p>
        </w:tc>
        <w:tc>
          <w:tcPr>
            <w:tcW w:w="12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22"/>
                <w:szCs w:val="22"/>
                <w:b w:val="1"/>
                <w:bCs w:val="1"/>
                <w:color w:val="auto"/>
              </w:rPr>
              <w:t>Level 1</w:t>
            </w:r>
          </w:p>
        </w:tc>
        <w:tc>
          <w:tcPr>
            <w:tcW w:w="130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Level 2</w:t>
            </w:r>
          </w:p>
        </w:tc>
        <w:tc>
          <w:tcPr>
            <w:tcW w:w="12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Level 3</w:t>
            </w:r>
          </w:p>
        </w:tc>
        <w:tc>
          <w:tcPr>
            <w:tcW w:w="142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22"/>
                <w:szCs w:val="22"/>
                <w:b w:val="1"/>
                <w:bCs w:val="1"/>
                <w:color w:val="auto"/>
              </w:rPr>
              <w:t>Level 4</w:t>
            </w:r>
          </w:p>
        </w:tc>
        <w:tc>
          <w:tcPr>
            <w:tcW w:w="12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Level 5</w:t>
            </w:r>
          </w:p>
        </w:tc>
        <w:tc>
          <w:tcPr>
            <w:tcW w:w="13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Level 6</w:t>
            </w:r>
          </w:p>
        </w:tc>
        <w:tc>
          <w:tcPr>
            <w:tcW w:w="0" w:type="dxa"/>
            <w:vAlign w:val="bottom"/>
          </w:tcPr>
          <w:p>
            <w:pPr>
              <w:spacing w:after="0"/>
              <w:rPr>
                <w:sz w:val="1"/>
                <w:szCs w:val="1"/>
                <w:color w:val="auto"/>
              </w:rPr>
            </w:pPr>
          </w:p>
        </w:tc>
      </w:tr>
      <w:tr>
        <w:trPr>
          <w:trHeight w:val="277"/>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Final Lilly</w:t>
            </w:r>
          </w:p>
        </w:tc>
        <w:tc>
          <w:tcPr>
            <w:tcW w:w="15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20"/>
                <w:szCs w:val="20"/>
                <w:color w:val="auto"/>
              </w:rPr>
              <w:t>&lt; $246.99</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$246.99 –</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$280.86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$314.72</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$348.59</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$382.46</w:t>
            </w:r>
          </w:p>
        </w:tc>
        <w:tc>
          <w:tcPr>
            <w:tcW w:w="130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20"/>
                <w:szCs w:val="20"/>
                <w:color w:val="auto"/>
              </w:rPr>
              <w:t>&gt;$416.32</w:t>
            </w:r>
          </w:p>
        </w:tc>
        <w:tc>
          <w:tcPr>
            <w:tcW w:w="0" w:type="dxa"/>
            <w:vAlign w:val="bottom"/>
          </w:tcPr>
          <w:p>
            <w:pPr>
              <w:spacing w:after="0"/>
              <w:rPr>
                <w:sz w:val="1"/>
                <w:szCs w:val="1"/>
                <w:color w:val="auto"/>
              </w:rPr>
            </w:pPr>
          </w:p>
        </w:tc>
      </w:tr>
      <w:tr>
        <w:trPr>
          <w:trHeight w:val="104"/>
        </w:trPr>
        <w:tc>
          <w:tcPr>
            <w:tcW w:w="1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Stock Price</w:t>
            </w:r>
          </w:p>
        </w:tc>
        <w:tc>
          <w:tcPr>
            <w:tcW w:w="15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$280.85</w:t>
            </w:r>
          </w:p>
        </w:tc>
        <w:tc>
          <w:tcPr>
            <w:tcW w:w="13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w:t>
            </w:r>
          </w:p>
        </w:tc>
        <w:tc>
          <w:tcPr>
            <w:tcW w:w="12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w:t>
            </w:r>
          </w:p>
        </w:tc>
        <w:tc>
          <w:tcPr>
            <w:tcW w:w="14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w:t>
            </w:r>
          </w:p>
        </w:tc>
        <w:tc>
          <w:tcPr>
            <w:tcW w:w="12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w:t>
            </w:r>
          </w:p>
        </w:tc>
        <w:tc>
          <w:tcPr>
            <w:tcW w:w="1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680" w:type="dxa"/>
            <w:vAlign w:val="bottom"/>
            <w:tcBorders>
              <w:left w:val="single" w:sz="8" w:color="auto"/>
              <w:right w:val="single" w:sz="8" w:color="auto"/>
            </w:tcBorders>
            <w:vMerge w:val="continue"/>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$314.71</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$348.58</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$382.45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$416.32</w:t>
            </w: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right w:val="single" w:sz="8" w:color="auto"/>
            </w:tcBorders>
            <w:vMerge w:val="continue"/>
          </w:tcPr>
          <w:p>
            <w:pPr>
              <w:spacing w:after="0"/>
              <w:rPr>
                <w:sz w:val="4"/>
                <w:szCs w:val="4"/>
                <w:color w:val="auto"/>
              </w:rPr>
            </w:pPr>
          </w:p>
        </w:tc>
        <w:tc>
          <w:tcPr>
            <w:tcW w:w="1420" w:type="dxa"/>
            <w:vAlign w:val="bottom"/>
            <w:tcBorders>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right w:val="single" w:sz="8" w:color="auto"/>
            </w:tcBorders>
            <w:vMerge w:val="continue"/>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22"/>
                <w:szCs w:val="22"/>
                <w:b w:val="1"/>
                <w:bCs w:val="1"/>
                <w:color w:val="auto"/>
              </w:rPr>
              <w:t>Percent of</w:t>
            </w:r>
          </w:p>
        </w:tc>
        <w:tc>
          <w:tcPr>
            <w:tcW w:w="1500" w:type="dxa"/>
            <w:vAlign w:val="bottom"/>
            <w:tcBorders>
              <w:right w:val="single" w:sz="8" w:color="auto"/>
            </w:tcBorders>
            <w:vMerge w:val="restart"/>
          </w:tcPr>
          <w:p>
            <w:pPr>
              <w:jc w:val="right"/>
              <w:ind w:right="518"/>
              <w:spacing w:after="0"/>
              <w:rPr>
                <w:sz w:val="20"/>
                <w:szCs w:val="20"/>
                <w:color w:val="auto"/>
              </w:rPr>
            </w:pPr>
            <w:r>
              <w:rPr>
                <w:rFonts w:ascii="Arial" w:cs="Arial" w:eastAsia="Arial" w:hAnsi="Arial"/>
                <w:sz w:val="20"/>
                <w:szCs w:val="20"/>
                <w:b w:val="1"/>
                <w:bCs w:val="1"/>
                <w:color w:val="auto"/>
              </w:rPr>
              <w:t>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50%</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75%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100%</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125%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150%</w:t>
            </w:r>
          </w:p>
        </w:tc>
        <w:tc>
          <w:tcPr>
            <w:tcW w:w="1300" w:type="dxa"/>
            <w:vAlign w:val="bottom"/>
            <w:tcBorders>
              <w:right w:val="single" w:sz="8" w:color="auto"/>
            </w:tcBorders>
            <w:vMerge w:val="restart"/>
          </w:tcPr>
          <w:p>
            <w:pPr>
              <w:jc w:val="right"/>
              <w:ind w:right="298"/>
              <w:spacing w:after="0"/>
              <w:rPr>
                <w:sz w:val="20"/>
                <w:szCs w:val="20"/>
                <w:color w:val="auto"/>
              </w:rPr>
            </w:pPr>
            <w:r>
              <w:rPr>
                <w:rFonts w:ascii="Arial" w:cs="Arial" w:eastAsia="Arial" w:hAnsi="Arial"/>
                <w:sz w:val="20"/>
                <w:szCs w:val="20"/>
                <w:b w:val="1"/>
                <w:bCs w:val="1"/>
                <w:color w:val="auto"/>
              </w:rPr>
              <w:t>175%</w:t>
            </w:r>
          </w:p>
        </w:tc>
        <w:tc>
          <w:tcPr>
            <w:tcW w:w="0" w:type="dxa"/>
            <w:vAlign w:val="bottom"/>
          </w:tcPr>
          <w:p>
            <w:pPr>
              <w:spacing w:after="0"/>
              <w:rPr>
                <w:sz w:val="1"/>
                <w:szCs w:val="1"/>
                <w:color w:val="auto"/>
              </w:rPr>
            </w:pPr>
          </w:p>
        </w:tc>
      </w:tr>
      <w:tr>
        <w:trPr>
          <w:trHeight w:val="166"/>
        </w:trPr>
        <w:tc>
          <w:tcPr>
            <w:tcW w:w="1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Target</w:t>
            </w:r>
          </w:p>
        </w:tc>
        <w:tc>
          <w:tcPr>
            <w:tcW w:w="150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6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tabs>
          <w:tab w:leader="none" w:pos="2640" w:val="left"/>
        </w:tabs>
        <w:rPr>
          <w:sz w:val="20"/>
          <w:szCs w:val="20"/>
          <w:color w:val="auto"/>
        </w:rPr>
      </w:pPr>
      <w:r>
        <w:rPr>
          <w:rFonts w:ascii="Arial" w:cs="Arial" w:eastAsia="Arial" w:hAnsi="Arial"/>
          <w:sz w:val="25"/>
          <w:szCs w:val="25"/>
          <w:color w:val="auto"/>
        </w:rPr>
        <w:t>Performance Period:</w:t>
        <w:tab/>
        <w:t>January 1, 2022 – December 31, 2024</w:t>
      </w:r>
    </w:p>
    <w:p>
      <w:pPr>
        <w:sectPr>
          <w:pgSz w:w="11900" w:h="16838" w:orient="portrait"/>
          <w:cols w:equalWidth="0" w:num="1">
            <w:col w:w="11240"/>
          </w:cols>
          <w:pgMar w:left="320" w:top="1440" w:right="3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39"/>
        <w:spacing w:after="0"/>
        <w:rPr>
          <w:sz w:val="20"/>
          <w:szCs w:val="20"/>
          <w:color w:val="auto"/>
        </w:rPr>
      </w:pPr>
      <w:r>
        <w:rPr>
          <w:rFonts w:ascii="Arial" w:cs="Arial" w:eastAsia="Arial" w:hAnsi="Arial"/>
          <w:sz w:val="25"/>
          <w:szCs w:val="25"/>
          <w:color w:val="auto"/>
        </w:rPr>
        <w:t>Table of Contents</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9300" w:type="dxa"/>
            <w:vAlign w:val="bottom"/>
            <w:gridSpan w:val="3"/>
          </w:tcPr>
          <w:p>
            <w:pPr>
              <w:spacing w:after="0"/>
              <w:rPr>
                <w:sz w:val="20"/>
                <w:szCs w:val="20"/>
                <w:color w:val="auto"/>
              </w:rPr>
            </w:pPr>
            <w:r>
              <w:rPr>
                <w:rFonts w:ascii="Arial" w:cs="Arial" w:eastAsia="Arial" w:hAnsi="Arial"/>
                <w:sz w:val="22"/>
                <w:szCs w:val="22"/>
                <w:color w:val="auto"/>
              </w:rPr>
              <w:t>Section 1.  Grant of Shareholder Value Award</w:t>
            </w:r>
          </w:p>
        </w:tc>
        <w:tc>
          <w:tcPr>
            <w:tcW w:w="1420" w:type="dxa"/>
            <w:vAlign w:val="bottom"/>
          </w:tcPr>
          <w:p>
            <w:pPr>
              <w:ind w:left="1180"/>
              <w:spacing w:after="0"/>
              <w:rPr>
                <w:sz w:val="20"/>
                <w:szCs w:val="20"/>
                <w:color w:val="auto"/>
              </w:rPr>
            </w:pPr>
            <w:r>
              <w:rPr>
                <w:rFonts w:ascii="Arial" w:cs="Arial" w:eastAsia="Arial" w:hAnsi="Arial"/>
                <w:sz w:val="22"/>
                <w:szCs w:val="22"/>
                <w:color w:val="auto"/>
              </w:rPr>
              <w:t>3</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Arial" w:cs="Arial" w:eastAsia="Arial" w:hAnsi="Arial"/>
                <w:sz w:val="22"/>
                <w:szCs w:val="22"/>
                <w:color w:val="auto"/>
              </w:rPr>
              <w:t>Vesting</w:t>
            </w:r>
          </w:p>
        </w:tc>
        <w:tc>
          <w:tcPr>
            <w:tcW w:w="1420" w:type="dxa"/>
            <w:vAlign w:val="bottom"/>
          </w:tcPr>
          <w:p>
            <w:pPr>
              <w:ind w:left="1180"/>
              <w:spacing w:after="0"/>
              <w:rPr>
                <w:sz w:val="20"/>
                <w:szCs w:val="20"/>
                <w:color w:val="auto"/>
              </w:rPr>
            </w:pPr>
            <w:r>
              <w:rPr>
                <w:rFonts w:ascii="Arial" w:cs="Arial" w:eastAsia="Arial" w:hAnsi="Arial"/>
                <w:sz w:val="22"/>
                <w:szCs w:val="22"/>
                <w:color w:val="auto"/>
              </w:rPr>
              <w:t>3</w:t>
            </w:r>
          </w:p>
        </w:tc>
      </w:tr>
      <w:tr>
        <w:trPr>
          <w:trHeight w:val="310"/>
        </w:trPr>
        <w:tc>
          <w:tcPr>
            <w:tcW w:w="9300" w:type="dxa"/>
            <w:vAlign w:val="bottom"/>
            <w:gridSpan w:val="3"/>
          </w:tcPr>
          <w:p>
            <w:pPr>
              <w:spacing w:after="0"/>
              <w:rPr>
                <w:sz w:val="20"/>
                <w:szCs w:val="20"/>
                <w:color w:val="auto"/>
              </w:rPr>
            </w:pPr>
            <w:r>
              <w:rPr>
                <w:rFonts w:ascii="Arial" w:cs="Arial" w:eastAsia="Arial" w:hAnsi="Arial"/>
                <w:sz w:val="22"/>
                <w:szCs w:val="22"/>
                <w:color w:val="auto"/>
              </w:rPr>
              <w:t>Section 3.  Impact of Certain Employment Status Changes</w:t>
            </w:r>
          </w:p>
        </w:tc>
        <w:tc>
          <w:tcPr>
            <w:tcW w:w="1420" w:type="dxa"/>
            <w:vAlign w:val="bottom"/>
          </w:tcPr>
          <w:p>
            <w:pPr>
              <w:ind w:left="1180"/>
              <w:spacing w:after="0"/>
              <w:rPr>
                <w:sz w:val="20"/>
                <w:szCs w:val="20"/>
                <w:color w:val="auto"/>
              </w:rPr>
            </w:pPr>
            <w:r>
              <w:rPr>
                <w:rFonts w:ascii="Arial" w:cs="Arial" w:eastAsia="Arial" w:hAnsi="Arial"/>
                <w:sz w:val="22"/>
                <w:szCs w:val="22"/>
                <w:color w:val="auto"/>
              </w:rPr>
              <w:t>3</w:t>
            </w:r>
          </w:p>
        </w:tc>
      </w:tr>
      <w:tr>
        <w:trPr>
          <w:trHeight w:val="311"/>
        </w:trPr>
        <w:tc>
          <w:tcPr>
            <w:tcW w:w="9300" w:type="dxa"/>
            <w:vAlign w:val="bottom"/>
            <w:gridSpan w:val="3"/>
          </w:tcPr>
          <w:p>
            <w:pPr>
              <w:spacing w:after="0"/>
              <w:rPr>
                <w:sz w:val="20"/>
                <w:szCs w:val="20"/>
                <w:color w:val="auto"/>
              </w:rPr>
            </w:pPr>
            <w:r>
              <w:rPr>
                <w:rFonts w:ascii="Arial" w:cs="Arial" w:eastAsia="Arial" w:hAnsi="Arial"/>
                <w:sz w:val="22"/>
                <w:szCs w:val="22"/>
                <w:color w:val="auto"/>
              </w:rPr>
              <w:t>Section 4.  Change in Control</w:t>
            </w:r>
          </w:p>
        </w:tc>
        <w:tc>
          <w:tcPr>
            <w:tcW w:w="1420" w:type="dxa"/>
            <w:vAlign w:val="bottom"/>
          </w:tcPr>
          <w:p>
            <w:pPr>
              <w:ind w:left="1180"/>
              <w:spacing w:after="0"/>
              <w:rPr>
                <w:sz w:val="20"/>
                <w:szCs w:val="20"/>
                <w:color w:val="auto"/>
              </w:rPr>
            </w:pPr>
            <w:r>
              <w:rPr>
                <w:rFonts w:ascii="Arial" w:cs="Arial" w:eastAsia="Arial" w:hAnsi="Arial"/>
                <w:sz w:val="22"/>
                <w:szCs w:val="22"/>
                <w:color w:val="auto"/>
              </w:rPr>
              <w:t>5</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1420" w:type="dxa"/>
            <w:vAlign w:val="bottom"/>
          </w:tcPr>
          <w:p>
            <w:pPr>
              <w:ind w:left="1180"/>
              <w:spacing w:after="0"/>
              <w:rPr>
                <w:sz w:val="20"/>
                <w:szCs w:val="20"/>
                <w:color w:val="auto"/>
              </w:rPr>
            </w:pPr>
            <w:r>
              <w:rPr>
                <w:rFonts w:ascii="Arial" w:cs="Arial" w:eastAsia="Arial" w:hAnsi="Arial"/>
                <w:sz w:val="22"/>
                <w:szCs w:val="22"/>
                <w:color w:val="auto"/>
              </w:rPr>
              <w:t>5</w:t>
            </w:r>
          </w:p>
        </w:tc>
      </w:tr>
      <w:tr>
        <w:trPr>
          <w:trHeight w:val="310"/>
        </w:trPr>
        <w:tc>
          <w:tcPr>
            <w:tcW w:w="9300" w:type="dxa"/>
            <w:vAlign w:val="bottom"/>
            <w:gridSpan w:val="3"/>
          </w:tcPr>
          <w:p>
            <w:pPr>
              <w:spacing w:after="0"/>
              <w:rPr>
                <w:sz w:val="20"/>
                <w:szCs w:val="20"/>
                <w:color w:val="auto"/>
              </w:rPr>
            </w:pPr>
            <w:r>
              <w:rPr>
                <w:rFonts w:ascii="Arial" w:cs="Arial" w:eastAsia="Arial" w:hAnsi="Arial"/>
                <w:sz w:val="22"/>
                <w:szCs w:val="22"/>
                <w:color w:val="auto"/>
              </w:rPr>
              <w:t>Section 6.  Rights of the Grantee</w:t>
            </w:r>
          </w:p>
        </w:tc>
        <w:tc>
          <w:tcPr>
            <w:tcW w:w="1420" w:type="dxa"/>
            <w:vAlign w:val="bottom"/>
          </w:tcPr>
          <w:p>
            <w:pPr>
              <w:ind w:left="1180"/>
              <w:spacing w:after="0"/>
              <w:rPr>
                <w:sz w:val="20"/>
                <w:szCs w:val="20"/>
                <w:color w:val="auto"/>
              </w:rPr>
            </w:pPr>
            <w:r>
              <w:rPr>
                <w:rFonts w:ascii="Arial" w:cs="Arial" w:eastAsia="Arial" w:hAnsi="Arial"/>
                <w:sz w:val="22"/>
                <w:szCs w:val="22"/>
                <w:color w:val="auto"/>
              </w:rPr>
              <w:t>6</w:t>
            </w:r>
          </w:p>
        </w:tc>
      </w:tr>
      <w:tr>
        <w:trPr>
          <w:trHeight w:val="311"/>
        </w:trPr>
        <w:tc>
          <w:tcPr>
            <w:tcW w:w="9300" w:type="dxa"/>
            <w:vAlign w:val="bottom"/>
            <w:gridSpan w:val="3"/>
          </w:tcPr>
          <w:p>
            <w:pPr>
              <w:spacing w:after="0"/>
              <w:rPr>
                <w:sz w:val="20"/>
                <w:szCs w:val="20"/>
                <w:color w:val="auto"/>
              </w:rPr>
            </w:pPr>
            <w:r>
              <w:rPr>
                <w:rFonts w:ascii="Arial" w:cs="Arial" w:eastAsia="Arial" w:hAnsi="Arial"/>
                <w:sz w:val="22"/>
                <w:szCs w:val="22"/>
                <w:color w:val="auto"/>
              </w:rPr>
              <w:t>Section 7.  Prohibition Against Transfer</w:t>
            </w:r>
          </w:p>
        </w:tc>
        <w:tc>
          <w:tcPr>
            <w:tcW w:w="1420" w:type="dxa"/>
            <w:vAlign w:val="bottom"/>
          </w:tcPr>
          <w:p>
            <w:pPr>
              <w:ind w:left="1180"/>
              <w:spacing w:after="0"/>
              <w:rPr>
                <w:sz w:val="20"/>
                <w:szCs w:val="20"/>
                <w:color w:val="auto"/>
              </w:rPr>
            </w:pPr>
            <w:r>
              <w:rPr>
                <w:rFonts w:ascii="Arial" w:cs="Arial" w:eastAsia="Arial" w:hAnsi="Arial"/>
                <w:sz w:val="22"/>
                <w:szCs w:val="22"/>
                <w:color w:val="auto"/>
              </w:rPr>
              <w:t>6</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8.</w:t>
            </w:r>
          </w:p>
        </w:tc>
        <w:tc>
          <w:tcPr>
            <w:tcW w:w="8220" w:type="dxa"/>
            <w:vAlign w:val="bottom"/>
            <w:gridSpan w:val="2"/>
          </w:tcPr>
          <w:p>
            <w:pPr>
              <w:ind w:left="120"/>
              <w:spacing w:after="0"/>
              <w:rPr>
                <w:sz w:val="20"/>
                <w:szCs w:val="20"/>
                <w:color w:val="auto"/>
              </w:rPr>
            </w:pPr>
            <w:r>
              <w:rPr>
                <w:rFonts w:ascii="Arial" w:cs="Arial" w:eastAsia="Arial" w:hAnsi="Arial"/>
                <w:sz w:val="22"/>
                <w:szCs w:val="22"/>
                <w:color w:val="auto"/>
              </w:rPr>
              <w:t>Responsibility for Taxes</w:t>
            </w:r>
          </w:p>
        </w:tc>
        <w:tc>
          <w:tcPr>
            <w:tcW w:w="1420" w:type="dxa"/>
            <w:vAlign w:val="bottom"/>
          </w:tcPr>
          <w:p>
            <w:pPr>
              <w:ind w:left="1180"/>
              <w:spacing w:after="0"/>
              <w:rPr>
                <w:sz w:val="20"/>
                <w:szCs w:val="20"/>
                <w:color w:val="auto"/>
              </w:rPr>
            </w:pPr>
            <w:r>
              <w:rPr>
                <w:rFonts w:ascii="Arial" w:cs="Arial" w:eastAsia="Arial" w:hAnsi="Arial"/>
                <w:sz w:val="22"/>
                <w:szCs w:val="22"/>
                <w:color w:val="auto"/>
              </w:rPr>
              <w:t>6</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9.</w:t>
            </w:r>
          </w:p>
        </w:tc>
        <w:tc>
          <w:tcPr>
            <w:tcW w:w="822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1420" w:type="dxa"/>
            <w:vAlign w:val="bottom"/>
          </w:tcPr>
          <w:p>
            <w:pPr>
              <w:ind w:left="1180"/>
              <w:spacing w:after="0"/>
              <w:rPr>
                <w:sz w:val="20"/>
                <w:szCs w:val="20"/>
                <w:color w:val="auto"/>
              </w:rPr>
            </w:pPr>
            <w:r>
              <w:rPr>
                <w:rFonts w:ascii="Arial" w:cs="Arial" w:eastAsia="Arial" w:hAnsi="Arial"/>
                <w:sz w:val="22"/>
                <w:szCs w:val="22"/>
                <w:color w:val="auto"/>
              </w:rPr>
              <w:t>8</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10.</w:t>
            </w:r>
          </w:p>
        </w:tc>
        <w:tc>
          <w:tcPr>
            <w:tcW w:w="8160" w:type="dxa"/>
            <w:vAlign w:val="bottom"/>
          </w:tcPr>
          <w:p>
            <w:pPr>
              <w:ind w:left="180"/>
              <w:spacing w:after="0"/>
              <w:rPr>
                <w:sz w:val="20"/>
                <w:szCs w:val="20"/>
                <w:color w:val="auto"/>
              </w:rPr>
            </w:pPr>
            <w:r>
              <w:rPr>
                <w:rFonts w:ascii="Arial" w:cs="Arial" w:eastAsia="Arial" w:hAnsi="Arial"/>
                <w:sz w:val="22"/>
                <w:szCs w:val="22"/>
                <w:color w:val="auto"/>
              </w:rPr>
              <w:t>Grantee’s Acknowledgment</w:t>
            </w:r>
          </w:p>
        </w:tc>
        <w:tc>
          <w:tcPr>
            <w:tcW w:w="1420" w:type="dxa"/>
            <w:vAlign w:val="bottom"/>
          </w:tcPr>
          <w:p>
            <w:pPr>
              <w:ind w:left="1180"/>
              <w:spacing w:after="0"/>
              <w:rPr>
                <w:sz w:val="20"/>
                <w:szCs w:val="20"/>
                <w:color w:val="auto"/>
              </w:rPr>
            </w:pPr>
            <w:r>
              <w:rPr>
                <w:rFonts w:ascii="Arial" w:cs="Arial" w:eastAsia="Arial" w:hAnsi="Arial"/>
                <w:sz w:val="22"/>
                <w:szCs w:val="22"/>
                <w:color w:val="auto"/>
              </w:rPr>
              <w:t>8</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11.</w:t>
            </w:r>
          </w:p>
        </w:tc>
        <w:tc>
          <w:tcPr>
            <w:tcW w:w="816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1420" w:type="dxa"/>
            <w:vAlign w:val="bottom"/>
          </w:tcPr>
          <w:p>
            <w:pPr>
              <w:ind w:left="1180"/>
              <w:spacing w:after="0"/>
              <w:rPr>
                <w:sz w:val="20"/>
                <w:szCs w:val="20"/>
                <w:color w:val="auto"/>
              </w:rPr>
            </w:pPr>
            <w:r>
              <w:rPr>
                <w:rFonts w:ascii="Arial" w:cs="Arial" w:eastAsia="Arial" w:hAnsi="Arial"/>
                <w:sz w:val="22"/>
                <w:szCs w:val="22"/>
                <w:color w:val="auto"/>
              </w:rPr>
              <w:t>9</w:t>
            </w:r>
          </w:p>
        </w:tc>
      </w:tr>
      <w:tr>
        <w:trPr>
          <w:trHeight w:val="310"/>
        </w:trPr>
        <w:tc>
          <w:tcPr>
            <w:tcW w:w="9300" w:type="dxa"/>
            <w:vAlign w:val="bottom"/>
            <w:gridSpan w:val="3"/>
          </w:tcPr>
          <w:p>
            <w:pPr>
              <w:spacing w:after="0"/>
              <w:rPr>
                <w:sz w:val="20"/>
                <w:szCs w:val="20"/>
                <w:color w:val="auto"/>
              </w:rPr>
            </w:pPr>
            <w:r>
              <w:rPr>
                <w:rFonts w:ascii="Arial" w:cs="Arial" w:eastAsia="Arial" w:hAnsi="Arial"/>
                <w:sz w:val="22"/>
                <w:szCs w:val="22"/>
                <w:color w:val="auto"/>
              </w:rPr>
              <w:t>Section 12.  Restrictive Covenants, Remedies, and Additional Terms and Conditions</w:t>
            </w:r>
          </w:p>
        </w:tc>
        <w:tc>
          <w:tcPr>
            <w:tcW w:w="1420" w:type="dxa"/>
            <w:vAlign w:val="bottom"/>
          </w:tcPr>
          <w:p>
            <w:pPr>
              <w:ind w:left="1180"/>
              <w:spacing w:after="0"/>
              <w:rPr>
                <w:sz w:val="20"/>
                <w:szCs w:val="20"/>
                <w:color w:val="auto"/>
              </w:rPr>
            </w:pPr>
            <w:r>
              <w:rPr>
                <w:rFonts w:ascii="Arial" w:cs="Arial" w:eastAsia="Arial" w:hAnsi="Arial"/>
                <w:sz w:val="22"/>
                <w:szCs w:val="22"/>
                <w:color w:val="auto"/>
                <w:w w:val="89"/>
              </w:rPr>
              <w:t>11</w:t>
            </w:r>
          </w:p>
        </w:tc>
      </w:tr>
      <w:tr>
        <w:trPr>
          <w:trHeight w:val="310"/>
        </w:trPr>
        <w:tc>
          <w:tcPr>
            <w:tcW w:w="9300" w:type="dxa"/>
            <w:vAlign w:val="bottom"/>
            <w:gridSpan w:val="3"/>
          </w:tcPr>
          <w:p>
            <w:pPr>
              <w:spacing w:after="0"/>
              <w:rPr>
                <w:sz w:val="20"/>
                <w:szCs w:val="20"/>
                <w:color w:val="auto"/>
              </w:rPr>
            </w:pPr>
            <w:r>
              <w:rPr>
                <w:rFonts w:ascii="Arial" w:cs="Arial" w:eastAsia="Arial" w:hAnsi="Arial"/>
                <w:sz w:val="22"/>
                <w:szCs w:val="22"/>
                <w:color w:val="auto"/>
              </w:rPr>
              <w:t>Section 13.  Governing Law and Choice of Venue</w:t>
            </w:r>
          </w:p>
        </w:tc>
        <w:tc>
          <w:tcPr>
            <w:tcW w:w="1420" w:type="dxa"/>
            <w:vAlign w:val="bottom"/>
          </w:tcPr>
          <w:p>
            <w:pPr>
              <w:ind w:left="1180"/>
              <w:spacing w:after="0"/>
              <w:rPr>
                <w:sz w:val="20"/>
                <w:szCs w:val="20"/>
                <w:color w:val="auto"/>
              </w:rPr>
            </w:pPr>
            <w:r>
              <w:rPr>
                <w:rFonts w:ascii="Arial" w:cs="Arial" w:eastAsia="Arial" w:hAnsi="Arial"/>
                <w:sz w:val="22"/>
                <w:szCs w:val="22"/>
                <w:color w:val="auto"/>
                <w:w w:val="89"/>
              </w:rPr>
              <w:t>11</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14.</w:t>
            </w:r>
          </w:p>
        </w:tc>
        <w:tc>
          <w:tcPr>
            <w:tcW w:w="816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1420" w:type="dxa"/>
            <w:vAlign w:val="bottom"/>
          </w:tcPr>
          <w:p>
            <w:pPr>
              <w:ind w:left="1180"/>
              <w:spacing w:after="0"/>
              <w:rPr>
                <w:sz w:val="20"/>
                <w:szCs w:val="20"/>
                <w:color w:val="auto"/>
              </w:rPr>
            </w:pPr>
            <w:r>
              <w:rPr>
                <w:rFonts w:ascii="Arial" w:cs="Arial" w:eastAsia="Arial" w:hAnsi="Arial"/>
                <w:sz w:val="22"/>
                <w:szCs w:val="22"/>
                <w:color w:val="auto"/>
                <w:w w:val="89"/>
              </w:rPr>
              <w:t>11</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15.</w:t>
            </w:r>
          </w:p>
        </w:tc>
        <w:tc>
          <w:tcPr>
            <w:tcW w:w="8160" w:type="dxa"/>
            <w:vAlign w:val="bottom"/>
          </w:tcPr>
          <w:p>
            <w:pPr>
              <w:ind w:left="180"/>
              <w:spacing w:after="0"/>
              <w:rPr>
                <w:sz w:val="20"/>
                <w:szCs w:val="20"/>
                <w:color w:val="auto"/>
              </w:rPr>
            </w:pPr>
            <w:r>
              <w:rPr>
                <w:rFonts w:ascii="Arial" w:cs="Arial" w:eastAsia="Arial" w:hAnsi="Arial"/>
                <w:sz w:val="22"/>
                <w:szCs w:val="22"/>
                <w:color w:val="auto"/>
              </w:rPr>
              <w:t>Compensation Recovery</w:t>
            </w:r>
          </w:p>
        </w:tc>
        <w:tc>
          <w:tcPr>
            <w:tcW w:w="1420" w:type="dxa"/>
            <w:vAlign w:val="bottom"/>
          </w:tcPr>
          <w:p>
            <w:pPr>
              <w:ind w:left="1180"/>
              <w:spacing w:after="0"/>
              <w:rPr>
                <w:sz w:val="20"/>
                <w:szCs w:val="20"/>
                <w:color w:val="auto"/>
              </w:rPr>
            </w:pPr>
            <w:r>
              <w:rPr>
                <w:rFonts w:ascii="Arial" w:cs="Arial" w:eastAsia="Arial" w:hAnsi="Arial"/>
                <w:sz w:val="22"/>
                <w:szCs w:val="22"/>
                <w:color w:val="auto"/>
                <w:w w:val="89"/>
              </w:rPr>
              <w:t>12</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16.</w:t>
            </w:r>
          </w:p>
        </w:tc>
        <w:tc>
          <w:tcPr>
            <w:tcW w:w="8160" w:type="dxa"/>
            <w:vAlign w:val="bottom"/>
          </w:tcPr>
          <w:p>
            <w:pPr>
              <w:ind w:left="160"/>
              <w:spacing w:after="0"/>
              <w:rPr>
                <w:sz w:val="20"/>
                <w:szCs w:val="20"/>
                <w:color w:val="auto"/>
              </w:rPr>
            </w:pPr>
            <w:r>
              <w:rPr>
                <w:rFonts w:ascii="Arial" w:cs="Arial" w:eastAsia="Arial" w:hAnsi="Arial"/>
                <w:sz w:val="22"/>
                <w:szCs w:val="22"/>
                <w:color w:val="auto"/>
              </w:rPr>
              <w:t>Award Subject to Acknowledgement of Acceptance</w:t>
            </w:r>
          </w:p>
        </w:tc>
        <w:tc>
          <w:tcPr>
            <w:tcW w:w="1420" w:type="dxa"/>
            <w:vAlign w:val="bottom"/>
          </w:tcPr>
          <w:p>
            <w:pPr>
              <w:ind w:left="1180"/>
              <w:spacing w:after="0"/>
              <w:rPr>
                <w:sz w:val="20"/>
                <w:szCs w:val="20"/>
                <w:color w:val="auto"/>
              </w:rPr>
            </w:pPr>
            <w:r>
              <w:rPr>
                <w:rFonts w:ascii="Arial" w:cs="Arial" w:eastAsia="Arial" w:hAnsi="Arial"/>
                <w:sz w:val="22"/>
                <w:szCs w:val="22"/>
                <w:color w:val="auto"/>
                <w:w w:val="89"/>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Page 2</w:t>
      </w:r>
    </w:p>
    <w:p>
      <w:pPr>
        <w:sectPr>
          <w:pgSz w:w="11900" w:h="16838" w:orient="portrait"/>
          <w:cols w:equalWidth="0" w:num="1">
            <w:col w:w="10800"/>
          </w:cols>
          <w:pgMar w:left="320" w:top="363" w:right="77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1.</w:t>
        <w:tab/>
        <w:t>Grant of Shareholder Value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0000FF"/>
        </w:rPr>
        <w:t>http://myequity.lilly.com</w:t>
      </w:r>
      <w:r>
        <w:rPr>
          <w:rFonts w:ascii="Arial" w:cs="Arial" w:eastAsia="Arial" w:hAnsi="Arial"/>
          <w:sz w:val="22"/>
          <w:szCs w:val="22"/>
          <w:color w:val="auto"/>
        </w:rPr>
        <w:t xml:space="preserve"> (the "Target Number of Shares").</w:t>
      </w:r>
    </w:p>
    <w:p>
      <w:pPr>
        <w:spacing w:after="0" w:line="65"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w:t>
      </w:r>
    </w:p>
    <w:p>
      <w:pPr>
        <w:spacing w:after="0" w:line="201" w:lineRule="exact"/>
        <w:rPr>
          <w:sz w:val="20"/>
          <w:szCs w:val="20"/>
          <w:color w:val="auto"/>
        </w:rPr>
      </w:pPr>
    </w:p>
    <w:p>
      <w:pPr>
        <w:jc w:val="both"/>
        <w:ind w:left="42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22"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66"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67" w:lineRule="exact"/>
        <w:rPr>
          <w:sz w:val="20"/>
          <w:szCs w:val="20"/>
          <w:color w:val="auto"/>
        </w:rPr>
      </w:pPr>
    </w:p>
    <w:p>
      <w:pPr>
        <w:jc w:val="both"/>
        <w:ind w:left="420" w:right="20"/>
        <w:spacing w:after="0" w:line="225"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76"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Death; Disability</w:t>
      </w:r>
      <w:r>
        <w:rPr>
          <w:rFonts w:ascii="Arial" w:cs="Arial" w:eastAsia="Arial" w:hAnsi="Arial"/>
          <w:sz w:val="22"/>
          <w:szCs w:val="22"/>
          <w:color w:val="auto"/>
        </w:rPr>
        <w:t>. In the event the Grantee’s Service is terminated (i) due to the Grantee’s death, or (ii) by reason of Grantee’s Disability,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spacing w:after="0" w:line="213" w:lineRule="auto"/>
        <w:rPr>
          <w:rFonts w:ascii="Arial" w:cs="Arial" w:eastAsia="Arial" w:hAnsi="Arial"/>
          <w:sz w:val="22"/>
          <w:szCs w:val="22"/>
          <w:color w:val="auto"/>
        </w:rPr>
      </w:pPr>
      <w:r>
        <w:rPr>
          <w:rFonts w:ascii="Arial" w:cs="Arial" w:eastAsia="Arial" w:hAnsi="Arial"/>
          <w:sz w:val="22"/>
          <w:szCs w:val="22"/>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w:t>
      </w:r>
    </w:p>
    <w:p>
      <w:pPr>
        <w:sectPr>
          <w:pgSz w:w="11900" w:h="16838" w:orient="portrait"/>
          <w:cols w:equalWidth="0" w:num="1">
            <w:col w:w="11240"/>
          </w:cols>
          <w:pgMar w:left="320" w:top="363" w:right="3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6" w:lineRule="exact"/>
        <w:rPr>
          <w:sz w:val="20"/>
          <w:szCs w:val="20"/>
          <w:color w:val="auto"/>
        </w:rPr>
      </w:pPr>
    </w:p>
    <w:p>
      <w:pPr>
        <w:jc w:val="both"/>
        <w:ind w:left="1300" w:hanging="644"/>
        <w:spacing w:after="0" w:line="215" w:lineRule="auto"/>
        <w:tabs>
          <w:tab w:leader="none" w:pos="1292"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65" w:lineRule="exact"/>
        <w:rPr>
          <w:rFonts w:ascii="Arial" w:cs="Arial" w:eastAsia="Arial" w:hAnsi="Arial"/>
          <w:sz w:val="22"/>
          <w:szCs w:val="22"/>
          <w:color w:val="auto"/>
        </w:rPr>
      </w:pPr>
    </w:p>
    <w:p>
      <w:pPr>
        <w:ind w:left="1300" w:right="20"/>
        <w:spacing w:after="0" w:line="225" w:lineRule="auto"/>
        <w:rPr>
          <w:rFonts w:ascii="Arial" w:cs="Arial" w:eastAsia="Arial" w:hAnsi="Arial"/>
          <w:sz w:val="22"/>
          <w:szCs w:val="22"/>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65" w:lineRule="exact"/>
        <w:rPr>
          <w:rFonts w:ascii="Arial" w:cs="Arial" w:eastAsia="Arial" w:hAnsi="Arial"/>
          <w:sz w:val="22"/>
          <w:szCs w:val="22"/>
          <w:color w:val="auto"/>
        </w:rPr>
      </w:pPr>
    </w:p>
    <w:p>
      <w:pPr>
        <w:jc w:val="both"/>
        <w:ind w:left="1960" w:hanging="332"/>
        <w:spacing w:after="0" w:line="211" w:lineRule="auto"/>
        <w:tabs>
          <w:tab w:leader="none" w:pos="19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9" w:lineRule="exact"/>
        <w:rPr>
          <w:rFonts w:ascii="Arial" w:cs="Arial" w:eastAsia="Arial" w:hAnsi="Arial"/>
          <w:sz w:val="22"/>
          <w:szCs w:val="22"/>
          <w:color w:val="auto"/>
        </w:rPr>
      </w:pPr>
    </w:p>
    <w:p>
      <w:pPr>
        <w:ind w:left="1960" w:right="20" w:hanging="332"/>
        <w:spacing w:after="0" w:line="225" w:lineRule="auto"/>
        <w:tabs>
          <w:tab w:leader="none" w:pos="195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Grantee’s Service is terminated due to a plant closing or reduction in workforce (as defined below);</w:t>
      </w:r>
    </w:p>
    <w:p>
      <w:pPr>
        <w:spacing w:after="0" w:line="65" w:lineRule="exact"/>
        <w:rPr>
          <w:rFonts w:ascii="Arial" w:cs="Arial" w:eastAsia="Arial" w:hAnsi="Arial"/>
          <w:sz w:val="22"/>
          <w:szCs w:val="22"/>
          <w:color w:val="auto"/>
        </w:rPr>
      </w:pPr>
    </w:p>
    <w:p>
      <w:pPr>
        <w:jc w:val="both"/>
        <w:ind w:left="1960" w:hanging="332"/>
        <w:spacing w:after="0" w:line="218" w:lineRule="auto"/>
        <w:tabs>
          <w:tab w:leader="none" w:pos="1948"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1300" w:right="76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30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65" w:lineRule="exact"/>
        <w:rPr>
          <w:sz w:val="20"/>
          <w:szCs w:val="20"/>
          <w:color w:val="auto"/>
        </w:rPr>
      </w:pPr>
    </w:p>
    <w:p>
      <w:pPr>
        <w:jc w:val="both"/>
        <w:ind w:left="1300" w:hanging="644"/>
        <w:spacing w:after="0" w:line="210" w:lineRule="auto"/>
        <w:tabs>
          <w:tab w:leader="none" w:pos="1291"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5" w:lineRule="exact"/>
        <w:rPr>
          <w:sz w:val="20"/>
          <w:szCs w:val="20"/>
          <w:color w:val="auto"/>
        </w:rPr>
      </w:pPr>
    </w:p>
    <w:p>
      <w:pPr>
        <w:jc w:val="both"/>
        <w:ind w:left="420"/>
        <w:spacing w:after="0" w:line="210" w:lineRule="auto"/>
        <w:rPr>
          <w:sz w:val="20"/>
          <w:szCs w:val="20"/>
          <w:color w:val="auto"/>
        </w:rPr>
      </w:pPr>
      <w:r>
        <w:rPr>
          <w:rFonts w:ascii="Arial" w:cs="Arial" w:eastAsia="Arial" w:hAnsi="Arial"/>
          <w:sz w:val="22"/>
          <w:szCs w:val="22"/>
          <w:color w:val="auto"/>
        </w:rPr>
        <w:t>The Committee’s determination as to whether (1) a leave of absence or a transfer of employment between Lilly and an Affiliate or between Affiliates constitutes a termination of Service, (2) the Grantee’s Service has been terminated by reason of Disability, (3) the Grantee’s Service has been terminated as a direct result of either a plant closing or a reduction in force, (4) the Grantee's service has been terminated as a result of the failure to locate a position within the Company or an Affiliate following reallocation or medical reassignment, and (5) the Grantee’s Service has been terminated by reason of retirement as a “retiree” (as defined in Section 3(c)(i)) shall be final and binding on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w:t>
      </w:r>
    </w:p>
    <w:p>
      <w:pPr>
        <w:sectPr>
          <w:pgSz w:w="11900" w:h="16838" w:orient="portrait"/>
          <w:cols w:equalWidth="0" w:num="1">
            <w:col w:w="11240"/>
          </w:cols>
          <w:pgMar w:left="320" w:top="363"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4.</w:t>
        <w:tab/>
        <w:t>Change in Control</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jc w:val="both"/>
        <w:ind w:left="1300" w:hanging="644"/>
        <w:spacing w:after="0" w:line="218" w:lineRule="auto"/>
        <w:tabs>
          <w:tab w:leader="none" w:pos="129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66"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70" w:lineRule="exact"/>
        <w:rPr>
          <w:rFonts w:ascii="Arial" w:cs="Arial" w:eastAsia="Arial" w:hAnsi="Arial"/>
          <w:sz w:val="22"/>
          <w:szCs w:val="22"/>
          <w:color w:val="auto"/>
        </w:rPr>
      </w:pPr>
    </w:p>
    <w:p>
      <w:pPr>
        <w:jc w:val="both"/>
        <w:ind w:left="1960" w:hanging="332"/>
        <w:spacing w:after="0" w:line="215" w:lineRule="auto"/>
        <w:tabs>
          <w:tab w:leader="none" w:pos="196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54"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65"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5" w:lineRule="exact"/>
        <w:rPr>
          <w:sz w:val="20"/>
          <w:szCs w:val="20"/>
          <w:color w:val="auto"/>
        </w:rPr>
      </w:pPr>
    </w:p>
    <w:p>
      <w:pPr>
        <w:jc w:val="both"/>
        <w:ind w:left="1300" w:hanging="644"/>
        <w:spacing w:after="0" w:line="215" w:lineRule="auto"/>
        <w:tabs>
          <w:tab w:leader="none" w:pos="129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5.</w:t>
        <w:tab/>
        <w:t>Settlement</w:t>
      </w:r>
    </w:p>
    <w:p>
      <w:pPr>
        <w:spacing w:after="0" w:line="76" w:lineRule="exact"/>
        <w:rPr>
          <w:sz w:val="20"/>
          <w:szCs w:val="20"/>
          <w:color w:val="auto"/>
        </w:rPr>
      </w:pPr>
    </w:p>
    <w:p>
      <w:pPr>
        <w:ind w:left="1300" w:hanging="644"/>
        <w:spacing w:after="0" w:line="225" w:lineRule="auto"/>
        <w:tabs>
          <w:tab w:leader="none" w:pos="129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65"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w:t>
      </w:r>
    </w:p>
    <w:p>
      <w:pPr>
        <w:sectPr>
          <w:pgSz w:w="11900" w:h="16838" w:orient="portrait"/>
          <w:cols w:equalWidth="0" w:num="1">
            <w:col w:w="11240"/>
          </w:cols>
          <w:pgMar w:left="320" w:top="363" w:right="3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14" w:lineRule="auto"/>
        <w:rPr>
          <w:sz w:val="20"/>
          <w:szCs w:val="20"/>
          <w:color w:val="auto"/>
        </w:rPr>
      </w:pPr>
      <w:r>
        <w:rPr>
          <w:rFonts w:ascii="Arial" w:cs="Arial" w:eastAsia="Arial" w:hAnsi="Arial"/>
          <w:sz w:val="21"/>
          <w:szCs w:val="21"/>
          <w:color w:val="auto"/>
        </w:rPr>
        <w:t>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w:t>
      </w:r>
    </w:p>
    <w:p>
      <w:pPr>
        <w:spacing w:after="0" w:line="2" w:lineRule="exact"/>
        <w:rPr>
          <w:sz w:val="20"/>
          <w:szCs w:val="20"/>
          <w:color w:val="auto"/>
        </w:rPr>
      </w:pPr>
    </w:p>
    <w:p>
      <w:pPr>
        <w:ind w:left="1660" w:hanging="356"/>
        <w:spacing w:after="0"/>
        <w:tabs>
          <w:tab w:leader="none" w:pos="166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date set forth in Section 5(a) above.</w:t>
      </w:r>
    </w:p>
    <w:p>
      <w:pPr>
        <w:spacing w:after="0" w:line="71" w:lineRule="exact"/>
        <w:rPr>
          <w:rFonts w:ascii="Arial" w:cs="Arial" w:eastAsia="Arial" w:hAnsi="Arial"/>
          <w:sz w:val="22"/>
          <w:szCs w:val="22"/>
          <w:color w:val="auto"/>
        </w:rPr>
      </w:pPr>
    </w:p>
    <w:p>
      <w:pPr>
        <w:jc w:val="both"/>
        <w:ind w:left="1300" w:hanging="644"/>
        <w:spacing w:after="0" w:line="204" w:lineRule="auto"/>
        <w:tabs>
          <w:tab w:leader="none" w:pos="129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w:t>
      </w:r>
    </w:p>
    <w:p>
      <w:pPr>
        <w:spacing w:after="0" w:line="3" w:lineRule="exact"/>
        <w:rPr>
          <w:rFonts w:ascii="Arial" w:cs="Arial" w:eastAsia="Arial" w:hAnsi="Arial"/>
          <w:sz w:val="22"/>
          <w:szCs w:val="22"/>
          <w:color w:val="auto"/>
        </w:rPr>
      </w:pPr>
    </w:p>
    <w:p>
      <w:pPr>
        <w:jc w:val="both"/>
        <w:ind w:left="1300" w:firstLine="4"/>
        <w:spacing w:after="0" w:line="218" w:lineRule="auto"/>
        <w:tabs>
          <w:tab w:leader="none" w:pos="1619" w:val="left"/>
        </w:tabs>
        <w:numPr>
          <w:ilvl w:val="1"/>
          <w:numId w:val="162"/>
        </w:numPr>
        <w:rPr>
          <w:rFonts w:ascii="Arial" w:cs="Arial" w:eastAsia="Arial" w:hAnsi="Arial"/>
          <w:sz w:val="22"/>
          <w:szCs w:val="22"/>
          <w:color w:val="auto"/>
        </w:rPr>
      </w:pPr>
      <w:r>
        <w:rPr>
          <w:rFonts w:ascii="Arial" w:cs="Arial" w:eastAsia="Arial" w:hAnsi="Arial"/>
          <w:sz w:val="22"/>
          <w:szCs w:val="22"/>
          <w:color w:val="auto"/>
        </w:rPr>
        <w:t>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6" w:lineRule="exact"/>
        <w:rPr>
          <w:rFonts w:ascii="Arial" w:cs="Arial" w:eastAsia="Arial" w:hAnsi="Arial"/>
          <w:sz w:val="22"/>
          <w:szCs w:val="22"/>
          <w:color w:val="auto"/>
        </w:rPr>
      </w:pPr>
    </w:p>
    <w:p>
      <w:pPr>
        <w:jc w:val="both"/>
        <w:ind w:left="1300" w:hanging="644"/>
        <w:spacing w:after="0" w:line="229" w:lineRule="auto"/>
        <w:tabs>
          <w:tab w:leader="none" w:pos="1291"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64" w:lineRule="exact"/>
        <w:rPr>
          <w:rFonts w:ascii="Arial" w:cs="Arial" w:eastAsia="Arial" w:hAnsi="Arial"/>
          <w:sz w:val="21"/>
          <w:szCs w:val="21"/>
          <w:color w:val="auto"/>
        </w:rPr>
      </w:pPr>
    </w:p>
    <w:p>
      <w:pPr>
        <w:jc w:val="both"/>
        <w:ind w:left="1300" w:hanging="644"/>
        <w:spacing w:after="0" w:line="223" w:lineRule="auto"/>
        <w:tabs>
          <w:tab w:leader="none" w:pos="1291"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21"/>
          <w:szCs w:val="21"/>
          <w:color w:val="auto"/>
        </w:rPr>
      </w:pPr>
    </w:p>
    <w:p>
      <w:pPr>
        <w:ind w:left="1300" w:right="20" w:hanging="644"/>
        <w:spacing w:after="0" w:line="225" w:lineRule="auto"/>
        <w:tabs>
          <w:tab w:leader="none" w:pos="129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6.</w:t>
        <w:tab/>
        <w:t>Rights of the Grantee</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Shareholder Value Award does not entitle the Grantee to any rights of a shareholder of Lilly until such time as the Shareholder Value Award is settled and Shares are issued or transferred to the Grantee.</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7.</w:t>
        <w:tab/>
        <w:t>Prohibition Against Transfer</w:t>
      </w:r>
    </w:p>
    <w:p>
      <w:pPr>
        <w:spacing w:after="0" w:line="76"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8.</w:t>
        <w:tab/>
        <w:t>Responsibility for Taxes</w:t>
      </w:r>
    </w:p>
    <w:p>
      <w:pPr>
        <w:spacing w:after="0" w:line="76" w:lineRule="exact"/>
        <w:rPr>
          <w:sz w:val="20"/>
          <w:szCs w:val="20"/>
          <w:color w:val="auto"/>
        </w:rPr>
      </w:pPr>
    </w:p>
    <w:p>
      <w:pPr>
        <w:ind w:left="1300" w:hanging="644"/>
        <w:spacing w:after="0" w:line="225" w:lineRule="auto"/>
        <w:tabs>
          <w:tab w:leader="none" w:pos="129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Regardless of any action Lilly and/or the Employer takes with respect to any or all income tax (including federal, state, local and non-U.S. tax), social insurance, payroll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w:t>
      </w:r>
    </w:p>
    <w:p>
      <w:pPr>
        <w:sectPr>
          <w:pgSz w:w="11900" w:h="16838" w:orient="portrait"/>
          <w:cols w:equalWidth="0" w:num="1">
            <w:col w:w="11240"/>
          </w:cols>
          <w:pgMar w:left="320" w:top="363" w:right="3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07" w:lineRule="auto"/>
        <w:rPr>
          <w:sz w:val="20"/>
          <w:szCs w:val="20"/>
          <w:color w:val="auto"/>
        </w:rPr>
      </w:pPr>
      <w:r>
        <w:rPr>
          <w:rFonts w:ascii="Arial" w:cs="Arial" w:eastAsia="Arial" w:hAnsi="Arial"/>
          <w:sz w:val="22"/>
          <w:szCs w:val="22"/>
          <w:color w:val="auto"/>
        </w:rPr>
        <w:t>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77" w:lineRule="exact"/>
        <w:rPr>
          <w:sz w:val="20"/>
          <w:szCs w:val="20"/>
          <w:color w:val="auto"/>
        </w:rPr>
      </w:pPr>
    </w:p>
    <w:p>
      <w:pPr>
        <w:ind w:left="1300" w:right="20" w:hanging="644"/>
        <w:spacing w:after="0" w:line="225" w:lineRule="auto"/>
        <w:tabs>
          <w:tab w:leader="none" w:pos="1291" w:val="left"/>
        </w:tabs>
        <w:numPr>
          <w:ilvl w:val="0"/>
          <w:numId w:val="165"/>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rFonts w:ascii="Arial" w:cs="Arial" w:eastAsia="Arial" w:hAnsi="Arial"/>
          <w:sz w:val="22"/>
          <w:szCs w:val="22"/>
          <w:color w:val="auto"/>
        </w:rPr>
      </w:pPr>
    </w:p>
    <w:p>
      <w:pPr>
        <w:jc w:val="both"/>
        <w:ind w:left="1960" w:hanging="332"/>
        <w:spacing w:after="0" w:line="208" w:lineRule="auto"/>
        <w:tabs>
          <w:tab w:leader="none" w:pos="1954"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22"/>
          <w:szCs w:val="22"/>
          <w:color w:val="auto"/>
        </w:rPr>
      </w:pPr>
    </w:p>
    <w:p>
      <w:pPr>
        <w:jc w:val="both"/>
        <w:ind w:left="1960" w:hanging="332"/>
        <w:spacing w:after="0" w:line="211" w:lineRule="auto"/>
        <w:tabs>
          <w:tab w:leader="none" w:pos="1948"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9" w:lineRule="exact"/>
        <w:rPr>
          <w:rFonts w:ascii="Arial" w:cs="Arial" w:eastAsia="Arial" w:hAnsi="Arial"/>
          <w:sz w:val="22"/>
          <w:szCs w:val="22"/>
          <w:color w:val="auto"/>
        </w:rPr>
      </w:pPr>
    </w:p>
    <w:p>
      <w:pPr>
        <w:jc w:val="both"/>
        <w:ind w:left="1300" w:hanging="644"/>
        <w:spacing w:after="0" w:line="218" w:lineRule="auto"/>
        <w:tabs>
          <w:tab w:leader="none" w:pos="129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w:t>
      </w:r>
    </w:p>
    <w:p>
      <w:pPr>
        <w:sectPr>
          <w:pgSz w:w="11900" w:h="16838" w:orient="portrait"/>
          <w:cols w:equalWidth="0" w:num="1">
            <w:col w:w="11240"/>
          </w:cols>
          <w:pgMar w:left="320" w:top="363" w:right="3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70" w:lineRule="exact"/>
        <w:rPr>
          <w:sz w:val="20"/>
          <w:szCs w:val="20"/>
          <w:color w:val="auto"/>
        </w:rPr>
      </w:pPr>
    </w:p>
    <w:p>
      <w:pPr>
        <w:ind w:left="1300" w:hanging="644"/>
        <w:spacing w:after="0" w:line="225" w:lineRule="auto"/>
        <w:tabs>
          <w:tab w:leader="none" w:pos="1291" w:val="left"/>
        </w:tabs>
        <w:numPr>
          <w:ilvl w:val="0"/>
          <w:numId w:val="166"/>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5"/>
          <w:szCs w:val="25"/>
          <w:color w:val="auto"/>
        </w:rPr>
        <w:t xml:space="preserve">Section 9.  </w:t>
      </w:r>
      <w:r>
        <w:rPr>
          <w:rFonts w:ascii="Arial" w:cs="Arial" w:eastAsia="Arial" w:hAnsi="Arial"/>
          <w:sz w:val="23"/>
          <w:szCs w:val="23"/>
          <w:color w:val="auto"/>
        </w:rPr>
        <w:t>Section 409A Compliance</w:t>
      </w:r>
    </w:p>
    <w:p>
      <w:pPr>
        <w:spacing w:after="0" w:line="15"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10. Grantee’s Acknowledgment</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14" w:lineRule="exact"/>
        <w:rPr>
          <w:sz w:val="20"/>
          <w:szCs w:val="20"/>
          <w:color w:val="auto"/>
        </w:rPr>
      </w:pPr>
    </w:p>
    <w:p>
      <w:pPr>
        <w:ind w:left="1300" w:hanging="644"/>
        <w:spacing w:after="0" w:line="225" w:lineRule="auto"/>
        <w:tabs>
          <w:tab w:leader="none" w:pos="129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300" w:hanging="644"/>
        <w:spacing w:after="0"/>
        <w:tabs>
          <w:tab w:leader="none" w:pos="13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5" w:lineRule="exact"/>
        <w:rPr>
          <w:rFonts w:ascii="Arial" w:cs="Arial" w:eastAsia="Arial" w:hAnsi="Arial"/>
          <w:sz w:val="22"/>
          <w:szCs w:val="22"/>
          <w:color w:val="auto"/>
        </w:rPr>
      </w:pPr>
    </w:p>
    <w:p>
      <w:pPr>
        <w:jc w:val="both"/>
        <w:ind w:left="1300" w:hanging="644"/>
        <w:spacing w:after="0" w:line="225" w:lineRule="auto"/>
        <w:tabs>
          <w:tab w:leader="none" w:pos="1291" w:val="left"/>
        </w:tabs>
        <w:numPr>
          <w:ilvl w:val="0"/>
          <w:numId w:val="167"/>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6" w:lineRule="exact"/>
        <w:rPr>
          <w:rFonts w:ascii="Arial" w:cs="Arial" w:eastAsia="Arial" w:hAnsi="Arial"/>
          <w:sz w:val="21"/>
          <w:szCs w:val="21"/>
          <w:color w:val="auto"/>
        </w:rPr>
      </w:pPr>
    </w:p>
    <w:p>
      <w:pPr>
        <w:ind w:left="1300" w:hanging="644"/>
        <w:spacing w:after="0" w:line="225" w:lineRule="auto"/>
        <w:tabs>
          <w:tab w:leader="none" w:pos="129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3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w:t>
      </w:r>
    </w:p>
    <w:p>
      <w:pPr>
        <w:sectPr>
          <w:pgSz w:w="11900" w:h="16838" w:orient="portrait"/>
          <w:cols w:equalWidth="0" w:num="1">
            <w:col w:w="11240"/>
          </w:cols>
          <w:pgMar w:left="320" w:top="363" w:right="33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invalid or in breach of local labor laws in the jurisdiction where the Grantee is employed or the terms of Grantee’s employment agreement, if any);</w:t>
      </w:r>
    </w:p>
    <w:p>
      <w:pPr>
        <w:spacing w:after="0" w:line="66" w:lineRule="exact"/>
        <w:rPr>
          <w:sz w:val="20"/>
          <w:szCs w:val="20"/>
          <w:color w:val="auto"/>
        </w:rPr>
      </w:pPr>
    </w:p>
    <w:p>
      <w:pPr>
        <w:jc w:val="both"/>
        <w:ind w:left="1300" w:hanging="644"/>
        <w:spacing w:after="0" w:line="208" w:lineRule="auto"/>
        <w:tabs>
          <w:tab w:leader="none" w:pos="13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5" w:lineRule="exact"/>
        <w:rPr>
          <w:rFonts w:ascii="Arial" w:cs="Arial" w:eastAsia="Arial" w:hAnsi="Arial"/>
          <w:sz w:val="22"/>
          <w:szCs w:val="22"/>
          <w:color w:val="auto"/>
        </w:rPr>
      </w:pPr>
    </w:p>
    <w:p>
      <w:pPr>
        <w:ind w:left="1300" w:hanging="644"/>
        <w:spacing w:after="0" w:line="225" w:lineRule="auto"/>
        <w:tabs>
          <w:tab w:leader="none" w:pos="13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5"/>
          <w:szCs w:val="25"/>
          <w:color w:val="auto"/>
        </w:rPr>
        <w:t>Section 11.</w:t>
      </w:r>
      <w:r>
        <w:rPr>
          <w:rFonts w:ascii="Arial" w:cs="Arial" w:eastAsia="Arial" w:hAnsi="Arial"/>
          <w:sz w:val="23"/>
          <w:szCs w:val="23"/>
          <w:color w:val="auto"/>
        </w:rPr>
        <w:t>Data Privacy</w:t>
      </w:r>
    </w:p>
    <w:p>
      <w:pPr>
        <w:spacing w:after="0" w:line="47" w:lineRule="exact"/>
        <w:rPr>
          <w:sz w:val="20"/>
          <w:szCs w:val="20"/>
          <w:color w:val="auto"/>
        </w:rPr>
      </w:pPr>
    </w:p>
    <w:p>
      <w:pPr>
        <w:jc w:val="both"/>
        <w:ind w:left="1300" w:hanging="644"/>
        <w:spacing w:after="0" w:line="210" w:lineRule="auto"/>
        <w:tabs>
          <w:tab w:leader="none" w:pos="1291" w:val="left"/>
        </w:tabs>
        <w:numPr>
          <w:ilvl w:val="0"/>
          <w:numId w:val="16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3" w:lineRule="exact"/>
        <w:rPr>
          <w:rFonts w:ascii="Arial" w:cs="Arial" w:eastAsia="Arial" w:hAnsi="Arial"/>
          <w:sz w:val="22"/>
          <w:szCs w:val="22"/>
          <w:i w:val="1"/>
          <w:iCs w:val="1"/>
          <w:color w:val="auto"/>
        </w:rPr>
      </w:pPr>
    </w:p>
    <w:p>
      <w:pPr>
        <w:jc w:val="both"/>
        <w:ind w:left="1300" w:hanging="644"/>
        <w:spacing w:after="0" w:line="217" w:lineRule="auto"/>
        <w:tabs>
          <w:tab w:leader="none" w:pos="1291" w:val="left"/>
        </w:tabs>
        <w:numPr>
          <w:ilvl w:val="0"/>
          <w:numId w:val="16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w:t>
      </w:r>
    </w:p>
    <w:p>
      <w:pPr>
        <w:sectPr>
          <w:pgSz w:w="11900" w:h="16838" w:orient="portrait"/>
          <w:cols w:equalWidth="0" w:num="1">
            <w:col w:w="11240"/>
          </w:cols>
          <w:pgMar w:left="320" w:top="363" w:right="3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spacing w:after="0" w:line="217" w:lineRule="auto"/>
        <w:rPr>
          <w:sz w:val="20"/>
          <w:szCs w:val="20"/>
          <w:color w:val="auto"/>
        </w:rPr>
      </w:pPr>
      <w:r>
        <w:rPr>
          <w:rFonts w:ascii="Arial" w:cs="Arial" w:eastAsia="Arial" w:hAnsi="Arial"/>
          <w:sz w:val="22"/>
          <w:szCs w:val="22"/>
          <w:i w:val="1"/>
          <w:iCs w:val="1"/>
          <w:color w:val="auto"/>
        </w:rPr>
        <w:t>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sz w:val="20"/>
          <w:szCs w:val="20"/>
          <w:color w:val="auto"/>
        </w:rPr>
      </w:pPr>
    </w:p>
    <w:p>
      <w:pPr>
        <w:jc w:val="both"/>
        <w:ind w:left="1300" w:hanging="644"/>
        <w:spacing w:after="0" w:line="236" w:lineRule="auto"/>
        <w:tabs>
          <w:tab w:leader="none" w:pos="1292" w:val="left"/>
        </w:tabs>
        <w:numPr>
          <w:ilvl w:val="0"/>
          <w:numId w:val="170"/>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3" w:lineRule="exact"/>
        <w:rPr>
          <w:rFonts w:ascii="Arial" w:cs="Arial" w:eastAsia="Arial" w:hAnsi="Arial"/>
          <w:sz w:val="21"/>
          <w:szCs w:val="21"/>
          <w:i w:val="1"/>
          <w:iCs w:val="1"/>
          <w:color w:val="auto"/>
        </w:rPr>
      </w:pPr>
    </w:p>
    <w:p>
      <w:pPr>
        <w:jc w:val="both"/>
        <w:ind w:left="1300" w:hanging="644"/>
        <w:spacing w:after="0" w:line="225" w:lineRule="auto"/>
        <w:tabs>
          <w:tab w:leader="none" w:pos="1291" w:val="left"/>
        </w:tabs>
        <w:numPr>
          <w:ilvl w:val="0"/>
          <w:numId w:val="17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4"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17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jc w:val="both"/>
        <w:ind w:left="1300" w:hanging="644"/>
        <w:spacing w:after="0" w:line="208" w:lineRule="auto"/>
        <w:tabs>
          <w:tab w:leader="none" w:pos="1299" w:val="left"/>
        </w:tabs>
        <w:numPr>
          <w:ilvl w:val="0"/>
          <w:numId w:val="17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170"/>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10</w:t>
      </w:r>
    </w:p>
    <w:p>
      <w:pPr>
        <w:sectPr>
          <w:pgSz w:w="11900" w:h="16838" w:orient="portrait"/>
          <w:cols w:equalWidth="0" w:num="1">
            <w:col w:w="11240"/>
          </w:cols>
          <w:pgMar w:left="320" w:top="363" w:right="3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12. Additional Terms and Conditions</w:t>
      </w:r>
    </w:p>
    <w:p>
      <w:pPr>
        <w:spacing w:after="0" w:line="76" w:lineRule="exact"/>
        <w:rPr>
          <w:sz w:val="20"/>
          <w:szCs w:val="20"/>
          <w:color w:val="auto"/>
        </w:rPr>
      </w:pPr>
    </w:p>
    <w:p>
      <w:pPr>
        <w:jc w:val="both"/>
        <w:ind w:left="420"/>
        <w:spacing w:after="0" w:line="210" w:lineRule="auto"/>
        <w:rPr>
          <w:sz w:val="20"/>
          <w:szCs w:val="20"/>
          <w:color w:val="auto"/>
        </w:rPr>
      </w:pPr>
      <w:r>
        <w:rPr>
          <w:rFonts w:ascii="Arial" w:cs="Arial" w:eastAsia="Arial" w:hAnsi="Arial"/>
          <w:sz w:val="22"/>
          <w:szCs w:val="22"/>
          <w:color w:val="auto"/>
        </w:rPr>
        <w:t>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13. Governing Law and Choice of Venue</w:t>
      </w:r>
    </w:p>
    <w:p>
      <w:pPr>
        <w:spacing w:after="0" w:line="76" w:lineRule="exact"/>
        <w:rPr>
          <w:sz w:val="20"/>
          <w:szCs w:val="20"/>
          <w:color w:val="auto"/>
        </w:rPr>
      </w:pPr>
    </w:p>
    <w:p>
      <w:pPr>
        <w:jc w:val="both"/>
        <w:ind w:left="40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of Marion County, Indiana, or the federal courts for the United States for the Southern District of Indiana, and no other courts, where this Award is granted and/or to be performed.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14. Miscellaneous Provisions</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71" w:lineRule="exact"/>
        <w:rPr>
          <w:rFonts w:ascii="Arial" w:cs="Arial" w:eastAsia="Arial" w:hAnsi="Arial"/>
          <w:sz w:val="21"/>
          <w:szCs w:val="21"/>
          <w:color w:val="auto"/>
        </w:rPr>
      </w:pPr>
    </w:p>
    <w:p>
      <w:pPr>
        <w:jc w:val="both"/>
        <w:ind w:left="1300" w:hanging="644"/>
        <w:spacing w:after="0" w:line="211" w:lineRule="auto"/>
        <w:tabs>
          <w:tab w:leader="none" w:pos="1291"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83" w:lineRule="exact"/>
        <w:rPr>
          <w:rFonts w:ascii="Arial" w:cs="Arial" w:eastAsia="Arial" w:hAnsi="Arial"/>
          <w:sz w:val="22"/>
          <w:szCs w:val="22"/>
          <w:color w:val="auto"/>
        </w:rPr>
      </w:pPr>
    </w:p>
    <w:p>
      <w:pPr>
        <w:jc w:val="both"/>
        <w:ind w:left="1300" w:hanging="644"/>
        <w:spacing w:after="0" w:line="218" w:lineRule="auto"/>
        <w:tabs>
          <w:tab w:leader="none" w:pos="1292"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80" w:lineRule="exact"/>
        <w:rPr>
          <w:rFonts w:ascii="Arial" w:cs="Arial" w:eastAsia="Arial" w:hAnsi="Arial"/>
          <w:sz w:val="22"/>
          <w:szCs w:val="22"/>
          <w:color w:val="auto"/>
        </w:rPr>
      </w:pPr>
    </w:p>
    <w:p>
      <w:pPr>
        <w:ind w:left="1300" w:hanging="644"/>
        <w:spacing w:after="0" w:line="220" w:lineRule="auto"/>
        <w:tabs>
          <w:tab w:leader="none" w:pos="1292" w:val="left"/>
        </w:tabs>
        <w:numPr>
          <w:ilvl w:val="0"/>
          <w:numId w:val="171"/>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w:t>
      </w:r>
    </w:p>
    <w:p>
      <w:pPr>
        <w:sectPr>
          <w:pgSz w:w="11900" w:h="16838" w:orient="portrait"/>
          <w:cols w:equalWidth="0" w:num="1">
            <w:col w:w="11240"/>
          </w:cols>
          <w:pgMar w:left="320" w:top="363" w:right="3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5"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79" w:lineRule="exact"/>
        <w:rPr>
          <w:sz w:val="20"/>
          <w:szCs w:val="20"/>
          <w:color w:val="auto"/>
        </w:rPr>
      </w:pPr>
    </w:p>
    <w:p>
      <w:pPr>
        <w:jc w:val="both"/>
        <w:ind w:left="1300" w:hanging="644"/>
        <w:spacing w:after="0" w:line="211" w:lineRule="auto"/>
        <w:tabs>
          <w:tab w:leader="none" w:pos="1292" w:val="left"/>
        </w:tabs>
        <w:numPr>
          <w:ilvl w:val="0"/>
          <w:numId w:val="172"/>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15. Compensation Recovery</w:t>
      </w:r>
    </w:p>
    <w:p>
      <w:pPr>
        <w:spacing w:after="0" w:line="76"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66" w:lineRule="exact"/>
        <w:rPr>
          <w:sz w:val="20"/>
          <w:szCs w:val="20"/>
          <w:color w:val="auto"/>
        </w:rPr>
      </w:pPr>
    </w:p>
    <w:p>
      <w:pPr>
        <w:jc w:val="both"/>
        <w:ind w:left="1300" w:hanging="644"/>
        <w:spacing w:after="0" w:line="210" w:lineRule="auto"/>
        <w:tabs>
          <w:tab w:leader="none" w:pos="129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70"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6" w:lineRule="exact"/>
        <w:rPr>
          <w:sz w:val="20"/>
          <w:szCs w:val="20"/>
          <w:color w:val="auto"/>
        </w:rPr>
      </w:pPr>
    </w:p>
    <w:p>
      <w:pPr>
        <w:jc w:val="both"/>
        <w:ind w:left="420"/>
        <w:spacing w:after="0" w:line="210"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5"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12</w:t>
      </w:r>
    </w:p>
    <w:p>
      <w:pPr>
        <w:sectPr>
          <w:pgSz w:w="11900" w:h="16838" w:orient="portrait"/>
          <w:cols w:equalWidth="0" w:num="1">
            <w:col w:w="11240"/>
          </w:cols>
          <w:pgMar w:left="320" w:top="363"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16. Award Subject to Acknowledgement of Acceptance</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44"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13</w:t>
      </w:r>
    </w:p>
    <w:p>
      <w:pPr>
        <w:sectPr>
          <w:pgSz w:w="11900" w:h="16838" w:orient="portrait"/>
          <w:cols w:equalWidth="0" w:num="1">
            <w:col w:w="11240"/>
          </w:cols>
          <w:pgMar w:left="320" w:top="363" w:right="339" w:bottom="1440" w:gutter="0" w:footer="0" w:header="0"/>
        </w:sectPr>
      </w:pPr>
    </w:p>
    <w:bookmarkStart w:id="205" w:name="page206"/>
    <w:bookmarkEnd w:id="205"/>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10.6 Form of Shareholder Value Award under the 2002 Lilly Stock Plan (with non-compete)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24" w:lineRule="auto"/>
        <w:rPr>
          <w:sz w:val="20"/>
          <w:szCs w:val="20"/>
          <w:color w:val="auto"/>
        </w:rPr>
      </w:pPr>
      <w:r>
        <w:rPr>
          <w:rFonts w:ascii="Arial" w:cs="Arial" w:eastAsia="Arial" w:hAnsi="Arial"/>
          <w:sz w:val="43"/>
          <w:szCs w:val="43"/>
          <w:color w:val="auto"/>
        </w:rPr>
        <w:t>Eli Lilly and Company Shareholder Value Award Agreement (for Executive Officers)</w:t>
      </w:r>
    </w:p>
    <w:p>
      <w:pPr>
        <w:spacing w:after="0" w:line="16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color w:val="auto"/>
        </w:rPr>
        <w:t>Lilly Stock Price Performance Levels: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5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No Payout</w:t>
            </w:r>
          </w:p>
        </w:tc>
        <w:tc>
          <w:tcPr>
            <w:tcW w:w="120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22"/>
                <w:szCs w:val="22"/>
                <w:b w:val="1"/>
                <w:bCs w:val="1"/>
                <w:color w:val="auto"/>
              </w:rPr>
              <w:t>Level 1</w:t>
            </w:r>
          </w:p>
        </w:tc>
        <w:tc>
          <w:tcPr>
            <w:tcW w:w="130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Level 2</w:t>
            </w:r>
          </w:p>
        </w:tc>
        <w:tc>
          <w:tcPr>
            <w:tcW w:w="12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Level 3</w:t>
            </w:r>
          </w:p>
        </w:tc>
        <w:tc>
          <w:tcPr>
            <w:tcW w:w="142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22"/>
                <w:szCs w:val="22"/>
                <w:b w:val="1"/>
                <w:bCs w:val="1"/>
                <w:color w:val="auto"/>
              </w:rPr>
              <w:t>Level 4</w:t>
            </w:r>
          </w:p>
        </w:tc>
        <w:tc>
          <w:tcPr>
            <w:tcW w:w="12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Level 5</w:t>
            </w:r>
          </w:p>
        </w:tc>
        <w:tc>
          <w:tcPr>
            <w:tcW w:w="13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Level 6</w:t>
            </w:r>
          </w:p>
        </w:tc>
        <w:tc>
          <w:tcPr>
            <w:tcW w:w="0" w:type="dxa"/>
            <w:vAlign w:val="bottom"/>
          </w:tcPr>
          <w:p>
            <w:pPr>
              <w:spacing w:after="0"/>
              <w:rPr>
                <w:sz w:val="1"/>
                <w:szCs w:val="1"/>
                <w:color w:val="auto"/>
              </w:rPr>
            </w:pPr>
          </w:p>
        </w:tc>
      </w:tr>
      <w:tr>
        <w:trPr>
          <w:trHeight w:val="277"/>
        </w:trPr>
        <w:tc>
          <w:tcPr>
            <w:tcW w:w="1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Final Lilly</w:t>
            </w:r>
          </w:p>
        </w:tc>
        <w:tc>
          <w:tcPr>
            <w:tcW w:w="150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20"/>
                <w:szCs w:val="20"/>
                <w:color w:val="auto"/>
              </w:rPr>
              <w:t>&lt; $246.99</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$246.99 –</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$280.86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$314.72</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$348.59</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$382.46</w:t>
            </w:r>
          </w:p>
        </w:tc>
        <w:tc>
          <w:tcPr>
            <w:tcW w:w="130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20"/>
                <w:szCs w:val="20"/>
                <w:color w:val="auto"/>
              </w:rPr>
              <w:t>&gt;$416.32</w:t>
            </w:r>
          </w:p>
        </w:tc>
        <w:tc>
          <w:tcPr>
            <w:tcW w:w="0" w:type="dxa"/>
            <w:vAlign w:val="bottom"/>
          </w:tcPr>
          <w:p>
            <w:pPr>
              <w:spacing w:after="0"/>
              <w:rPr>
                <w:sz w:val="1"/>
                <w:szCs w:val="1"/>
                <w:color w:val="auto"/>
              </w:rPr>
            </w:pPr>
          </w:p>
        </w:tc>
      </w:tr>
      <w:tr>
        <w:trPr>
          <w:trHeight w:val="104"/>
        </w:trPr>
        <w:tc>
          <w:tcPr>
            <w:tcW w:w="1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Stock Price</w:t>
            </w:r>
          </w:p>
        </w:tc>
        <w:tc>
          <w:tcPr>
            <w:tcW w:w="15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$280.85</w:t>
            </w:r>
          </w:p>
        </w:tc>
        <w:tc>
          <w:tcPr>
            <w:tcW w:w="13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w:t>
            </w:r>
          </w:p>
        </w:tc>
        <w:tc>
          <w:tcPr>
            <w:tcW w:w="12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w:t>
            </w:r>
          </w:p>
        </w:tc>
        <w:tc>
          <w:tcPr>
            <w:tcW w:w="14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w:t>
            </w:r>
          </w:p>
        </w:tc>
        <w:tc>
          <w:tcPr>
            <w:tcW w:w="12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2"/>
                <w:szCs w:val="12"/>
                <w:color w:val="auto"/>
              </w:rPr>
              <w:t>-</w:t>
            </w:r>
          </w:p>
        </w:tc>
        <w:tc>
          <w:tcPr>
            <w:tcW w:w="1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680" w:type="dxa"/>
            <w:vAlign w:val="bottom"/>
            <w:tcBorders>
              <w:left w:val="single" w:sz="8" w:color="auto"/>
              <w:right w:val="single" w:sz="8" w:color="auto"/>
            </w:tcBorders>
            <w:vMerge w:val="continue"/>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$314.71</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$348.58</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$382.45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$416.32</w:t>
            </w: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right w:val="single" w:sz="8" w:color="auto"/>
            </w:tcBorders>
            <w:vMerge w:val="continue"/>
          </w:tcPr>
          <w:p>
            <w:pPr>
              <w:spacing w:after="0"/>
              <w:rPr>
                <w:sz w:val="4"/>
                <w:szCs w:val="4"/>
                <w:color w:val="auto"/>
              </w:rPr>
            </w:pPr>
          </w:p>
        </w:tc>
        <w:tc>
          <w:tcPr>
            <w:tcW w:w="1420" w:type="dxa"/>
            <w:vAlign w:val="bottom"/>
            <w:tcBorders>
              <w:bottom w:val="single" w:sz="8" w:color="auto"/>
              <w:right w:val="single" w:sz="8" w:color="auto"/>
            </w:tcBorders>
            <w:vMerge w:val="continue"/>
          </w:tcPr>
          <w:p>
            <w:pPr>
              <w:spacing w:after="0"/>
              <w:rPr>
                <w:sz w:val="4"/>
                <w:szCs w:val="4"/>
                <w:color w:val="auto"/>
              </w:rPr>
            </w:pPr>
          </w:p>
        </w:tc>
        <w:tc>
          <w:tcPr>
            <w:tcW w:w="1280" w:type="dxa"/>
            <w:vAlign w:val="bottom"/>
            <w:tcBorders>
              <w:bottom w:val="single" w:sz="8" w:color="auto"/>
              <w:right w:val="single" w:sz="8" w:color="auto"/>
            </w:tcBorders>
            <w:vMerge w:val="continue"/>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22"/>
                <w:szCs w:val="22"/>
                <w:b w:val="1"/>
                <w:bCs w:val="1"/>
                <w:color w:val="auto"/>
              </w:rPr>
              <w:t>Percent of</w:t>
            </w:r>
          </w:p>
        </w:tc>
        <w:tc>
          <w:tcPr>
            <w:tcW w:w="1500" w:type="dxa"/>
            <w:vAlign w:val="bottom"/>
            <w:tcBorders>
              <w:right w:val="single" w:sz="8" w:color="auto"/>
            </w:tcBorders>
            <w:vMerge w:val="restart"/>
          </w:tcPr>
          <w:p>
            <w:pPr>
              <w:jc w:val="right"/>
              <w:ind w:right="518"/>
              <w:spacing w:after="0"/>
              <w:rPr>
                <w:sz w:val="20"/>
                <w:szCs w:val="20"/>
                <w:color w:val="auto"/>
              </w:rPr>
            </w:pPr>
            <w:r>
              <w:rPr>
                <w:rFonts w:ascii="Arial" w:cs="Arial" w:eastAsia="Arial" w:hAnsi="Arial"/>
                <w:sz w:val="20"/>
                <w:szCs w:val="20"/>
                <w:b w:val="1"/>
                <w:bCs w:val="1"/>
                <w:color w:val="auto"/>
              </w:rPr>
              <w:t>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50%</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75%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100%</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125%</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150%</w:t>
            </w:r>
          </w:p>
        </w:tc>
        <w:tc>
          <w:tcPr>
            <w:tcW w:w="1300" w:type="dxa"/>
            <w:vAlign w:val="bottom"/>
            <w:tcBorders>
              <w:right w:val="single" w:sz="8" w:color="auto"/>
            </w:tcBorders>
            <w:vMerge w:val="restart"/>
          </w:tcPr>
          <w:p>
            <w:pPr>
              <w:jc w:val="right"/>
              <w:ind w:right="298"/>
              <w:spacing w:after="0"/>
              <w:rPr>
                <w:sz w:val="20"/>
                <w:szCs w:val="20"/>
                <w:color w:val="auto"/>
              </w:rPr>
            </w:pPr>
            <w:r>
              <w:rPr>
                <w:rFonts w:ascii="Arial" w:cs="Arial" w:eastAsia="Arial" w:hAnsi="Arial"/>
                <w:sz w:val="20"/>
                <w:szCs w:val="20"/>
                <w:b w:val="1"/>
                <w:bCs w:val="1"/>
                <w:color w:val="auto"/>
              </w:rPr>
              <w:t>175%</w:t>
            </w:r>
          </w:p>
        </w:tc>
        <w:tc>
          <w:tcPr>
            <w:tcW w:w="0" w:type="dxa"/>
            <w:vAlign w:val="bottom"/>
          </w:tcPr>
          <w:p>
            <w:pPr>
              <w:spacing w:after="0"/>
              <w:rPr>
                <w:sz w:val="1"/>
                <w:szCs w:val="1"/>
                <w:color w:val="auto"/>
              </w:rPr>
            </w:pPr>
          </w:p>
        </w:tc>
      </w:tr>
      <w:tr>
        <w:trPr>
          <w:trHeight w:val="166"/>
        </w:trPr>
        <w:tc>
          <w:tcPr>
            <w:tcW w:w="1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Target</w:t>
            </w:r>
          </w:p>
        </w:tc>
        <w:tc>
          <w:tcPr>
            <w:tcW w:w="150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6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tabs>
          <w:tab w:leader="none" w:pos="2640" w:val="left"/>
        </w:tabs>
        <w:rPr>
          <w:sz w:val="20"/>
          <w:szCs w:val="20"/>
          <w:color w:val="auto"/>
        </w:rPr>
      </w:pPr>
      <w:r>
        <w:rPr>
          <w:rFonts w:ascii="Arial" w:cs="Arial" w:eastAsia="Arial" w:hAnsi="Arial"/>
          <w:sz w:val="25"/>
          <w:szCs w:val="25"/>
          <w:color w:val="auto"/>
        </w:rPr>
        <w:t>Performance Period:</w:t>
        <w:tab/>
        <w:t>January 1, 2022 – December 31, 2024</w:t>
      </w:r>
    </w:p>
    <w:p>
      <w:pPr>
        <w:sectPr>
          <w:pgSz w:w="11900" w:h="16838" w:orient="portrait"/>
          <w:cols w:equalWidth="0" w:num="1">
            <w:col w:w="11240"/>
          </w:cols>
          <w:pgMar w:left="320" w:top="1440" w:right="3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25"/>
          <w:szCs w:val="25"/>
          <w:color w:val="auto"/>
        </w:rPr>
        <w:t>Table of Contents</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9400" w:type="dxa"/>
            <w:vAlign w:val="bottom"/>
            <w:gridSpan w:val="3"/>
          </w:tcPr>
          <w:p>
            <w:pPr>
              <w:spacing w:after="0"/>
              <w:rPr>
                <w:sz w:val="20"/>
                <w:szCs w:val="20"/>
                <w:color w:val="auto"/>
              </w:rPr>
            </w:pPr>
            <w:r>
              <w:rPr>
                <w:rFonts w:ascii="Arial" w:cs="Arial" w:eastAsia="Arial" w:hAnsi="Arial"/>
                <w:sz w:val="22"/>
                <w:szCs w:val="22"/>
                <w:color w:val="auto"/>
              </w:rPr>
              <w:t>Section 1.  Grant of Shareholder Value Award</w:t>
            </w:r>
          </w:p>
        </w:tc>
        <w:tc>
          <w:tcPr>
            <w:tcW w:w="1480" w:type="dxa"/>
            <w:vAlign w:val="bottom"/>
          </w:tcPr>
          <w:p>
            <w:pPr>
              <w:ind w:left="1240"/>
              <w:spacing w:after="0"/>
              <w:rPr>
                <w:sz w:val="20"/>
                <w:szCs w:val="20"/>
                <w:color w:val="auto"/>
              </w:rPr>
            </w:pPr>
            <w:r>
              <w:rPr>
                <w:rFonts w:ascii="Arial" w:cs="Arial" w:eastAsia="Arial" w:hAnsi="Arial"/>
                <w:sz w:val="22"/>
                <w:szCs w:val="22"/>
                <w:color w:val="auto"/>
              </w:rPr>
              <w:t>3</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4"/>
                <w:szCs w:val="24"/>
                <w:color w:val="auto"/>
              </w:rPr>
            </w:pPr>
          </w:p>
        </w:tc>
        <w:tc>
          <w:tcPr>
            <w:tcW w:w="8260" w:type="dxa"/>
            <w:vAlign w:val="bottom"/>
          </w:tcPr>
          <w:p>
            <w:pPr>
              <w:ind w:left="60"/>
              <w:spacing w:after="0"/>
              <w:rPr>
                <w:sz w:val="20"/>
                <w:szCs w:val="20"/>
                <w:color w:val="auto"/>
              </w:rPr>
            </w:pPr>
            <w:r>
              <w:rPr>
                <w:rFonts w:ascii="Arial" w:cs="Arial" w:eastAsia="Arial" w:hAnsi="Arial"/>
                <w:sz w:val="22"/>
                <w:szCs w:val="22"/>
                <w:color w:val="auto"/>
              </w:rPr>
              <w:t>Vesting</w:t>
            </w:r>
          </w:p>
        </w:tc>
        <w:tc>
          <w:tcPr>
            <w:tcW w:w="1480" w:type="dxa"/>
            <w:vAlign w:val="bottom"/>
          </w:tcPr>
          <w:p>
            <w:pPr>
              <w:ind w:left="1240"/>
              <w:spacing w:after="0"/>
              <w:rPr>
                <w:sz w:val="20"/>
                <w:szCs w:val="20"/>
                <w:color w:val="auto"/>
              </w:rPr>
            </w:pPr>
            <w:r>
              <w:rPr>
                <w:rFonts w:ascii="Arial" w:cs="Arial" w:eastAsia="Arial" w:hAnsi="Arial"/>
                <w:sz w:val="22"/>
                <w:szCs w:val="22"/>
                <w:color w:val="auto"/>
              </w:rPr>
              <w:t>3</w:t>
            </w:r>
          </w:p>
        </w:tc>
      </w:tr>
      <w:tr>
        <w:trPr>
          <w:trHeight w:val="311"/>
        </w:trPr>
        <w:tc>
          <w:tcPr>
            <w:tcW w:w="9400" w:type="dxa"/>
            <w:vAlign w:val="bottom"/>
            <w:gridSpan w:val="3"/>
          </w:tcPr>
          <w:p>
            <w:pPr>
              <w:spacing w:after="0"/>
              <w:rPr>
                <w:sz w:val="20"/>
                <w:szCs w:val="20"/>
                <w:color w:val="auto"/>
              </w:rPr>
            </w:pPr>
            <w:r>
              <w:rPr>
                <w:rFonts w:ascii="Arial" w:cs="Arial" w:eastAsia="Arial" w:hAnsi="Arial"/>
                <w:sz w:val="22"/>
                <w:szCs w:val="22"/>
                <w:color w:val="auto"/>
              </w:rPr>
              <w:t>Section 3.  Impact of Certain Employment Status Changes</w:t>
            </w:r>
          </w:p>
        </w:tc>
        <w:tc>
          <w:tcPr>
            <w:tcW w:w="1480" w:type="dxa"/>
            <w:vAlign w:val="bottom"/>
          </w:tcPr>
          <w:p>
            <w:pPr>
              <w:ind w:left="1240"/>
              <w:spacing w:after="0"/>
              <w:rPr>
                <w:sz w:val="20"/>
                <w:szCs w:val="20"/>
                <w:color w:val="auto"/>
              </w:rPr>
            </w:pPr>
            <w:r>
              <w:rPr>
                <w:rFonts w:ascii="Arial" w:cs="Arial" w:eastAsia="Arial" w:hAnsi="Arial"/>
                <w:sz w:val="22"/>
                <w:szCs w:val="22"/>
                <w:color w:val="auto"/>
              </w:rPr>
              <w:t>3</w:t>
            </w:r>
          </w:p>
        </w:tc>
      </w:tr>
      <w:tr>
        <w:trPr>
          <w:trHeight w:val="310"/>
        </w:trPr>
        <w:tc>
          <w:tcPr>
            <w:tcW w:w="9400" w:type="dxa"/>
            <w:vAlign w:val="bottom"/>
            <w:gridSpan w:val="3"/>
          </w:tcPr>
          <w:p>
            <w:pPr>
              <w:spacing w:after="0"/>
              <w:rPr>
                <w:sz w:val="20"/>
                <w:szCs w:val="20"/>
                <w:color w:val="auto"/>
              </w:rPr>
            </w:pPr>
            <w:r>
              <w:rPr>
                <w:rFonts w:ascii="Arial" w:cs="Arial" w:eastAsia="Arial" w:hAnsi="Arial"/>
                <w:sz w:val="22"/>
                <w:szCs w:val="22"/>
                <w:color w:val="auto"/>
              </w:rPr>
              <w:t>Section 4.  Change in Control</w:t>
            </w:r>
          </w:p>
        </w:tc>
        <w:tc>
          <w:tcPr>
            <w:tcW w:w="1480" w:type="dxa"/>
            <w:vAlign w:val="bottom"/>
          </w:tcPr>
          <w:p>
            <w:pPr>
              <w:ind w:left="1240"/>
              <w:spacing w:after="0"/>
              <w:rPr>
                <w:sz w:val="20"/>
                <w:szCs w:val="20"/>
                <w:color w:val="auto"/>
              </w:rPr>
            </w:pPr>
            <w:r>
              <w:rPr>
                <w:rFonts w:ascii="Arial" w:cs="Arial" w:eastAsia="Arial" w:hAnsi="Arial"/>
                <w:sz w:val="22"/>
                <w:szCs w:val="22"/>
                <w:color w:val="auto"/>
              </w:rPr>
              <w:t>5</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4"/>
                <w:szCs w:val="24"/>
                <w:color w:val="auto"/>
              </w:rPr>
            </w:pPr>
          </w:p>
        </w:tc>
        <w:tc>
          <w:tcPr>
            <w:tcW w:w="826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1480" w:type="dxa"/>
            <w:vAlign w:val="bottom"/>
          </w:tcPr>
          <w:p>
            <w:pPr>
              <w:ind w:left="1240"/>
              <w:spacing w:after="0"/>
              <w:rPr>
                <w:sz w:val="20"/>
                <w:szCs w:val="20"/>
                <w:color w:val="auto"/>
              </w:rPr>
            </w:pPr>
            <w:r>
              <w:rPr>
                <w:rFonts w:ascii="Arial" w:cs="Arial" w:eastAsia="Arial" w:hAnsi="Arial"/>
                <w:sz w:val="22"/>
                <w:szCs w:val="22"/>
                <w:color w:val="auto"/>
              </w:rPr>
              <w:t>5</w:t>
            </w:r>
          </w:p>
        </w:tc>
      </w:tr>
      <w:tr>
        <w:trPr>
          <w:trHeight w:val="311"/>
        </w:trPr>
        <w:tc>
          <w:tcPr>
            <w:tcW w:w="9400" w:type="dxa"/>
            <w:vAlign w:val="bottom"/>
            <w:gridSpan w:val="3"/>
          </w:tcPr>
          <w:p>
            <w:pPr>
              <w:spacing w:after="0"/>
              <w:rPr>
                <w:sz w:val="20"/>
                <w:szCs w:val="20"/>
                <w:color w:val="auto"/>
              </w:rPr>
            </w:pPr>
            <w:r>
              <w:rPr>
                <w:rFonts w:ascii="Arial" w:cs="Arial" w:eastAsia="Arial" w:hAnsi="Arial"/>
                <w:sz w:val="22"/>
                <w:szCs w:val="22"/>
                <w:color w:val="auto"/>
              </w:rPr>
              <w:t>Section 6.  Rights of the Grantee</w:t>
            </w:r>
          </w:p>
        </w:tc>
        <w:tc>
          <w:tcPr>
            <w:tcW w:w="1480" w:type="dxa"/>
            <w:vAlign w:val="bottom"/>
          </w:tcPr>
          <w:p>
            <w:pPr>
              <w:ind w:left="1240"/>
              <w:spacing w:after="0"/>
              <w:rPr>
                <w:sz w:val="20"/>
                <w:szCs w:val="20"/>
                <w:color w:val="auto"/>
              </w:rPr>
            </w:pPr>
            <w:r>
              <w:rPr>
                <w:rFonts w:ascii="Arial" w:cs="Arial" w:eastAsia="Arial" w:hAnsi="Arial"/>
                <w:sz w:val="22"/>
                <w:szCs w:val="22"/>
                <w:color w:val="auto"/>
              </w:rPr>
              <w:t>6</w:t>
            </w:r>
          </w:p>
        </w:tc>
      </w:tr>
      <w:tr>
        <w:trPr>
          <w:trHeight w:val="310"/>
        </w:trPr>
        <w:tc>
          <w:tcPr>
            <w:tcW w:w="9400" w:type="dxa"/>
            <w:vAlign w:val="bottom"/>
            <w:gridSpan w:val="3"/>
          </w:tcPr>
          <w:p>
            <w:pPr>
              <w:spacing w:after="0"/>
              <w:rPr>
                <w:sz w:val="20"/>
                <w:szCs w:val="20"/>
                <w:color w:val="auto"/>
              </w:rPr>
            </w:pPr>
            <w:r>
              <w:rPr>
                <w:rFonts w:ascii="Arial" w:cs="Arial" w:eastAsia="Arial" w:hAnsi="Arial"/>
                <w:sz w:val="22"/>
                <w:szCs w:val="22"/>
                <w:color w:val="auto"/>
              </w:rPr>
              <w:t>Section 7.  Prohibition Against Transfer</w:t>
            </w:r>
          </w:p>
        </w:tc>
        <w:tc>
          <w:tcPr>
            <w:tcW w:w="1480" w:type="dxa"/>
            <w:vAlign w:val="bottom"/>
          </w:tcPr>
          <w:p>
            <w:pPr>
              <w:ind w:left="1240"/>
              <w:spacing w:after="0"/>
              <w:rPr>
                <w:sz w:val="20"/>
                <w:szCs w:val="20"/>
                <w:color w:val="auto"/>
              </w:rPr>
            </w:pPr>
            <w:r>
              <w:rPr>
                <w:rFonts w:ascii="Arial" w:cs="Arial" w:eastAsia="Arial" w:hAnsi="Arial"/>
                <w:sz w:val="22"/>
                <w:szCs w:val="22"/>
                <w:color w:val="auto"/>
              </w:rPr>
              <w:t>6</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8.</w:t>
            </w:r>
          </w:p>
        </w:tc>
        <w:tc>
          <w:tcPr>
            <w:tcW w:w="8320" w:type="dxa"/>
            <w:vAlign w:val="bottom"/>
            <w:gridSpan w:val="2"/>
          </w:tcPr>
          <w:p>
            <w:pPr>
              <w:ind w:left="120"/>
              <w:spacing w:after="0"/>
              <w:rPr>
                <w:sz w:val="20"/>
                <w:szCs w:val="20"/>
                <w:color w:val="auto"/>
              </w:rPr>
            </w:pPr>
            <w:r>
              <w:rPr>
                <w:rFonts w:ascii="Arial" w:cs="Arial" w:eastAsia="Arial" w:hAnsi="Arial"/>
                <w:sz w:val="22"/>
                <w:szCs w:val="22"/>
                <w:color w:val="auto"/>
              </w:rPr>
              <w:t>Responsibility for Taxes</w:t>
            </w:r>
          </w:p>
        </w:tc>
        <w:tc>
          <w:tcPr>
            <w:tcW w:w="1480" w:type="dxa"/>
            <w:vAlign w:val="bottom"/>
          </w:tcPr>
          <w:p>
            <w:pPr>
              <w:ind w:left="1240"/>
              <w:spacing w:after="0"/>
              <w:rPr>
                <w:sz w:val="20"/>
                <w:szCs w:val="20"/>
                <w:color w:val="auto"/>
              </w:rPr>
            </w:pPr>
            <w:r>
              <w:rPr>
                <w:rFonts w:ascii="Arial" w:cs="Arial" w:eastAsia="Arial" w:hAnsi="Arial"/>
                <w:sz w:val="22"/>
                <w:szCs w:val="22"/>
                <w:color w:val="auto"/>
              </w:rPr>
              <w:t>7</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9.</w:t>
            </w:r>
          </w:p>
        </w:tc>
        <w:tc>
          <w:tcPr>
            <w:tcW w:w="832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1480" w:type="dxa"/>
            <w:vAlign w:val="bottom"/>
          </w:tcPr>
          <w:p>
            <w:pPr>
              <w:ind w:left="1240"/>
              <w:spacing w:after="0"/>
              <w:rPr>
                <w:sz w:val="20"/>
                <w:szCs w:val="20"/>
                <w:color w:val="auto"/>
              </w:rPr>
            </w:pPr>
            <w:r>
              <w:rPr>
                <w:rFonts w:ascii="Arial" w:cs="Arial" w:eastAsia="Arial" w:hAnsi="Arial"/>
                <w:sz w:val="22"/>
                <w:szCs w:val="22"/>
                <w:color w:val="auto"/>
              </w:rPr>
              <w:t>8</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10.</w:t>
            </w:r>
          </w:p>
        </w:tc>
        <w:tc>
          <w:tcPr>
            <w:tcW w:w="8260" w:type="dxa"/>
            <w:vAlign w:val="bottom"/>
          </w:tcPr>
          <w:p>
            <w:pPr>
              <w:ind w:left="180"/>
              <w:spacing w:after="0"/>
              <w:rPr>
                <w:sz w:val="20"/>
                <w:szCs w:val="20"/>
                <w:color w:val="auto"/>
              </w:rPr>
            </w:pPr>
            <w:r>
              <w:rPr>
                <w:rFonts w:ascii="Arial" w:cs="Arial" w:eastAsia="Arial" w:hAnsi="Arial"/>
                <w:sz w:val="22"/>
                <w:szCs w:val="22"/>
                <w:color w:val="auto"/>
              </w:rPr>
              <w:t>Grantee’s Acknowledgment</w:t>
            </w:r>
          </w:p>
        </w:tc>
        <w:tc>
          <w:tcPr>
            <w:tcW w:w="1480" w:type="dxa"/>
            <w:vAlign w:val="bottom"/>
          </w:tcPr>
          <w:p>
            <w:pPr>
              <w:ind w:left="1240"/>
              <w:spacing w:after="0"/>
              <w:rPr>
                <w:sz w:val="20"/>
                <w:szCs w:val="20"/>
                <w:color w:val="auto"/>
              </w:rPr>
            </w:pPr>
            <w:r>
              <w:rPr>
                <w:rFonts w:ascii="Arial" w:cs="Arial" w:eastAsia="Arial" w:hAnsi="Arial"/>
                <w:sz w:val="22"/>
                <w:szCs w:val="22"/>
                <w:color w:val="auto"/>
              </w:rPr>
              <w:t>8</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11.</w:t>
            </w:r>
          </w:p>
        </w:tc>
        <w:tc>
          <w:tcPr>
            <w:tcW w:w="826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1480" w:type="dxa"/>
            <w:vAlign w:val="bottom"/>
          </w:tcPr>
          <w:p>
            <w:pPr>
              <w:ind w:left="1240"/>
              <w:spacing w:after="0"/>
              <w:rPr>
                <w:sz w:val="20"/>
                <w:szCs w:val="20"/>
                <w:color w:val="auto"/>
              </w:rPr>
            </w:pPr>
            <w:r>
              <w:rPr>
                <w:rFonts w:ascii="Arial" w:cs="Arial" w:eastAsia="Arial" w:hAnsi="Arial"/>
                <w:sz w:val="22"/>
                <w:szCs w:val="22"/>
                <w:color w:val="auto"/>
              </w:rPr>
              <w:t>9</w:t>
            </w:r>
          </w:p>
        </w:tc>
      </w:tr>
      <w:tr>
        <w:trPr>
          <w:trHeight w:val="311"/>
        </w:trPr>
        <w:tc>
          <w:tcPr>
            <w:tcW w:w="9400" w:type="dxa"/>
            <w:vAlign w:val="bottom"/>
            <w:gridSpan w:val="3"/>
          </w:tcPr>
          <w:p>
            <w:pPr>
              <w:spacing w:after="0"/>
              <w:rPr>
                <w:sz w:val="20"/>
                <w:szCs w:val="20"/>
                <w:color w:val="auto"/>
              </w:rPr>
            </w:pPr>
            <w:r>
              <w:rPr>
                <w:rFonts w:ascii="Arial" w:cs="Arial" w:eastAsia="Arial" w:hAnsi="Arial"/>
                <w:sz w:val="22"/>
                <w:szCs w:val="22"/>
                <w:color w:val="auto"/>
              </w:rPr>
              <w:t>Section 12.  Restrictive Covenants, Remedies, and Additional Terms and Conditions</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11</w:t>
            </w:r>
          </w:p>
        </w:tc>
      </w:tr>
      <w:tr>
        <w:trPr>
          <w:trHeight w:val="310"/>
        </w:trPr>
        <w:tc>
          <w:tcPr>
            <w:tcW w:w="9400" w:type="dxa"/>
            <w:vAlign w:val="bottom"/>
            <w:gridSpan w:val="3"/>
          </w:tcPr>
          <w:p>
            <w:pPr>
              <w:spacing w:after="0"/>
              <w:rPr>
                <w:sz w:val="20"/>
                <w:szCs w:val="20"/>
                <w:color w:val="auto"/>
              </w:rPr>
            </w:pPr>
            <w:r>
              <w:rPr>
                <w:rFonts w:ascii="Arial" w:cs="Arial" w:eastAsia="Arial" w:hAnsi="Arial"/>
                <w:sz w:val="22"/>
                <w:szCs w:val="22"/>
                <w:color w:val="auto"/>
              </w:rPr>
              <w:t>Section 13.  Governing Law and Choice of Venue</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13</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14.</w:t>
            </w:r>
          </w:p>
        </w:tc>
        <w:tc>
          <w:tcPr>
            <w:tcW w:w="826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13</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15.</w:t>
            </w:r>
          </w:p>
        </w:tc>
        <w:tc>
          <w:tcPr>
            <w:tcW w:w="8260" w:type="dxa"/>
            <w:vAlign w:val="bottom"/>
          </w:tcPr>
          <w:p>
            <w:pPr>
              <w:ind w:left="180"/>
              <w:spacing w:after="0"/>
              <w:rPr>
                <w:sz w:val="20"/>
                <w:szCs w:val="20"/>
                <w:color w:val="auto"/>
              </w:rPr>
            </w:pPr>
            <w:r>
              <w:rPr>
                <w:rFonts w:ascii="Arial" w:cs="Arial" w:eastAsia="Arial" w:hAnsi="Arial"/>
                <w:sz w:val="22"/>
                <w:szCs w:val="22"/>
                <w:color w:val="auto"/>
              </w:rPr>
              <w:t>Compensation Recovery</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14</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16.</w:t>
            </w:r>
          </w:p>
        </w:tc>
        <w:tc>
          <w:tcPr>
            <w:tcW w:w="8260" w:type="dxa"/>
            <w:vAlign w:val="bottom"/>
          </w:tcPr>
          <w:p>
            <w:pPr>
              <w:ind w:left="160"/>
              <w:spacing w:after="0"/>
              <w:rPr>
                <w:sz w:val="20"/>
                <w:szCs w:val="20"/>
                <w:color w:val="auto"/>
              </w:rPr>
            </w:pPr>
            <w:r>
              <w:rPr>
                <w:rFonts w:ascii="Arial" w:cs="Arial" w:eastAsia="Arial" w:hAnsi="Arial"/>
                <w:sz w:val="22"/>
                <w:szCs w:val="22"/>
                <w:color w:val="auto"/>
              </w:rPr>
              <w:t>Award Subject to Acknowledgement of Acceptance</w:t>
            </w:r>
          </w:p>
        </w:tc>
        <w:tc>
          <w:tcPr>
            <w:tcW w:w="1480" w:type="dxa"/>
            <w:vAlign w:val="bottom"/>
          </w:tcPr>
          <w:p>
            <w:pPr>
              <w:ind w:left="1240"/>
              <w:spacing w:after="0"/>
              <w:rPr>
                <w:sz w:val="20"/>
                <w:szCs w:val="20"/>
                <w:color w:val="auto"/>
              </w:rPr>
            </w:pPr>
            <w:r>
              <w:rPr>
                <w:rFonts w:ascii="Arial" w:cs="Arial" w:eastAsia="Arial" w:hAnsi="Arial"/>
                <w:sz w:val="22"/>
                <w:szCs w:val="22"/>
                <w:color w:val="auto"/>
                <w:w w:val="89"/>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Page 2</w:t>
      </w:r>
    </w:p>
    <w:p>
      <w:pPr>
        <w:sectPr>
          <w:pgSz w:w="11900" w:h="16838" w:orient="portrait"/>
          <w:cols w:equalWidth="0" w:num="1">
            <w:col w:w="10960"/>
          </w:cols>
          <w:pgMar w:left="320" w:top="363" w:right="61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1.</w:t>
        <w:tab/>
        <w:t>Grant of Shareholder Value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0000FF"/>
        </w:rPr>
        <w:t>http://myequity.lilly.com</w:t>
      </w:r>
      <w:r>
        <w:rPr>
          <w:rFonts w:ascii="Arial" w:cs="Arial" w:eastAsia="Arial" w:hAnsi="Arial"/>
          <w:sz w:val="22"/>
          <w:szCs w:val="22"/>
          <w:color w:val="auto"/>
        </w:rPr>
        <w:t xml:space="preserve"> (the "Target Number of Shares").</w:t>
      </w:r>
    </w:p>
    <w:p>
      <w:pPr>
        <w:spacing w:after="0" w:line="65"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205" w:lineRule="exact"/>
        <w:rPr>
          <w:sz w:val="20"/>
          <w:szCs w:val="20"/>
          <w:color w:val="auto"/>
        </w:rPr>
      </w:pPr>
    </w:p>
    <w:p>
      <w:pPr>
        <w:jc w:val="both"/>
        <w:ind w:left="42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22"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66"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67" w:lineRule="exact"/>
        <w:rPr>
          <w:sz w:val="20"/>
          <w:szCs w:val="20"/>
          <w:color w:val="auto"/>
        </w:rPr>
      </w:pPr>
    </w:p>
    <w:p>
      <w:pPr>
        <w:jc w:val="both"/>
        <w:ind w:left="420" w:right="20"/>
        <w:spacing w:after="0" w:line="225"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76"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hanging="644"/>
        <w:spacing w:after="0" w:line="211" w:lineRule="auto"/>
        <w:tabs>
          <w:tab w:leader="none" w:pos="1291"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Retirement; Death; Disability</w:t>
      </w:r>
      <w:r>
        <w:rPr>
          <w:rFonts w:ascii="Arial" w:cs="Arial" w:eastAsia="Arial" w:hAnsi="Arial"/>
          <w:sz w:val="22"/>
          <w:szCs w:val="22"/>
          <w:color w:val="auto"/>
        </w:rPr>
        <w:t>. Except as otherwise provided below (including Section 12), in the event the Grantee’s Service is terminated (i) on or following the Retirement Vesting Date due to the Grantee’s Retirement, (ii) due to the Grantee’s death, or (iii)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w:t>
      </w:r>
    </w:p>
    <w:p>
      <w:pPr>
        <w:sectPr>
          <w:pgSz w:w="11900" w:h="16838" w:orient="portrait"/>
          <w:cols w:equalWidth="0" w:num="1">
            <w:col w:w="11240"/>
          </w:cols>
          <w:pgMar w:left="320" w:top="363" w:right="3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23" w:lineRule="auto"/>
        <w:rPr>
          <w:sz w:val="20"/>
          <w:szCs w:val="20"/>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6"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66"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9" w:lineRule="exact"/>
        <w:rPr>
          <w:sz w:val="20"/>
          <w:szCs w:val="20"/>
          <w:color w:val="auto"/>
        </w:rPr>
      </w:pPr>
    </w:p>
    <w:p>
      <w:pPr>
        <w:jc w:val="both"/>
        <w:ind w:left="1300" w:hanging="644"/>
        <w:spacing w:after="0" w:line="215" w:lineRule="auto"/>
        <w:tabs>
          <w:tab w:leader="none" w:pos="1292"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65" w:lineRule="exact"/>
        <w:rPr>
          <w:rFonts w:ascii="Arial" w:cs="Arial" w:eastAsia="Arial" w:hAnsi="Arial"/>
          <w:sz w:val="22"/>
          <w:szCs w:val="22"/>
          <w:color w:val="auto"/>
        </w:rPr>
      </w:pPr>
    </w:p>
    <w:p>
      <w:pPr>
        <w:ind w:left="1300" w:right="20"/>
        <w:spacing w:after="0" w:line="225" w:lineRule="auto"/>
        <w:rPr>
          <w:rFonts w:ascii="Arial" w:cs="Arial" w:eastAsia="Arial" w:hAnsi="Arial"/>
          <w:sz w:val="22"/>
          <w:szCs w:val="22"/>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65" w:lineRule="exact"/>
        <w:rPr>
          <w:rFonts w:ascii="Arial" w:cs="Arial" w:eastAsia="Arial" w:hAnsi="Arial"/>
          <w:sz w:val="22"/>
          <w:szCs w:val="22"/>
          <w:color w:val="auto"/>
        </w:rPr>
      </w:pPr>
    </w:p>
    <w:p>
      <w:pPr>
        <w:ind w:left="1960" w:hanging="332"/>
        <w:spacing w:after="0"/>
        <w:tabs>
          <w:tab w:leader="none" w:pos="196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18" w:lineRule="auto"/>
        <w:tabs>
          <w:tab w:leader="none" w:pos="1954"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1300" w:right="76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30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65" w:lineRule="exact"/>
        <w:rPr>
          <w:sz w:val="20"/>
          <w:szCs w:val="20"/>
          <w:color w:val="auto"/>
        </w:rPr>
      </w:pPr>
    </w:p>
    <w:p>
      <w:pPr>
        <w:jc w:val="both"/>
        <w:ind w:left="1300" w:hanging="644"/>
        <w:spacing w:after="0" w:line="210" w:lineRule="auto"/>
        <w:tabs>
          <w:tab w:leader="none" w:pos="1291"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w:t>
      </w:r>
    </w:p>
    <w:p>
      <w:pPr>
        <w:sectPr>
          <w:pgSz w:w="11900" w:h="16838" w:orient="portrait"/>
          <w:cols w:equalWidth="0" w:num="1">
            <w:col w:w="11240"/>
          </w:cols>
          <w:pgMar w:left="320" w:top="363" w:right="3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20"/>
        <w:spacing w:after="0" w:line="211" w:lineRule="auto"/>
        <w:rPr>
          <w:sz w:val="20"/>
          <w:szCs w:val="20"/>
          <w:color w:val="auto"/>
        </w:rPr>
      </w:pPr>
      <w:r>
        <w:rPr>
          <w:rFonts w:ascii="Arial" w:cs="Arial" w:eastAsia="Arial" w:hAnsi="Arial"/>
          <w:sz w:val="22"/>
          <w:szCs w:val="22"/>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4.</w:t>
        <w:tab/>
        <w:t>Change in Control</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jc w:val="both"/>
        <w:ind w:left="1300" w:hanging="644"/>
        <w:spacing w:after="0" w:line="218" w:lineRule="auto"/>
        <w:tabs>
          <w:tab w:leader="none" w:pos="129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66"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70" w:lineRule="exact"/>
        <w:rPr>
          <w:rFonts w:ascii="Arial" w:cs="Arial" w:eastAsia="Arial" w:hAnsi="Arial"/>
          <w:sz w:val="22"/>
          <w:szCs w:val="22"/>
          <w:color w:val="auto"/>
        </w:rPr>
      </w:pPr>
    </w:p>
    <w:p>
      <w:pPr>
        <w:jc w:val="both"/>
        <w:ind w:left="1960" w:hanging="332"/>
        <w:spacing w:after="0" w:line="215" w:lineRule="auto"/>
        <w:tabs>
          <w:tab w:leader="none" w:pos="19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54" w:val="left"/>
        </w:tabs>
        <w:numPr>
          <w:ilvl w:val="1"/>
          <w:numId w:val="178"/>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65"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5" w:lineRule="exact"/>
        <w:rPr>
          <w:sz w:val="20"/>
          <w:szCs w:val="20"/>
          <w:color w:val="auto"/>
        </w:rPr>
      </w:pPr>
    </w:p>
    <w:p>
      <w:pPr>
        <w:jc w:val="both"/>
        <w:ind w:left="1300" w:hanging="644"/>
        <w:spacing w:after="0" w:line="215" w:lineRule="auto"/>
        <w:tabs>
          <w:tab w:leader="none" w:pos="129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5.</w:t>
        <w:tab/>
        <w:t>Settlement</w:t>
      </w:r>
    </w:p>
    <w:p>
      <w:pPr>
        <w:spacing w:after="0" w:line="76" w:lineRule="exact"/>
        <w:rPr>
          <w:sz w:val="20"/>
          <w:szCs w:val="20"/>
          <w:color w:val="auto"/>
        </w:rPr>
      </w:pPr>
    </w:p>
    <w:p>
      <w:pPr>
        <w:ind w:left="1300" w:hanging="644"/>
        <w:spacing w:after="0" w:line="225" w:lineRule="auto"/>
        <w:tabs>
          <w:tab w:leader="none" w:pos="129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w:t>
      </w:r>
    </w:p>
    <w:p>
      <w:pPr>
        <w:sectPr>
          <w:pgSz w:w="11900" w:h="16838" w:orient="portrait"/>
          <w:cols w:equalWidth="0" w:num="1">
            <w:col w:w="11240"/>
          </w:cols>
          <w:pgMar w:left="320" w:top="363" w:right="3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hanging="644"/>
        <w:spacing w:after="0" w:line="208" w:lineRule="auto"/>
        <w:tabs>
          <w:tab w:leader="none" w:pos="129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72" w:lineRule="exact"/>
        <w:rPr>
          <w:rFonts w:ascii="Arial" w:cs="Arial" w:eastAsia="Arial" w:hAnsi="Arial"/>
          <w:sz w:val="22"/>
          <w:szCs w:val="22"/>
          <w:color w:val="auto"/>
        </w:rPr>
      </w:pPr>
    </w:p>
    <w:p>
      <w:pPr>
        <w:jc w:val="both"/>
        <w:ind w:left="1300" w:hanging="644"/>
        <w:spacing w:after="0" w:line="204" w:lineRule="auto"/>
        <w:tabs>
          <w:tab w:leader="none" w:pos="129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w:t>
      </w:r>
    </w:p>
    <w:p>
      <w:pPr>
        <w:spacing w:after="0" w:line="3" w:lineRule="exact"/>
        <w:rPr>
          <w:rFonts w:ascii="Arial" w:cs="Arial" w:eastAsia="Arial" w:hAnsi="Arial"/>
          <w:sz w:val="22"/>
          <w:szCs w:val="22"/>
          <w:color w:val="auto"/>
        </w:rPr>
      </w:pPr>
    </w:p>
    <w:p>
      <w:pPr>
        <w:jc w:val="both"/>
        <w:ind w:left="1300" w:firstLine="4"/>
        <w:spacing w:after="0" w:line="218" w:lineRule="auto"/>
        <w:tabs>
          <w:tab w:leader="none" w:pos="1619" w:val="left"/>
        </w:tabs>
        <w:numPr>
          <w:ilvl w:val="1"/>
          <w:numId w:val="181"/>
        </w:numPr>
        <w:rPr>
          <w:rFonts w:ascii="Arial" w:cs="Arial" w:eastAsia="Arial" w:hAnsi="Arial"/>
          <w:sz w:val="22"/>
          <w:szCs w:val="22"/>
          <w:color w:val="auto"/>
        </w:rPr>
      </w:pPr>
      <w:r>
        <w:rPr>
          <w:rFonts w:ascii="Arial" w:cs="Arial" w:eastAsia="Arial" w:hAnsi="Arial"/>
          <w:sz w:val="22"/>
          <w:szCs w:val="22"/>
          <w:color w:val="auto"/>
        </w:rPr>
        <w:t>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6" w:lineRule="exact"/>
        <w:rPr>
          <w:rFonts w:ascii="Arial" w:cs="Arial" w:eastAsia="Arial" w:hAnsi="Arial"/>
          <w:sz w:val="22"/>
          <w:szCs w:val="22"/>
          <w:color w:val="auto"/>
        </w:rPr>
      </w:pPr>
    </w:p>
    <w:p>
      <w:pPr>
        <w:jc w:val="both"/>
        <w:ind w:left="1300" w:hanging="644"/>
        <w:spacing w:after="0" w:line="229" w:lineRule="auto"/>
        <w:tabs>
          <w:tab w:leader="none" w:pos="1291"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64" w:lineRule="exact"/>
        <w:rPr>
          <w:rFonts w:ascii="Arial" w:cs="Arial" w:eastAsia="Arial" w:hAnsi="Arial"/>
          <w:sz w:val="21"/>
          <w:szCs w:val="21"/>
          <w:color w:val="auto"/>
        </w:rPr>
      </w:pPr>
    </w:p>
    <w:p>
      <w:pPr>
        <w:jc w:val="both"/>
        <w:ind w:left="1300" w:hanging="644"/>
        <w:spacing w:after="0" w:line="223" w:lineRule="auto"/>
        <w:tabs>
          <w:tab w:leader="none" w:pos="1291"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21"/>
          <w:szCs w:val="21"/>
          <w:color w:val="auto"/>
        </w:rPr>
      </w:pPr>
    </w:p>
    <w:p>
      <w:pPr>
        <w:ind w:left="1300" w:right="20" w:hanging="644"/>
        <w:spacing w:after="0" w:line="225" w:lineRule="auto"/>
        <w:tabs>
          <w:tab w:leader="none" w:pos="129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6.</w:t>
        <w:tab/>
        <w:t>Rights of the Grantee</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Shareholder Value Award does not entitle the Grantee to any rights of a shareholder of Lilly until such time as the Shareholder Value Award is settled and Shares are issued or transferred to the Grantee.</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7.</w:t>
        <w:tab/>
        <w:t>Prohibition Against Transfer</w:t>
      </w:r>
    </w:p>
    <w:p>
      <w:pPr>
        <w:spacing w:after="0" w:line="76" w:lineRule="exact"/>
        <w:rPr>
          <w:sz w:val="20"/>
          <w:szCs w:val="20"/>
          <w:color w:val="auto"/>
        </w:rPr>
      </w:pPr>
    </w:p>
    <w:p>
      <w:pPr>
        <w:jc w:val="both"/>
        <w:ind w:left="400"/>
        <w:spacing w:after="0" w:line="218"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w:t>
      </w:r>
    </w:p>
    <w:p>
      <w:pPr>
        <w:sectPr>
          <w:pgSz w:w="11900" w:h="16838" w:orient="portrait"/>
          <w:cols w:equalWidth="0" w:num="1">
            <w:col w:w="11240"/>
          </w:cols>
          <w:pgMar w:left="320" w:top="363" w:right="3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00"/>
        <w:spacing w:after="0" w:line="218" w:lineRule="auto"/>
        <w:rPr>
          <w:sz w:val="20"/>
          <w:szCs w:val="20"/>
          <w:color w:val="auto"/>
        </w:rPr>
      </w:pPr>
      <w:r>
        <w:rPr>
          <w:rFonts w:ascii="Arial" w:cs="Arial" w:eastAsia="Arial" w:hAnsi="Arial"/>
          <w:sz w:val="22"/>
          <w:szCs w:val="22"/>
          <w:color w:val="auto"/>
        </w:rPr>
        <w:t>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8.</w:t>
        <w:tab/>
        <w:t>Responsibility for Taxes</w:t>
      </w:r>
    </w:p>
    <w:p>
      <w:pPr>
        <w:spacing w:after="0" w:line="76" w:lineRule="exact"/>
        <w:rPr>
          <w:sz w:val="20"/>
          <w:szCs w:val="20"/>
          <w:color w:val="auto"/>
        </w:rPr>
      </w:pPr>
    </w:p>
    <w:p>
      <w:pPr>
        <w:jc w:val="both"/>
        <w:ind w:left="1300" w:hanging="644"/>
        <w:spacing w:after="0" w:line="214" w:lineRule="auto"/>
        <w:tabs>
          <w:tab w:leader="none" w:pos="1291" w:val="left"/>
        </w:tabs>
        <w:numPr>
          <w:ilvl w:val="0"/>
          <w:numId w:val="183"/>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4" w:lineRule="exact"/>
        <w:rPr>
          <w:rFonts w:ascii="Arial" w:cs="Arial" w:eastAsia="Arial" w:hAnsi="Arial"/>
          <w:sz w:val="21"/>
          <w:szCs w:val="21"/>
          <w:color w:val="auto"/>
        </w:rPr>
      </w:pPr>
    </w:p>
    <w:p>
      <w:pPr>
        <w:jc w:val="both"/>
        <w:ind w:left="1300" w:firstLine="4"/>
        <w:spacing w:after="0" w:line="209" w:lineRule="auto"/>
        <w:tabs>
          <w:tab w:leader="none" w:pos="1608" w:val="left"/>
        </w:tabs>
        <w:numPr>
          <w:ilvl w:val="1"/>
          <w:numId w:val="183"/>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5" w:lineRule="exact"/>
        <w:rPr>
          <w:rFonts w:ascii="Arial" w:cs="Arial" w:eastAsia="Arial" w:hAnsi="Arial"/>
          <w:sz w:val="22"/>
          <w:szCs w:val="22"/>
          <w:color w:val="auto"/>
        </w:rPr>
      </w:pPr>
    </w:p>
    <w:p>
      <w:pPr>
        <w:ind w:left="1300" w:right="20" w:hanging="644"/>
        <w:spacing w:after="0" w:line="225" w:lineRule="auto"/>
        <w:tabs>
          <w:tab w:leader="none" w:pos="129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2"/>
          <w:numId w:val="183"/>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rFonts w:ascii="Arial" w:cs="Arial" w:eastAsia="Arial" w:hAnsi="Arial"/>
          <w:sz w:val="22"/>
          <w:szCs w:val="22"/>
          <w:color w:val="auto"/>
        </w:rPr>
      </w:pPr>
    </w:p>
    <w:p>
      <w:pPr>
        <w:jc w:val="both"/>
        <w:ind w:left="1960" w:hanging="332"/>
        <w:spacing w:after="0" w:line="208" w:lineRule="auto"/>
        <w:tabs>
          <w:tab w:leader="none" w:pos="1954" w:val="left"/>
        </w:tabs>
        <w:numPr>
          <w:ilvl w:val="2"/>
          <w:numId w:val="183"/>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2" w:lineRule="exact"/>
        <w:rPr>
          <w:rFonts w:ascii="Arial" w:cs="Arial" w:eastAsia="Arial" w:hAnsi="Arial"/>
          <w:sz w:val="22"/>
          <w:szCs w:val="22"/>
          <w:color w:val="auto"/>
        </w:rPr>
      </w:pPr>
    </w:p>
    <w:p>
      <w:pPr>
        <w:jc w:val="both"/>
        <w:ind w:left="1960" w:hanging="332"/>
        <w:spacing w:after="0" w:line="218" w:lineRule="auto"/>
        <w:tabs>
          <w:tab w:leader="none" w:pos="1948" w:val="left"/>
        </w:tabs>
        <w:numPr>
          <w:ilvl w:val="2"/>
          <w:numId w:val="183"/>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subject to the short-swing profit rules of Section 16(b) of the Exchange Act, Lilly will withhold in Shares otherwise issuable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w:t>
      </w:r>
    </w:p>
    <w:p>
      <w:pPr>
        <w:sectPr>
          <w:pgSz w:w="11900" w:h="16838" w:orient="portrait"/>
          <w:cols w:equalWidth="0" w:num="1">
            <w:col w:w="11240"/>
          </w:cols>
          <w:pgMar w:left="320" w:top="363" w:right="3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960"/>
        <w:spacing w:after="0" w:line="215" w:lineRule="auto"/>
        <w:rPr>
          <w:sz w:val="20"/>
          <w:szCs w:val="20"/>
          <w:color w:val="auto"/>
        </w:rPr>
      </w:pPr>
      <w:r>
        <w:rPr>
          <w:rFonts w:ascii="Arial" w:cs="Arial" w:eastAsia="Arial" w:hAnsi="Arial"/>
          <w:sz w:val="22"/>
          <w:szCs w:val="22"/>
          <w:color w:val="auto"/>
        </w:rPr>
        <w:t>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6" w:lineRule="exact"/>
        <w:rPr>
          <w:sz w:val="20"/>
          <w:szCs w:val="20"/>
          <w:color w:val="auto"/>
        </w:rPr>
      </w:pPr>
    </w:p>
    <w:p>
      <w:pPr>
        <w:jc w:val="both"/>
        <w:ind w:left="1300" w:hanging="644"/>
        <w:spacing w:after="0" w:line="210" w:lineRule="auto"/>
        <w:tabs>
          <w:tab w:leader="none" w:pos="1292" w:val="left"/>
        </w:tabs>
        <w:numPr>
          <w:ilvl w:val="0"/>
          <w:numId w:val="184"/>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5"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5"/>
          <w:szCs w:val="25"/>
          <w:color w:val="auto"/>
        </w:rPr>
        <w:t xml:space="preserve">Section 9.  </w:t>
      </w:r>
      <w:r>
        <w:rPr>
          <w:rFonts w:ascii="Arial" w:cs="Arial" w:eastAsia="Arial" w:hAnsi="Arial"/>
          <w:sz w:val="23"/>
          <w:szCs w:val="23"/>
          <w:color w:val="auto"/>
        </w:rPr>
        <w:t>Section 409A Compliance</w:t>
      </w:r>
    </w:p>
    <w:p>
      <w:pPr>
        <w:spacing w:after="0" w:line="15"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10. Grantee’s Acknowledgment</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14" w:lineRule="exact"/>
        <w:rPr>
          <w:sz w:val="20"/>
          <w:szCs w:val="20"/>
          <w:color w:val="auto"/>
        </w:rPr>
      </w:pPr>
    </w:p>
    <w:p>
      <w:pPr>
        <w:ind w:left="1300" w:hanging="644"/>
        <w:spacing w:after="0" w:line="225" w:lineRule="auto"/>
        <w:tabs>
          <w:tab w:leader="none" w:pos="129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300" w:hanging="644"/>
        <w:spacing w:after="0"/>
        <w:tabs>
          <w:tab w:leader="none" w:pos="130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neither the Award nor any provision of this Award Agreement, the Plan or the policies adopted pursuant to the Plan, confer upon the Grantee any right with respect to employment or continuation of current employment, and in the event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w:t>
      </w:r>
    </w:p>
    <w:p>
      <w:pPr>
        <w:sectPr>
          <w:pgSz w:w="11900" w:h="16838" w:orient="portrait"/>
          <w:cols w:equalWidth="0" w:num="1">
            <w:col w:w="11240"/>
          </w:cols>
          <w:pgMar w:left="320" w:top="363" w:right="3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Grantee is not an employee of Lilly or any subsidiary of Lilly, the Award shall not be interpreted to form an employment contract or relationship with Lilly or any Affiliate;</w:t>
      </w:r>
    </w:p>
    <w:p>
      <w:pPr>
        <w:spacing w:after="0" w:line="66" w:lineRule="exact"/>
        <w:rPr>
          <w:sz w:val="20"/>
          <w:szCs w:val="20"/>
          <w:color w:val="auto"/>
        </w:rPr>
      </w:pPr>
    </w:p>
    <w:p>
      <w:pPr>
        <w:ind w:left="1300" w:hanging="644"/>
        <w:spacing w:after="0" w:line="225" w:lineRule="auto"/>
        <w:tabs>
          <w:tab w:leader="none" w:pos="129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5" w:lineRule="exact"/>
        <w:rPr>
          <w:rFonts w:ascii="Arial" w:cs="Arial" w:eastAsia="Arial" w:hAnsi="Arial"/>
          <w:sz w:val="22"/>
          <w:szCs w:val="22"/>
          <w:color w:val="auto"/>
        </w:rPr>
      </w:pPr>
    </w:p>
    <w:p>
      <w:pPr>
        <w:jc w:val="both"/>
        <w:ind w:left="1300" w:hanging="644"/>
        <w:spacing w:after="0" w:line="208"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5" w:lineRule="exact"/>
        <w:rPr>
          <w:rFonts w:ascii="Arial" w:cs="Arial" w:eastAsia="Arial" w:hAnsi="Arial"/>
          <w:sz w:val="22"/>
          <w:szCs w:val="22"/>
          <w:color w:val="auto"/>
        </w:rPr>
      </w:pPr>
    </w:p>
    <w:p>
      <w:pPr>
        <w:ind w:left="1300" w:hanging="644"/>
        <w:spacing w:after="0" w:line="225"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7"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Company has communicated share ownership guidelines that apply to the Grantee, and the Grantee understands and agrees that those guidelines may impact any Shares subject to, or issued pursuant to the Award.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5"/>
          <w:szCs w:val="25"/>
          <w:color w:val="auto"/>
        </w:rPr>
        <w:t>Section 11.</w:t>
      </w:r>
      <w:r>
        <w:rPr>
          <w:rFonts w:ascii="Arial" w:cs="Arial" w:eastAsia="Arial" w:hAnsi="Arial"/>
          <w:sz w:val="23"/>
          <w:szCs w:val="23"/>
          <w:color w:val="auto"/>
        </w:rPr>
        <w:t>Data Privacy</w:t>
      </w:r>
    </w:p>
    <w:p>
      <w:pPr>
        <w:spacing w:after="0" w:line="47" w:lineRule="exact"/>
        <w:rPr>
          <w:sz w:val="20"/>
          <w:szCs w:val="20"/>
          <w:color w:val="auto"/>
        </w:rPr>
      </w:pPr>
    </w:p>
    <w:p>
      <w:pPr>
        <w:jc w:val="both"/>
        <w:ind w:left="1300" w:hanging="644"/>
        <w:spacing w:after="0" w:line="211" w:lineRule="auto"/>
        <w:tabs>
          <w:tab w:leader="none" w:pos="1291" w:val="left"/>
        </w:tabs>
        <w:numPr>
          <w:ilvl w:val="0"/>
          <w:numId w:val="18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w:t>
      </w:r>
    </w:p>
    <w:p>
      <w:pPr>
        <w:sectPr>
          <w:pgSz w:w="11900" w:h="16838" w:orient="portrait"/>
          <w:cols w:equalWidth="0" w:num="1">
            <w:col w:w="11240"/>
          </w:cols>
          <w:pgMar w:left="320" w:top="363" w:right="3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20"/>
        <w:spacing w:after="0" w:line="235" w:lineRule="auto"/>
        <w:rPr>
          <w:sz w:val="20"/>
          <w:szCs w:val="20"/>
          <w:color w:val="auto"/>
        </w:rPr>
      </w:pPr>
      <w:r>
        <w:rPr>
          <w:rFonts w:ascii="Arial" w:cs="Arial" w:eastAsia="Arial" w:hAnsi="Arial"/>
          <w:sz w:val="22"/>
          <w:szCs w:val="22"/>
          <w:i w:val="1"/>
          <w:iCs w:val="1"/>
          <w:color w:val="auto"/>
        </w:rPr>
        <w:t>listed or traded or regulatory filings are made and the legal basis, where required, for such disclosure are the Applicable Laws.</w:t>
      </w:r>
    </w:p>
    <w:p>
      <w:pPr>
        <w:spacing w:after="0" w:line="45" w:lineRule="exact"/>
        <w:rPr>
          <w:sz w:val="20"/>
          <w:szCs w:val="20"/>
          <w:color w:val="auto"/>
        </w:rPr>
      </w:pPr>
    </w:p>
    <w:p>
      <w:pPr>
        <w:jc w:val="both"/>
        <w:ind w:left="1300" w:hanging="644"/>
        <w:spacing w:after="0" w:line="211" w:lineRule="auto"/>
        <w:tabs>
          <w:tab w:leader="none" w:pos="1291" w:val="left"/>
        </w:tabs>
        <w:numPr>
          <w:ilvl w:val="0"/>
          <w:numId w:val="18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44" w:lineRule="exact"/>
        <w:rPr>
          <w:rFonts w:ascii="Arial" w:cs="Arial" w:eastAsia="Arial" w:hAnsi="Arial"/>
          <w:sz w:val="22"/>
          <w:szCs w:val="22"/>
          <w:i w:val="1"/>
          <w:iCs w:val="1"/>
          <w:color w:val="auto"/>
        </w:rPr>
      </w:pPr>
    </w:p>
    <w:p>
      <w:pPr>
        <w:jc w:val="both"/>
        <w:ind w:left="1300" w:hanging="644"/>
        <w:spacing w:after="0" w:line="236" w:lineRule="auto"/>
        <w:tabs>
          <w:tab w:leader="none" w:pos="1292" w:val="left"/>
        </w:tabs>
        <w:numPr>
          <w:ilvl w:val="0"/>
          <w:numId w:val="188"/>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3" w:lineRule="exact"/>
        <w:rPr>
          <w:rFonts w:ascii="Arial" w:cs="Arial" w:eastAsia="Arial" w:hAnsi="Arial"/>
          <w:sz w:val="21"/>
          <w:szCs w:val="21"/>
          <w:i w:val="1"/>
          <w:iCs w:val="1"/>
          <w:color w:val="auto"/>
        </w:rPr>
      </w:pPr>
    </w:p>
    <w:p>
      <w:pPr>
        <w:jc w:val="both"/>
        <w:ind w:left="1300" w:hanging="644"/>
        <w:spacing w:after="0" w:line="225" w:lineRule="auto"/>
        <w:tabs>
          <w:tab w:leader="none" w:pos="1291" w:val="left"/>
        </w:tabs>
        <w:numPr>
          <w:ilvl w:val="0"/>
          <w:numId w:val="18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4"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18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jc w:val="both"/>
        <w:ind w:left="1300" w:hanging="644"/>
        <w:spacing w:after="0" w:line="208" w:lineRule="auto"/>
        <w:tabs>
          <w:tab w:leader="none" w:pos="1299" w:val="left"/>
        </w:tabs>
        <w:numPr>
          <w:ilvl w:val="0"/>
          <w:numId w:val="18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10</w:t>
      </w:r>
    </w:p>
    <w:p>
      <w:pPr>
        <w:sectPr>
          <w:pgSz w:w="11900" w:h="16838" w:orient="portrait"/>
          <w:cols w:equalWidth="0" w:num="1">
            <w:col w:w="11240"/>
          </w:cols>
          <w:pgMar w:left="320" w:top="363" w:right="3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hanging="644"/>
        <w:spacing w:after="0" w:line="215" w:lineRule="auto"/>
        <w:tabs>
          <w:tab w:leader="none" w:pos="1291" w:val="left"/>
        </w:tabs>
        <w:numPr>
          <w:ilvl w:val="0"/>
          <w:numId w:val="18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12. Restrictive Covenants, Remedies, and Additional Terms and Conditions</w:t>
      </w:r>
    </w:p>
    <w:p>
      <w:pPr>
        <w:spacing w:after="0" w:line="76" w:lineRule="exact"/>
        <w:rPr>
          <w:sz w:val="20"/>
          <w:szCs w:val="20"/>
          <w:color w:val="auto"/>
        </w:rPr>
      </w:pPr>
    </w:p>
    <w:p>
      <w:pPr>
        <w:jc w:val="both"/>
        <w:ind w:left="1300" w:hanging="644"/>
        <w:spacing w:after="0" w:line="213" w:lineRule="auto"/>
        <w:tabs>
          <w:tab w:leader="none" w:pos="1291"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 following the end of the Grantee’s employment (regardless of reason), the Grantee will not directly or indirectly, on a worldwide basis, engage in any of the following activities:</w:t>
      </w:r>
    </w:p>
    <w:p>
      <w:pPr>
        <w:spacing w:after="0" w:line="65" w:lineRule="exact"/>
        <w:rPr>
          <w:rFonts w:ascii="Arial" w:cs="Arial" w:eastAsia="Arial" w:hAnsi="Arial"/>
          <w:sz w:val="22"/>
          <w:szCs w:val="22"/>
          <w:color w:val="auto"/>
        </w:rPr>
      </w:pPr>
    </w:p>
    <w:p>
      <w:pPr>
        <w:jc w:val="both"/>
        <w:ind w:left="1960" w:hanging="332"/>
        <w:spacing w:after="0" w:line="211" w:lineRule="auto"/>
        <w:tabs>
          <w:tab w:leader="none" w:pos="196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69" w:lineRule="exact"/>
        <w:rPr>
          <w:rFonts w:ascii="Arial" w:cs="Arial" w:eastAsia="Arial" w:hAnsi="Arial"/>
          <w:sz w:val="22"/>
          <w:szCs w:val="22"/>
          <w:color w:val="auto"/>
        </w:rPr>
      </w:pPr>
    </w:p>
    <w:p>
      <w:pPr>
        <w:jc w:val="both"/>
        <w:ind w:left="1960" w:hanging="332"/>
        <w:spacing w:after="0" w:line="220" w:lineRule="auto"/>
        <w:tabs>
          <w:tab w:leader="none" w:pos="1954" w:val="left"/>
        </w:tabs>
        <w:numPr>
          <w:ilvl w:val="1"/>
          <w:numId w:val="190"/>
        </w:numPr>
        <w:rPr>
          <w:rFonts w:ascii="Arial" w:cs="Arial" w:eastAsia="Arial" w:hAnsi="Arial"/>
          <w:sz w:val="21"/>
          <w:szCs w:val="21"/>
          <w:color w:val="auto"/>
        </w:rPr>
      </w:pPr>
      <w:r>
        <w:rPr>
          <w:rFonts w:ascii="Arial" w:cs="Arial" w:eastAsia="Arial" w:hAnsi="Arial"/>
          <w:sz w:val="21"/>
          <w:szCs w:val="21"/>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70"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66" w:lineRule="exact"/>
        <w:rPr>
          <w:sz w:val="20"/>
          <w:szCs w:val="20"/>
          <w:color w:val="auto"/>
        </w:rPr>
      </w:pPr>
    </w:p>
    <w:p>
      <w:pPr>
        <w:jc w:val="both"/>
        <w:ind w:left="1300"/>
        <w:spacing w:after="0" w:line="208" w:lineRule="auto"/>
        <w:rPr>
          <w:sz w:val="20"/>
          <w:szCs w:val="20"/>
          <w:color w:val="auto"/>
        </w:rPr>
      </w:pPr>
      <w:r>
        <w:rPr>
          <w:rFonts w:ascii="Arial" w:cs="Arial" w:eastAsia="Arial" w:hAnsi="Arial"/>
          <w:sz w:val="22"/>
          <w:szCs w:val="22"/>
          <w:color w:val="auto"/>
        </w:rPr>
        <w:t>For purposes of this Award Agreement, “Competitively-Sensitive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w:t>
      </w:r>
    </w:p>
    <w:p>
      <w:pPr>
        <w:sectPr>
          <w:pgSz w:w="11900" w:h="16838" w:orient="portrait"/>
          <w:cols w:equalWidth="0" w:num="1">
            <w:col w:w="11240"/>
          </w:cols>
          <w:pgMar w:left="320" w:top="363" w:right="3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300"/>
        <w:spacing w:after="0" w:line="218" w:lineRule="auto"/>
        <w:rPr>
          <w:sz w:val="20"/>
          <w:szCs w:val="20"/>
          <w:color w:val="auto"/>
        </w:rPr>
      </w:pPr>
      <w:r>
        <w:rPr>
          <w:rFonts w:ascii="Arial" w:cs="Arial" w:eastAsia="Arial" w:hAnsi="Arial"/>
          <w:sz w:val="22"/>
          <w:szCs w:val="22"/>
          <w:color w:val="auto"/>
        </w:rPr>
        <w:t>Covered Affiliate, provided the Grantee is not involved in a Competitively-Sensitive Capacity in the research, development, manufacture, provision or sale of any products that compete with any products of Lilly or a Covered Affiliate.</w:t>
      </w:r>
    </w:p>
    <w:p>
      <w:pPr>
        <w:spacing w:after="0" w:line="67"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 (b) 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71" w:lineRule="exact"/>
        <w:rPr>
          <w:sz w:val="20"/>
          <w:szCs w:val="20"/>
          <w:color w:val="auto"/>
        </w:rPr>
      </w:pPr>
    </w:p>
    <w:p>
      <w:pPr>
        <w:jc w:val="both"/>
        <w:ind w:left="1300"/>
        <w:spacing w:after="0" w:line="207" w:lineRule="auto"/>
        <w:rPr>
          <w:sz w:val="20"/>
          <w:szCs w:val="20"/>
          <w:color w:val="auto"/>
        </w:rPr>
      </w:pPr>
      <w:r>
        <w:rPr>
          <w:rFonts w:ascii="Arial" w:cs="Arial" w:eastAsia="Arial" w:hAnsi="Arial"/>
          <w:sz w:val="22"/>
          <w:szCs w:val="22"/>
          <w:color w:val="auto"/>
        </w:rPr>
        <w:t>The Grantee acknowledges and agrees that during the course of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77"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65"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each of which remains in full force and effect, or that the Grantee agrees to in the future.</w:t>
      </w:r>
    </w:p>
    <w:p>
      <w:pPr>
        <w:spacing w:after="0" w:line="70"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12</w:t>
      </w:r>
    </w:p>
    <w:p>
      <w:pPr>
        <w:sectPr>
          <w:pgSz w:w="11900" w:h="16838" w:orient="portrait"/>
          <w:cols w:equalWidth="0" w:num="1">
            <w:col w:w="11240"/>
          </w:cols>
          <w:pgMar w:left="320" w:top="363" w:right="3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right="20"/>
        <w:spacing w:after="0" w:line="225" w:lineRule="auto"/>
        <w:rPr>
          <w:sz w:val="20"/>
          <w:szCs w:val="20"/>
          <w:color w:val="auto"/>
        </w:rPr>
      </w:pPr>
      <w:r>
        <w:rPr>
          <w:rFonts w:ascii="Arial" w:cs="Arial" w:eastAsia="Arial" w:hAnsi="Arial"/>
          <w:sz w:val="22"/>
          <w:szCs w:val="22"/>
          <w:color w:val="auto"/>
        </w:rPr>
        <w:t>such breach or threatened breach, in addition to any other remedies which may be available, including the recovery of monetary damages from the Grantee.</w:t>
      </w:r>
    </w:p>
    <w:p>
      <w:pPr>
        <w:spacing w:after="0" w:line="66" w:lineRule="exact"/>
        <w:rPr>
          <w:sz w:val="20"/>
          <w:szCs w:val="20"/>
          <w:color w:val="auto"/>
        </w:rPr>
      </w:pPr>
    </w:p>
    <w:p>
      <w:pPr>
        <w:jc w:val="both"/>
        <w:ind w:left="1300" w:hanging="644"/>
        <w:spacing w:after="0" w:line="210" w:lineRule="auto"/>
        <w:tabs>
          <w:tab w:leader="none" w:pos="1291"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71" w:lineRule="exact"/>
        <w:rPr>
          <w:sz w:val="20"/>
          <w:szCs w:val="20"/>
          <w:color w:val="auto"/>
        </w:rPr>
      </w:pPr>
    </w:p>
    <w:p>
      <w:pPr>
        <w:jc w:val="both"/>
        <w:ind w:left="1060"/>
        <w:spacing w:after="0" w:line="210" w:lineRule="auto"/>
        <w:rPr>
          <w:sz w:val="20"/>
          <w:szCs w:val="20"/>
          <w:color w:val="auto"/>
        </w:rPr>
      </w:pPr>
      <w:r>
        <w:rPr>
          <w:rFonts w:ascii="Arial" w:cs="Arial" w:eastAsia="Arial" w:hAnsi="Arial"/>
          <w:sz w:val="22"/>
          <w:szCs w:val="22"/>
          <w:color w:val="auto"/>
        </w:rPr>
        <w:t>In addition,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13. Governing Law and Choice of Venue</w:t>
      </w:r>
    </w:p>
    <w:p>
      <w:pPr>
        <w:spacing w:after="0" w:line="76" w:lineRule="exact"/>
        <w:rPr>
          <w:sz w:val="20"/>
          <w:szCs w:val="20"/>
          <w:color w:val="auto"/>
        </w:rPr>
      </w:pPr>
    </w:p>
    <w:p>
      <w:pPr>
        <w:jc w:val="both"/>
        <w:ind w:left="40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of Marion County, Indiana, or the federal courts for the United States for the Southern District of Indiana, and no other courts, where this Award is granted and/or to be performed.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14. Miscellaneous Provisions</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71" w:lineRule="exact"/>
        <w:rPr>
          <w:rFonts w:ascii="Arial" w:cs="Arial" w:eastAsia="Arial" w:hAnsi="Arial"/>
          <w:sz w:val="21"/>
          <w:szCs w:val="21"/>
          <w:color w:val="auto"/>
        </w:rPr>
      </w:pPr>
    </w:p>
    <w:p>
      <w:pPr>
        <w:jc w:val="both"/>
        <w:ind w:left="1300" w:hanging="644"/>
        <w:spacing w:after="0" w:line="215" w:lineRule="auto"/>
        <w:tabs>
          <w:tab w:leader="none" w:pos="1291"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13</w:t>
      </w:r>
    </w:p>
    <w:p>
      <w:pPr>
        <w:sectPr>
          <w:pgSz w:w="11900" w:h="16838" w:orient="portrait"/>
          <w:cols w:equalWidth="0" w:num="1">
            <w:col w:w="11240"/>
          </w:cols>
          <w:pgMar w:left="320" w:top="363" w:right="33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right="20"/>
        <w:spacing w:after="0" w:line="225" w:lineRule="auto"/>
        <w:rPr>
          <w:sz w:val="20"/>
          <w:szCs w:val="20"/>
          <w:color w:val="auto"/>
        </w:rPr>
      </w:pPr>
      <w:r>
        <w:rPr>
          <w:rFonts w:ascii="Arial" w:cs="Arial" w:eastAsia="Arial" w:hAnsi="Arial"/>
          <w:sz w:val="22"/>
          <w:szCs w:val="22"/>
          <w:color w:val="auto"/>
        </w:rPr>
        <w:t>document related to the Plan translated into a language other than English and if the meaning of the translated version is different than the English version, the English version will control.</w:t>
      </w:r>
    </w:p>
    <w:p>
      <w:pPr>
        <w:spacing w:after="0" w:line="79" w:lineRule="exact"/>
        <w:rPr>
          <w:sz w:val="20"/>
          <w:szCs w:val="20"/>
          <w:color w:val="auto"/>
        </w:rPr>
      </w:pPr>
    </w:p>
    <w:p>
      <w:pPr>
        <w:jc w:val="both"/>
        <w:ind w:left="1300" w:hanging="644"/>
        <w:spacing w:after="0" w:line="218" w:lineRule="auto"/>
        <w:tabs>
          <w:tab w:leader="none" w:pos="1292"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80" w:lineRule="exact"/>
        <w:rPr>
          <w:rFonts w:ascii="Arial" w:cs="Arial" w:eastAsia="Arial" w:hAnsi="Arial"/>
          <w:sz w:val="22"/>
          <w:szCs w:val="22"/>
          <w:color w:val="auto"/>
        </w:rPr>
      </w:pPr>
    </w:p>
    <w:p>
      <w:pPr>
        <w:jc w:val="both"/>
        <w:ind w:left="1300" w:hanging="644"/>
        <w:spacing w:after="0" w:line="209" w:lineRule="auto"/>
        <w:tabs>
          <w:tab w:leader="none" w:pos="1292" w:val="left"/>
        </w:tabs>
        <w:numPr>
          <w:ilvl w:val="0"/>
          <w:numId w:val="193"/>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7" w:lineRule="exact"/>
        <w:rPr>
          <w:rFonts w:ascii="Arial" w:cs="Arial" w:eastAsia="Arial" w:hAnsi="Arial"/>
          <w:sz w:val="23"/>
          <w:szCs w:val="23"/>
          <w:color w:val="auto"/>
        </w:rPr>
      </w:pPr>
    </w:p>
    <w:p>
      <w:pPr>
        <w:ind w:left="1300"/>
        <w:spacing w:after="0" w:line="225" w:lineRule="auto"/>
        <w:rPr>
          <w:rFonts w:ascii="Arial" w:cs="Arial" w:eastAsia="Arial" w:hAnsi="Arial"/>
          <w:sz w:val="23"/>
          <w:szCs w:val="23"/>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79" w:lineRule="exact"/>
        <w:rPr>
          <w:rFonts w:ascii="Arial" w:cs="Arial" w:eastAsia="Arial" w:hAnsi="Arial"/>
          <w:sz w:val="23"/>
          <w:szCs w:val="23"/>
          <w:color w:val="auto"/>
        </w:rPr>
      </w:pPr>
    </w:p>
    <w:p>
      <w:pPr>
        <w:jc w:val="both"/>
        <w:ind w:left="1300" w:hanging="644"/>
        <w:spacing w:after="0" w:line="211" w:lineRule="auto"/>
        <w:tabs>
          <w:tab w:leader="none" w:pos="1292" w:val="left"/>
        </w:tabs>
        <w:numPr>
          <w:ilvl w:val="0"/>
          <w:numId w:val="193"/>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15. Compensation Recovery</w:t>
      </w:r>
    </w:p>
    <w:p>
      <w:pPr>
        <w:spacing w:after="0" w:line="76"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66" w:lineRule="exact"/>
        <w:rPr>
          <w:sz w:val="20"/>
          <w:szCs w:val="20"/>
          <w:color w:val="auto"/>
        </w:rPr>
      </w:pPr>
    </w:p>
    <w:p>
      <w:pPr>
        <w:jc w:val="both"/>
        <w:ind w:left="1300" w:hanging="644"/>
        <w:spacing w:after="0" w:line="210" w:lineRule="auto"/>
        <w:tabs>
          <w:tab w:leader="none" w:pos="129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70"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6" w:lineRule="exact"/>
        <w:rPr>
          <w:sz w:val="20"/>
          <w:szCs w:val="20"/>
          <w:color w:val="auto"/>
        </w:rPr>
      </w:pPr>
    </w:p>
    <w:p>
      <w:pPr>
        <w:jc w:val="both"/>
        <w:ind w:left="420"/>
        <w:spacing w:after="0" w:line="213"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14</w:t>
      </w:r>
    </w:p>
    <w:p>
      <w:pPr>
        <w:sectPr>
          <w:pgSz w:w="11900" w:h="16838" w:orient="portrait"/>
          <w:cols w:equalWidth="0" w:num="1">
            <w:col w:w="11240"/>
          </w:cols>
          <w:pgMar w:left="320" w:top="363" w:right="3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Eli Lilly and Company Shareholder Value Award Agreement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7"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16. Award Subject to Acknowledgement of Acceptance</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44"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15</w:t>
      </w:r>
    </w:p>
    <w:p>
      <w:pPr>
        <w:sectPr>
          <w:pgSz w:w="11900" w:h="16838" w:orient="portrait"/>
          <w:cols w:equalWidth="0" w:num="1">
            <w:col w:w="11240"/>
          </w:cols>
          <w:pgMar w:left="320" w:top="363"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10.7 — Form of Shareholder Value Award under the 2002 Lilly Stock Plan (non-executive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43"/>
          <w:szCs w:val="43"/>
          <w:color w:val="auto"/>
        </w:rPr>
        <w:t>Eli Lilly and Company</w:t>
      </w:r>
    </w:p>
    <w:p>
      <w:pPr>
        <w:jc w:val="center"/>
        <w:ind w:right="20"/>
        <w:spacing w:after="0"/>
        <w:rPr>
          <w:sz w:val="20"/>
          <w:szCs w:val="20"/>
          <w:color w:val="auto"/>
        </w:rPr>
      </w:pPr>
      <w:r>
        <w:rPr>
          <w:rFonts w:ascii="Arial" w:cs="Arial" w:eastAsia="Arial" w:hAnsi="Arial"/>
          <w:sz w:val="43"/>
          <w:szCs w:val="43"/>
          <w:color w:val="auto"/>
        </w:rPr>
        <w:t>Shareholder Value Award Agreement</w:t>
      </w:r>
    </w:p>
    <w:p>
      <w:pPr>
        <w:spacing w:after="0" w:line="187" w:lineRule="exact"/>
        <w:rPr>
          <w:sz w:val="20"/>
          <w:szCs w:val="20"/>
          <w:color w:val="auto"/>
        </w:rPr>
      </w:pPr>
    </w:p>
    <w:p>
      <w:pPr>
        <w:ind w:right="280"/>
        <w:spacing w:after="0" w:line="218" w:lineRule="auto"/>
        <w:rPr>
          <w:sz w:val="20"/>
          <w:szCs w:val="20"/>
          <w:color w:val="auto"/>
        </w:rPr>
      </w:pPr>
      <w:r>
        <w:rPr>
          <w:rFonts w:ascii="Arial" w:cs="Arial" w:eastAsia="Arial" w:hAnsi="Arial"/>
          <w:sz w:val="22"/>
          <w:szCs w:val="22"/>
          <w:color w:val="auto"/>
        </w:rPr>
        <w:t>This Shareholder Value Award has been granted on [•] (“Grant Date”) by Eli Lilly and Company, an Indiana corporation, with its principal offices in Indianapolis, Indiana (“Lilly” or the “Company”), to the Eligible Individual who has received this Shareholder Value Award Agreement (the “Grantee”).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Lilly Stock Price Performance Levels:</w:t>
      </w: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6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48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22"/>
                <w:szCs w:val="22"/>
                <w:b w:val="1"/>
                <w:bCs w:val="1"/>
                <w:color w:val="auto"/>
              </w:rPr>
              <w:t>No Payout</w:t>
            </w:r>
          </w:p>
        </w:tc>
        <w:tc>
          <w:tcPr>
            <w:tcW w:w="13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b w:val="1"/>
                <w:bCs w:val="1"/>
                <w:color w:val="auto"/>
              </w:rPr>
              <w:t>Level 1</w:t>
            </w:r>
          </w:p>
        </w:tc>
        <w:tc>
          <w:tcPr>
            <w:tcW w:w="13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b w:val="1"/>
                <w:bCs w:val="1"/>
                <w:color w:val="auto"/>
              </w:rPr>
              <w:t>Level 2</w:t>
            </w:r>
          </w:p>
        </w:tc>
        <w:tc>
          <w:tcPr>
            <w:tcW w:w="13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b w:val="1"/>
                <w:bCs w:val="1"/>
                <w:color w:val="auto"/>
              </w:rPr>
              <w:t>Level 3</w:t>
            </w:r>
          </w:p>
        </w:tc>
        <w:tc>
          <w:tcPr>
            <w:tcW w:w="138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22"/>
                <w:szCs w:val="22"/>
                <w:b w:val="1"/>
                <w:bCs w:val="1"/>
                <w:color w:val="auto"/>
              </w:rPr>
              <w:t>Level 4</w:t>
            </w:r>
          </w:p>
        </w:tc>
        <w:tc>
          <w:tcPr>
            <w:tcW w:w="13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b w:val="1"/>
                <w:bCs w:val="1"/>
                <w:color w:val="auto"/>
              </w:rPr>
              <w:t>Level 5</w:t>
            </w:r>
          </w:p>
        </w:tc>
        <w:tc>
          <w:tcPr>
            <w:tcW w:w="13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b w:val="1"/>
                <w:bCs w:val="1"/>
                <w:color w:val="auto"/>
              </w:rPr>
              <w:t>Level 6</w:t>
            </w:r>
          </w:p>
        </w:tc>
        <w:tc>
          <w:tcPr>
            <w:tcW w:w="0" w:type="dxa"/>
            <w:vAlign w:val="bottom"/>
          </w:tcPr>
          <w:p>
            <w:pPr>
              <w:spacing w:after="0"/>
              <w:rPr>
                <w:sz w:val="1"/>
                <w:szCs w:val="1"/>
                <w:color w:val="auto"/>
              </w:rPr>
            </w:pPr>
          </w:p>
        </w:tc>
      </w:tr>
      <w:tr>
        <w:trPr>
          <w:trHeight w:val="264"/>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Final Lilly</w:t>
            </w:r>
          </w:p>
        </w:tc>
        <w:tc>
          <w:tcPr>
            <w:tcW w:w="1480" w:type="dxa"/>
            <w:vAlign w:val="bottom"/>
            <w:tcBorders>
              <w:right w:val="single" w:sz="8" w:color="auto"/>
            </w:tcBorders>
            <w:vMerge w:val="restart"/>
          </w:tcPr>
          <w:p>
            <w:pPr>
              <w:jc w:val="right"/>
              <w:ind w:right="218"/>
              <w:spacing w:after="0"/>
              <w:rPr>
                <w:sz w:val="20"/>
                <w:szCs w:val="20"/>
                <w:color w:val="auto"/>
              </w:rPr>
            </w:pPr>
            <w:r>
              <w:rPr>
                <w:rFonts w:ascii="Arial" w:cs="Arial" w:eastAsia="Arial" w:hAnsi="Arial"/>
                <w:sz w:val="20"/>
                <w:szCs w:val="20"/>
                <w:color w:val="auto"/>
              </w:rPr>
              <w:t>&lt; $130.29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$130.29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$280.86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$314.72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$348.59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$382.46</w:t>
            </w:r>
          </w:p>
        </w:tc>
        <w:tc>
          <w:tcPr>
            <w:tcW w:w="136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20"/>
                <w:szCs w:val="20"/>
                <w:color w:val="auto"/>
              </w:rPr>
              <w:t>&gt;$416.32</w:t>
            </w:r>
          </w:p>
        </w:tc>
        <w:tc>
          <w:tcPr>
            <w:tcW w:w="0" w:type="dxa"/>
            <w:vAlign w:val="bottom"/>
          </w:tcPr>
          <w:p>
            <w:pPr>
              <w:spacing w:after="0"/>
              <w:rPr>
                <w:sz w:val="1"/>
                <w:szCs w:val="1"/>
                <w:color w:val="auto"/>
              </w:rPr>
            </w:pPr>
          </w:p>
        </w:tc>
      </w:tr>
      <w:tr>
        <w:trPr>
          <w:trHeight w:val="118"/>
        </w:trPr>
        <w:tc>
          <w:tcPr>
            <w:tcW w:w="16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Stock Price</w:t>
            </w:r>
          </w:p>
        </w:tc>
        <w:tc>
          <w:tcPr>
            <w:tcW w:w="148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rPr>
              <w:t>-</w:t>
            </w:r>
          </w:p>
        </w:tc>
        <w:tc>
          <w:tcPr>
            <w:tcW w:w="138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3"/>
                <w:szCs w:val="13"/>
                <w:color w:val="auto"/>
              </w:rPr>
              <w:t>-</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600" w:type="dxa"/>
            <w:vAlign w:val="bottom"/>
            <w:tcBorders>
              <w:left w:val="single" w:sz="8" w:color="auto"/>
              <w:right w:val="single" w:sz="8" w:color="auto"/>
            </w:tcBorders>
            <w:vMerge w:val="continue"/>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$280.85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$314.71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$348.58</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$382.45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$416.32</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vMerge w:val="continue"/>
          </w:tcPr>
          <w:p>
            <w:pPr>
              <w:spacing w:after="0"/>
              <w:rPr>
                <w:sz w:val="5"/>
                <w:szCs w:val="5"/>
                <w:color w:val="auto"/>
              </w:rPr>
            </w:pPr>
          </w:p>
        </w:tc>
        <w:tc>
          <w:tcPr>
            <w:tcW w:w="1360" w:type="dxa"/>
            <w:vAlign w:val="bottom"/>
            <w:tcBorders>
              <w:bottom w:val="single" w:sz="8" w:color="auto"/>
              <w:right w:val="single" w:sz="8" w:color="auto"/>
            </w:tcBorders>
            <w:vMerge w:val="continue"/>
          </w:tcPr>
          <w:p>
            <w:pPr>
              <w:spacing w:after="0"/>
              <w:rPr>
                <w:sz w:val="5"/>
                <w:szCs w:val="5"/>
                <w:color w:val="auto"/>
              </w:rPr>
            </w:pPr>
          </w:p>
        </w:tc>
        <w:tc>
          <w:tcPr>
            <w:tcW w:w="1360" w:type="dxa"/>
            <w:vAlign w:val="bottom"/>
            <w:tcBorders>
              <w:bottom w:val="single" w:sz="8" w:color="auto"/>
              <w:right w:val="single" w:sz="8" w:color="auto"/>
            </w:tcBorders>
            <w:vMerge w:val="continue"/>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360" w:type="dxa"/>
            <w:vAlign w:val="bottom"/>
            <w:tcBorders>
              <w:bottom w:val="single" w:sz="8" w:color="auto"/>
              <w:right w:val="single" w:sz="8" w:color="auto"/>
            </w:tcBorders>
            <w:vMerge w:val="continue"/>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22"/>
                <w:szCs w:val="22"/>
                <w:b w:val="1"/>
                <w:bCs w:val="1"/>
                <w:color w:val="auto"/>
              </w:rPr>
              <w:t>Percent of</w:t>
            </w:r>
          </w:p>
        </w:tc>
        <w:tc>
          <w:tcPr>
            <w:tcW w:w="1480" w:type="dxa"/>
            <w:vAlign w:val="bottom"/>
            <w:tcBorders>
              <w:right w:val="single" w:sz="8" w:color="auto"/>
            </w:tcBorders>
            <w:vMerge w:val="restart"/>
          </w:tcPr>
          <w:p>
            <w:pPr>
              <w:jc w:val="right"/>
              <w:ind w:right="518"/>
              <w:spacing w:after="0"/>
              <w:rPr>
                <w:sz w:val="20"/>
                <w:szCs w:val="20"/>
                <w:color w:val="auto"/>
              </w:rPr>
            </w:pPr>
            <w:r>
              <w:rPr>
                <w:rFonts w:ascii="Arial" w:cs="Arial" w:eastAsia="Arial" w:hAnsi="Arial"/>
                <w:sz w:val="20"/>
                <w:szCs w:val="20"/>
                <w:b w:val="1"/>
                <w:bCs w:val="1"/>
                <w:color w:val="auto"/>
              </w:rPr>
              <w:t>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9"/>
              </w:rPr>
              <w:t>50%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75%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100%</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125%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150%</w:t>
            </w:r>
          </w:p>
        </w:tc>
        <w:tc>
          <w:tcPr>
            <w:tcW w:w="1360" w:type="dxa"/>
            <w:vAlign w:val="bottom"/>
            <w:tcBorders>
              <w:right w:val="single" w:sz="8" w:color="auto"/>
            </w:tcBorders>
            <w:vMerge w:val="restart"/>
          </w:tcPr>
          <w:p>
            <w:pPr>
              <w:jc w:val="right"/>
              <w:ind w:right="338"/>
              <w:spacing w:after="0"/>
              <w:rPr>
                <w:sz w:val="20"/>
                <w:szCs w:val="20"/>
                <w:color w:val="auto"/>
              </w:rPr>
            </w:pPr>
            <w:r>
              <w:rPr>
                <w:rFonts w:ascii="Arial" w:cs="Arial" w:eastAsia="Arial" w:hAnsi="Arial"/>
                <w:sz w:val="20"/>
                <w:szCs w:val="20"/>
                <w:b w:val="1"/>
                <w:bCs w:val="1"/>
                <w:color w:val="auto"/>
              </w:rPr>
              <w:t>175%</w:t>
            </w:r>
          </w:p>
        </w:tc>
        <w:tc>
          <w:tcPr>
            <w:tcW w:w="0" w:type="dxa"/>
            <w:vAlign w:val="bottom"/>
          </w:tcPr>
          <w:p>
            <w:pPr>
              <w:spacing w:after="0"/>
              <w:rPr>
                <w:sz w:val="1"/>
                <w:szCs w:val="1"/>
                <w:color w:val="auto"/>
              </w:rPr>
            </w:pPr>
          </w:p>
        </w:tc>
      </w:tr>
      <w:tr>
        <w:trPr>
          <w:trHeight w:val="166"/>
        </w:trPr>
        <w:tc>
          <w:tcPr>
            <w:tcW w:w="16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Target</w:t>
            </w:r>
          </w:p>
        </w:tc>
        <w:tc>
          <w:tcPr>
            <w:tcW w:w="148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6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tabs>
          <w:tab w:leader="none" w:pos="2580" w:val="left"/>
        </w:tabs>
        <w:rPr>
          <w:sz w:val="20"/>
          <w:szCs w:val="20"/>
          <w:color w:val="auto"/>
        </w:rPr>
      </w:pPr>
      <w:r>
        <w:rPr>
          <w:rFonts w:ascii="Arial" w:cs="Arial" w:eastAsia="Arial" w:hAnsi="Arial"/>
          <w:sz w:val="25"/>
          <w:szCs w:val="25"/>
          <w:color w:val="auto"/>
        </w:rPr>
        <w:t>Performance Period:</w:t>
        <w:tab/>
        <w:t>January 1, 2022 –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1</w:t>
      </w:r>
    </w:p>
    <w:p>
      <w:pPr>
        <w:sectPr>
          <w:pgSz w:w="11900" w:h="16838" w:orient="portrait"/>
          <w:cols w:equalWidth="0" w:num="1">
            <w:col w:w="11260"/>
          </w:cols>
          <w:pgMar w:left="320" w:top="120" w:right="31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9"/>
        <w:spacing w:after="0"/>
        <w:rPr>
          <w:sz w:val="20"/>
          <w:szCs w:val="20"/>
          <w:color w:val="auto"/>
        </w:rPr>
      </w:pPr>
      <w:r>
        <w:rPr>
          <w:rFonts w:ascii="Arial" w:cs="Arial" w:eastAsia="Arial" w:hAnsi="Arial"/>
          <w:sz w:val="25"/>
          <w:szCs w:val="25"/>
          <w:color w:val="auto"/>
        </w:rPr>
        <w:t>Table of Contents</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8340" w:type="dxa"/>
            <w:vAlign w:val="bottom"/>
            <w:gridSpan w:val="3"/>
          </w:tcPr>
          <w:p>
            <w:pPr>
              <w:spacing w:after="0"/>
              <w:rPr>
                <w:sz w:val="20"/>
                <w:szCs w:val="20"/>
                <w:color w:val="auto"/>
              </w:rPr>
            </w:pPr>
            <w:r>
              <w:rPr>
                <w:rFonts w:ascii="Arial" w:cs="Arial" w:eastAsia="Arial" w:hAnsi="Arial"/>
                <w:sz w:val="22"/>
                <w:szCs w:val="22"/>
                <w:color w:val="auto"/>
              </w:rPr>
              <w:t>Section 1.  Grant of Shareholder Value Award</w:t>
            </w:r>
          </w:p>
        </w:tc>
        <w:tc>
          <w:tcPr>
            <w:tcW w:w="2420" w:type="dxa"/>
            <w:vAlign w:val="bottom"/>
          </w:tcPr>
          <w:p>
            <w:pPr>
              <w:ind w:left="2180"/>
              <w:spacing w:after="0"/>
              <w:rPr>
                <w:sz w:val="20"/>
                <w:szCs w:val="20"/>
                <w:color w:val="auto"/>
              </w:rPr>
            </w:pPr>
            <w:r>
              <w:rPr>
                <w:rFonts w:ascii="Arial" w:cs="Arial" w:eastAsia="Arial" w:hAnsi="Arial"/>
                <w:sz w:val="22"/>
                <w:szCs w:val="22"/>
                <w:color w:val="auto"/>
              </w:rPr>
              <w:t>3</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4"/>
                <w:szCs w:val="24"/>
                <w:color w:val="auto"/>
              </w:rPr>
            </w:pPr>
          </w:p>
        </w:tc>
        <w:tc>
          <w:tcPr>
            <w:tcW w:w="7200" w:type="dxa"/>
            <w:vAlign w:val="bottom"/>
          </w:tcPr>
          <w:p>
            <w:pPr>
              <w:ind w:left="60"/>
              <w:spacing w:after="0"/>
              <w:rPr>
                <w:sz w:val="20"/>
                <w:szCs w:val="20"/>
                <w:color w:val="auto"/>
              </w:rPr>
            </w:pPr>
            <w:r>
              <w:rPr>
                <w:rFonts w:ascii="Arial" w:cs="Arial" w:eastAsia="Arial" w:hAnsi="Arial"/>
                <w:sz w:val="22"/>
                <w:szCs w:val="22"/>
                <w:color w:val="auto"/>
              </w:rPr>
              <w:t>Vesting</w:t>
            </w:r>
          </w:p>
        </w:tc>
        <w:tc>
          <w:tcPr>
            <w:tcW w:w="2420" w:type="dxa"/>
            <w:vAlign w:val="bottom"/>
          </w:tcPr>
          <w:p>
            <w:pPr>
              <w:ind w:left="2180"/>
              <w:spacing w:after="0"/>
              <w:rPr>
                <w:sz w:val="20"/>
                <w:szCs w:val="20"/>
                <w:color w:val="auto"/>
              </w:rPr>
            </w:pPr>
            <w:r>
              <w:rPr>
                <w:rFonts w:ascii="Arial" w:cs="Arial" w:eastAsia="Arial" w:hAnsi="Arial"/>
                <w:sz w:val="22"/>
                <w:szCs w:val="22"/>
                <w:color w:val="auto"/>
              </w:rPr>
              <w:t>3</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3.  Impact of Certain Employment Status Changes</w:t>
            </w:r>
          </w:p>
        </w:tc>
        <w:tc>
          <w:tcPr>
            <w:tcW w:w="2420" w:type="dxa"/>
            <w:vAlign w:val="bottom"/>
          </w:tcPr>
          <w:p>
            <w:pPr>
              <w:ind w:left="2180"/>
              <w:spacing w:after="0"/>
              <w:rPr>
                <w:sz w:val="20"/>
                <w:szCs w:val="20"/>
                <w:color w:val="auto"/>
              </w:rPr>
            </w:pPr>
            <w:r>
              <w:rPr>
                <w:rFonts w:ascii="Arial" w:cs="Arial" w:eastAsia="Arial" w:hAnsi="Arial"/>
                <w:sz w:val="22"/>
                <w:szCs w:val="22"/>
                <w:color w:val="auto"/>
              </w:rPr>
              <w:t>3</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4.  Change in Control</w:t>
            </w:r>
          </w:p>
        </w:tc>
        <w:tc>
          <w:tcPr>
            <w:tcW w:w="2420" w:type="dxa"/>
            <w:vAlign w:val="bottom"/>
          </w:tcPr>
          <w:p>
            <w:pPr>
              <w:ind w:left="2180"/>
              <w:spacing w:after="0"/>
              <w:rPr>
                <w:sz w:val="20"/>
                <w:szCs w:val="20"/>
                <w:color w:val="auto"/>
              </w:rPr>
            </w:pPr>
            <w:r>
              <w:rPr>
                <w:rFonts w:ascii="Arial" w:cs="Arial" w:eastAsia="Arial" w:hAnsi="Arial"/>
                <w:sz w:val="22"/>
                <w:szCs w:val="22"/>
                <w:color w:val="auto"/>
              </w:rPr>
              <w:t>5</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4"/>
                <w:szCs w:val="24"/>
                <w:color w:val="auto"/>
              </w:rPr>
            </w:pPr>
          </w:p>
        </w:tc>
        <w:tc>
          <w:tcPr>
            <w:tcW w:w="720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2420" w:type="dxa"/>
            <w:vAlign w:val="bottom"/>
          </w:tcPr>
          <w:p>
            <w:pPr>
              <w:ind w:left="2180"/>
              <w:spacing w:after="0"/>
              <w:rPr>
                <w:sz w:val="20"/>
                <w:szCs w:val="20"/>
                <w:color w:val="auto"/>
              </w:rPr>
            </w:pPr>
            <w:r>
              <w:rPr>
                <w:rFonts w:ascii="Arial" w:cs="Arial" w:eastAsia="Arial" w:hAnsi="Arial"/>
                <w:sz w:val="22"/>
                <w:szCs w:val="22"/>
                <w:color w:val="auto"/>
              </w:rPr>
              <w:t>6</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6.  Rights of the Grantee</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0"/>
        </w:trPr>
        <w:tc>
          <w:tcPr>
            <w:tcW w:w="8340" w:type="dxa"/>
            <w:vAlign w:val="bottom"/>
            <w:gridSpan w:val="3"/>
          </w:tcPr>
          <w:p>
            <w:pPr>
              <w:spacing w:after="0"/>
              <w:rPr>
                <w:sz w:val="20"/>
                <w:szCs w:val="20"/>
                <w:color w:val="auto"/>
              </w:rPr>
            </w:pPr>
            <w:r>
              <w:rPr>
                <w:rFonts w:ascii="Arial" w:cs="Arial" w:eastAsia="Arial" w:hAnsi="Arial"/>
                <w:sz w:val="22"/>
                <w:szCs w:val="22"/>
                <w:color w:val="auto"/>
              </w:rPr>
              <w:t>Section 7.  Prohibition Against Transfer</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8.</w:t>
            </w:r>
          </w:p>
        </w:tc>
        <w:tc>
          <w:tcPr>
            <w:tcW w:w="7260" w:type="dxa"/>
            <w:vAlign w:val="bottom"/>
            <w:gridSpan w:val="2"/>
          </w:tcPr>
          <w:p>
            <w:pPr>
              <w:ind w:left="120"/>
              <w:spacing w:after="0"/>
              <w:rPr>
                <w:sz w:val="20"/>
                <w:szCs w:val="20"/>
                <w:color w:val="auto"/>
              </w:rPr>
            </w:pPr>
            <w:r>
              <w:rPr>
                <w:rFonts w:ascii="Arial" w:cs="Arial" w:eastAsia="Arial" w:hAnsi="Arial"/>
                <w:sz w:val="22"/>
                <w:szCs w:val="22"/>
                <w:color w:val="auto"/>
              </w:rPr>
              <w:t>Responsibility for Taxes</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9.</w:t>
            </w:r>
          </w:p>
        </w:tc>
        <w:tc>
          <w:tcPr>
            <w:tcW w:w="726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2420" w:type="dxa"/>
            <w:vAlign w:val="bottom"/>
          </w:tcPr>
          <w:p>
            <w:pPr>
              <w:ind w:left="2180"/>
              <w:spacing w:after="0"/>
              <w:rPr>
                <w:sz w:val="20"/>
                <w:szCs w:val="20"/>
                <w:color w:val="auto"/>
              </w:rPr>
            </w:pPr>
            <w:r>
              <w:rPr>
                <w:rFonts w:ascii="Arial" w:cs="Arial" w:eastAsia="Arial" w:hAnsi="Arial"/>
                <w:sz w:val="22"/>
                <w:szCs w:val="22"/>
                <w:color w:val="auto"/>
              </w:rPr>
              <w:t>9</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10.</w:t>
            </w:r>
          </w:p>
        </w:tc>
        <w:tc>
          <w:tcPr>
            <w:tcW w:w="7200" w:type="dxa"/>
            <w:vAlign w:val="bottom"/>
          </w:tcPr>
          <w:p>
            <w:pPr>
              <w:ind w:left="180"/>
              <w:spacing w:after="0"/>
              <w:rPr>
                <w:sz w:val="20"/>
                <w:szCs w:val="20"/>
                <w:color w:val="auto"/>
              </w:rPr>
            </w:pPr>
            <w:r>
              <w:rPr>
                <w:rFonts w:ascii="Arial" w:cs="Arial" w:eastAsia="Arial" w:hAnsi="Arial"/>
                <w:sz w:val="22"/>
                <w:szCs w:val="22"/>
                <w:color w:val="auto"/>
              </w:rPr>
              <w:t>Grantee’s Acknowledgment</w:t>
            </w:r>
          </w:p>
        </w:tc>
        <w:tc>
          <w:tcPr>
            <w:tcW w:w="2420" w:type="dxa"/>
            <w:vAlign w:val="bottom"/>
          </w:tcPr>
          <w:p>
            <w:pPr>
              <w:ind w:left="2180"/>
              <w:spacing w:after="0"/>
              <w:rPr>
                <w:sz w:val="20"/>
                <w:szCs w:val="20"/>
                <w:color w:val="auto"/>
              </w:rPr>
            </w:pPr>
            <w:r>
              <w:rPr>
                <w:rFonts w:ascii="Arial" w:cs="Arial" w:eastAsia="Arial" w:hAnsi="Arial"/>
                <w:sz w:val="22"/>
                <w:szCs w:val="22"/>
                <w:color w:val="auto"/>
              </w:rPr>
              <w:t>9</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11.</w:t>
            </w:r>
          </w:p>
        </w:tc>
        <w:tc>
          <w:tcPr>
            <w:tcW w:w="720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10</w:t>
            </w:r>
          </w:p>
        </w:tc>
      </w:tr>
      <w:tr>
        <w:trPr>
          <w:trHeight w:val="310"/>
        </w:trPr>
        <w:tc>
          <w:tcPr>
            <w:tcW w:w="8340" w:type="dxa"/>
            <w:vAlign w:val="bottom"/>
            <w:gridSpan w:val="3"/>
          </w:tcPr>
          <w:p>
            <w:pPr>
              <w:spacing w:after="0"/>
              <w:rPr>
                <w:sz w:val="20"/>
                <w:szCs w:val="20"/>
                <w:color w:val="auto"/>
              </w:rPr>
            </w:pPr>
            <w:r>
              <w:rPr>
                <w:rFonts w:ascii="Arial" w:cs="Arial" w:eastAsia="Arial" w:hAnsi="Arial"/>
                <w:sz w:val="22"/>
                <w:szCs w:val="22"/>
                <w:color w:val="auto"/>
              </w:rPr>
              <w:t>Section 12.  Additional Terms and Conditions</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12</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13.  Governing Law and Choice of Venue</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12</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14.</w:t>
            </w:r>
          </w:p>
        </w:tc>
        <w:tc>
          <w:tcPr>
            <w:tcW w:w="720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13</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15.</w:t>
            </w:r>
          </w:p>
        </w:tc>
        <w:tc>
          <w:tcPr>
            <w:tcW w:w="7200" w:type="dxa"/>
            <w:vAlign w:val="bottom"/>
          </w:tcPr>
          <w:p>
            <w:pPr>
              <w:ind w:left="160"/>
              <w:spacing w:after="0"/>
              <w:rPr>
                <w:sz w:val="20"/>
                <w:szCs w:val="20"/>
                <w:color w:val="auto"/>
              </w:rPr>
            </w:pPr>
            <w:r>
              <w:rPr>
                <w:rFonts w:ascii="Arial" w:cs="Arial" w:eastAsia="Arial" w:hAnsi="Arial"/>
                <w:sz w:val="22"/>
                <w:szCs w:val="22"/>
                <w:color w:val="auto"/>
              </w:rPr>
              <w:t>Award Subject to Acknowledgement of Acceptance</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2</w:t>
      </w:r>
    </w:p>
    <w:p>
      <w:pPr>
        <w:sectPr>
          <w:pgSz w:w="11900" w:h="16838" w:orient="portrait"/>
          <w:cols w:equalWidth="0" w:num="1">
            <w:col w:w="10840"/>
          </w:cols>
          <w:pgMar w:left="320" w:top="120" w:right="7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w:t>
      </w:r>
      <w:r>
        <w:rPr>
          <w:sz w:val="20"/>
          <w:szCs w:val="20"/>
          <w:color w:val="auto"/>
        </w:rPr>
        <w:tab/>
      </w:r>
      <w:r>
        <w:rPr>
          <w:rFonts w:ascii="Arial" w:cs="Arial" w:eastAsia="Arial" w:hAnsi="Arial"/>
          <w:sz w:val="23"/>
          <w:szCs w:val="23"/>
          <w:color w:val="auto"/>
        </w:rPr>
        <w:t>Grant of Shareholder Value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0000FF"/>
        </w:rPr>
        <w:t>http://myequity.lilly.com</w:t>
      </w:r>
      <w:r>
        <w:rPr>
          <w:rFonts w:ascii="Arial" w:cs="Arial" w:eastAsia="Arial" w:hAnsi="Arial"/>
          <w:sz w:val="22"/>
          <w:szCs w:val="22"/>
          <w:color w:val="auto"/>
        </w:rPr>
        <w:t xml:space="preserve"> (the “Target Number of Shares”).</w:t>
      </w:r>
    </w:p>
    <w:p>
      <w:pPr>
        <w:spacing w:after="0" w:line="65"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w:t>
      </w:r>
    </w:p>
    <w:p>
      <w:pPr>
        <w:spacing w:after="0" w:line="201" w:lineRule="exact"/>
        <w:rPr>
          <w:sz w:val="20"/>
          <w:szCs w:val="20"/>
          <w:color w:val="auto"/>
        </w:rPr>
      </w:pPr>
    </w:p>
    <w:p>
      <w:pPr>
        <w:jc w:val="both"/>
        <w:ind w:left="42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22"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where:</w:t>
      </w:r>
    </w:p>
    <w:p>
      <w:pPr>
        <w:spacing w:after="0" w:line="202" w:lineRule="exact"/>
        <w:rPr>
          <w:sz w:val="20"/>
          <w:szCs w:val="20"/>
          <w:color w:val="auto"/>
        </w:rPr>
      </w:pPr>
    </w:p>
    <w:p>
      <w:pPr>
        <w:jc w:val="both"/>
        <w:ind w:left="1060" w:right="660" w:hanging="323"/>
        <w:spacing w:after="0" w:line="229" w:lineRule="auto"/>
        <w:tabs>
          <w:tab w:leader="none" w:pos="105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“Percent of Target” shall mean the percentage set forth in the Lilly Stock price Performance Levels table set forth on the first page of this document representing the attainment level of the Final Stock Price measured against the performance goal attainment levels set forth in the table, and</w:t>
      </w:r>
    </w:p>
    <w:p>
      <w:pPr>
        <w:spacing w:after="0" w:line="199" w:lineRule="exact"/>
        <w:rPr>
          <w:rFonts w:ascii="Arial" w:cs="Arial" w:eastAsia="Arial" w:hAnsi="Arial"/>
          <w:sz w:val="21"/>
          <w:szCs w:val="21"/>
          <w:color w:val="auto"/>
        </w:rPr>
      </w:pPr>
    </w:p>
    <w:p>
      <w:pPr>
        <w:jc w:val="both"/>
        <w:ind w:left="1060" w:right="640" w:hanging="323"/>
        <w:spacing w:after="0" w:line="218" w:lineRule="auto"/>
        <w:tabs>
          <w:tab w:leader="none" w:pos="1051" w:val="left"/>
        </w:tabs>
        <w:numPr>
          <w:ilvl w:val="0"/>
          <w:numId w:val="195"/>
        </w:numPr>
        <w:rPr>
          <w:rFonts w:ascii="Arial" w:cs="Arial" w:eastAsia="Arial" w:hAnsi="Arial"/>
          <w:sz w:val="22"/>
          <w:szCs w:val="22"/>
          <w:color w:val="auto"/>
        </w:rPr>
      </w:pPr>
      <w:r>
        <w:rPr>
          <w:rFonts w:ascii="Arial" w:cs="Arial" w:eastAsia="Arial" w:hAnsi="Arial"/>
          <w:sz w:val="22"/>
          <w:szCs w:val="22"/>
          <w:color w:val="auto"/>
        </w:rPr>
        <w:t>“Final Lilly Stock Price” shall mean the average of the closing price of a share of Lilly Common Stock on the New York Stock Exchange for each trading day in the last two months of the Performance Period, rounded to the nearest cent.</w:t>
      </w:r>
    </w:p>
    <w:p>
      <w:pPr>
        <w:spacing w:after="0" w:line="202" w:lineRule="exact"/>
        <w:rPr>
          <w:sz w:val="20"/>
          <w:szCs w:val="20"/>
          <w:color w:val="auto"/>
        </w:rPr>
      </w:pPr>
    </w:p>
    <w:p>
      <w:pPr>
        <w:jc w:val="both"/>
        <w:ind w:left="420" w:right="20"/>
        <w:spacing w:after="0" w:line="225"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3.</w:t>
      </w:r>
      <w:r>
        <w:rPr>
          <w:sz w:val="20"/>
          <w:szCs w:val="20"/>
          <w:color w:val="auto"/>
        </w:rPr>
        <w:tab/>
      </w:r>
      <w:r>
        <w:rPr>
          <w:rFonts w:ascii="Arial" w:cs="Arial" w:eastAsia="Arial" w:hAnsi="Arial"/>
          <w:sz w:val="23"/>
          <w:szCs w:val="23"/>
          <w:color w:val="auto"/>
        </w:rPr>
        <w:t>Impact of Certain Employment Status Changes</w:t>
      </w:r>
    </w:p>
    <w:p>
      <w:pPr>
        <w:spacing w:after="0" w:line="76"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67" w:lineRule="exact"/>
        <w:rPr>
          <w:sz w:val="20"/>
          <w:szCs w:val="20"/>
          <w:color w:val="auto"/>
        </w:rPr>
      </w:pPr>
    </w:p>
    <w:p>
      <w:pPr>
        <w:jc w:val="both"/>
        <w:ind w:left="1060" w:hanging="323"/>
        <w:spacing w:after="0" w:line="218" w:lineRule="auto"/>
        <w:tabs>
          <w:tab w:leader="none" w:pos="1051"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309" w:lineRule="exact"/>
        <w:rPr>
          <w:rFonts w:ascii="Arial" w:cs="Arial" w:eastAsia="Arial" w:hAnsi="Arial"/>
          <w:sz w:val="22"/>
          <w:szCs w:val="22"/>
          <w:color w:val="auto"/>
        </w:rPr>
      </w:pPr>
    </w:p>
    <w:p>
      <w:pPr>
        <w:ind w:left="1060" w:hanging="327"/>
        <w:spacing w:after="0" w:line="225" w:lineRule="auto"/>
        <w:tabs>
          <w:tab w:leader="none" w:pos="1051"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Retirement; Death; Disability</w:t>
      </w:r>
      <w:r>
        <w:rPr>
          <w:rFonts w:ascii="Arial" w:cs="Arial" w:eastAsia="Arial" w:hAnsi="Arial"/>
          <w:sz w:val="22"/>
          <w:szCs w:val="22"/>
          <w:color w:val="auto"/>
        </w:rPr>
        <w:t>. Except as otherwise provided below, in the event the Grantee’s Service is terminated (i) on or following the Retirement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3</w:t>
      </w:r>
    </w:p>
    <w:p>
      <w:pPr>
        <w:sectPr>
          <w:pgSz w:w="11900" w:h="16838" w:orient="portrait"/>
          <w:cols w:equalWidth="0" w:num="1">
            <w:col w:w="11240"/>
          </w:cols>
          <w:pgMar w:left="320" w:top="120" w:right="3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060"/>
        <w:spacing w:after="0" w:line="215" w:lineRule="auto"/>
        <w:rPr>
          <w:sz w:val="20"/>
          <w:szCs w:val="20"/>
          <w:color w:val="auto"/>
        </w:rPr>
      </w:pPr>
      <w:r>
        <w:rPr>
          <w:rFonts w:ascii="Arial" w:cs="Arial" w:eastAsia="Arial" w:hAnsi="Arial"/>
          <w:sz w:val="22"/>
          <w:szCs w:val="22"/>
          <w:color w:val="auto"/>
        </w:rPr>
        <w:t>Date due to the Grantee’s Retirement, (ii) due to the Grantee’s death, or (ii)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66" w:lineRule="exact"/>
        <w:rPr>
          <w:sz w:val="20"/>
          <w:szCs w:val="20"/>
          <w:color w:val="auto"/>
        </w:rPr>
      </w:pPr>
    </w:p>
    <w:p>
      <w:pPr>
        <w:jc w:val="both"/>
        <w:ind w:left="1060"/>
        <w:spacing w:after="0" w:line="213" w:lineRule="auto"/>
        <w:rPr>
          <w:sz w:val="20"/>
          <w:szCs w:val="20"/>
          <w:color w:val="auto"/>
        </w:rPr>
      </w:pPr>
      <w:r>
        <w:rPr>
          <w:rFonts w:ascii="Arial" w:cs="Arial" w:eastAsia="Arial" w:hAnsi="Arial"/>
          <w:sz w:val="22"/>
          <w:szCs w:val="22"/>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5" w:lineRule="exact"/>
        <w:rPr>
          <w:sz w:val="20"/>
          <w:szCs w:val="20"/>
          <w:color w:val="auto"/>
        </w:rPr>
      </w:pPr>
    </w:p>
    <w:p>
      <w:pPr>
        <w:jc w:val="both"/>
        <w:ind w:left="1060"/>
        <w:spacing w:after="0" w:line="225" w:lineRule="auto"/>
        <w:rPr>
          <w:sz w:val="20"/>
          <w:szCs w:val="20"/>
          <w:color w:val="auto"/>
        </w:rPr>
      </w:pPr>
      <w:r>
        <w:rPr>
          <w:rFonts w:ascii="Arial" w:cs="Arial" w:eastAsia="Arial" w:hAnsi="Arial"/>
          <w:sz w:val="22"/>
          <w:szCs w:val="22"/>
          <w:color w:val="auto"/>
        </w:rPr>
        <w:t>“Retirement Vesting Date” means the date that is on or following July 31 immediately following the commencement of the Performance Period.</w:t>
      </w:r>
    </w:p>
    <w:p>
      <w:pPr>
        <w:spacing w:after="0" w:line="66" w:lineRule="exact"/>
        <w:rPr>
          <w:sz w:val="20"/>
          <w:szCs w:val="20"/>
          <w:color w:val="auto"/>
        </w:rPr>
      </w:pPr>
    </w:p>
    <w:p>
      <w:pPr>
        <w:jc w:val="both"/>
        <w:ind w:left="1060"/>
        <w:spacing w:after="0" w:line="220" w:lineRule="auto"/>
        <w:rPr>
          <w:sz w:val="20"/>
          <w:szCs w:val="20"/>
          <w:color w:val="auto"/>
        </w:rPr>
      </w:pPr>
      <w:r>
        <w:rPr>
          <w:rFonts w:ascii="Arial" w:cs="Arial" w:eastAsia="Arial" w:hAnsi="Arial"/>
          <w:sz w:val="21"/>
          <w:szCs w:val="21"/>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5" w:lineRule="exact"/>
        <w:rPr>
          <w:sz w:val="20"/>
          <w:szCs w:val="20"/>
          <w:color w:val="auto"/>
        </w:rPr>
      </w:pPr>
    </w:p>
    <w:p>
      <w:pPr>
        <w:jc w:val="both"/>
        <w:ind w:left="1060" w:hanging="323"/>
        <w:spacing w:after="0" w:line="215" w:lineRule="auto"/>
        <w:tabs>
          <w:tab w:leader="none" w:pos="1052"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65" w:lineRule="exact"/>
        <w:rPr>
          <w:rFonts w:ascii="Arial" w:cs="Arial" w:eastAsia="Arial" w:hAnsi="Arial"/>
          <w:sz w:val="22"/>
          <w:szCs w:val="22"/>
          <w:color w:val="auto"/>
        </w:rPr>
      </w:pPr>
    </w:p>
    <w:p>
      <w:pPr>
        <w:ind w:left="1060"/>
        <w:spacing w:after="0" w:line="225" w:lineRule="auto"/>
        <w:rPr>
          <w:rFonts w:ascii="Arial" w:cs="Arial" w:eastAsia="Arial" w:hAnsi="Arial"/>
          <w:sz w:val="22"/>
          <w:szCs w:val="22"/>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65" w:lineRule="exact"/>
        <w:rPr>
          <w:rFonts w:ascii="Arial" w:cs="Arial" w:eastAsia="Arial" w:hAnsi="Arial"/>
          <w:sz w:val="22"/>
          <w:szCs w:val="22"/>
          <w:color w:val="auto"/>
        </w:rPr>
      </w:pPr>
    </w:p>
    <w:p>
      <w:pPr>
        <w:ind w:left="1880" w:hanging="333"/>
        <w:spacing w:after="0"/>
        <w:tabs>
          <w:tab w:leader="none" w:pos="188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880" w:hanging="333"/>
        <w:spacing w:after="0" w:line="218" w:lineRule="auto"/>
        <w:tabs>
          <w:tab w:leader="none" w:pos="1874" w:val="left"/>
        </w:tabs>
        <w:numPr>
          <w:ilvl w:val="1"/>
          <w:numId w:val="197"/>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1060" w:right="100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060" w:right="36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308" w:lineRule="exact"/>
        <w:rPr>
          <w:sz w:val="20"/>
          <w:szCs w:val="20"/>
          <w:color w:val="auto"/>
        </w:rPr>
      </w:pPr>
    </w:p>
    <w:p>
      <w:pPr>
        <w:jc w:val="both"/>
        <w:ind w:left="1060" w:hanging="323"/>
        <w:spacing w:after="0" w:line="218" w:lineRule="auto"/>
        <w:tabs>
          <w:tab w:leader="none" w:pos="1051"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Shareholder Value Award or reduce the number of Shares eligible to vest, prorated according to time or other measure as determined appropriate by the Committee, if during any portion of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4</w:t>
      </w:r>
    </w:p>
    <w:p>
      <w:pPr>
        <w:sectPr>
          <w:pgSz w:w="11900" w:h="16838" w:orient="portrait"/>
          <w:cols w:equalWidth="0" w:num="1">
            <w:col w:w="11240"/>
          </w:cols>
          <w:pgMar w:left="320" w:top="120" w:right="3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060"/>
        <w:spacing w:after="0" w:line="213" w:lineRule="auto"/>
        <w:rPr>
          <w:sz w:val="20"/>
          <w:szCs w:val="20"/>
          <w:color w:val="auto"/>
        </w:rPr>
      </w:pPr>
      <w:r>
        <w:rPr>
          <w:rFonts w:ascii="Arial" w:cs="Arial" w:eastAsia="Arial" w:hAnsi="Arial"/>
          <w:sz w:val="22"/>
          <w:szCs w:val="22"/>
          <w:color w:val="auto"/>
        </w:rPr>
        <w:t>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200" w:lineRule="exact"/>
        <w:rPr>
          <w:sz w:val="20"/>
          <w:szCs w:val="20"/>
          <w:color w:val="auto"/>
        </w:rPr>
      </w:pPr>
    </w:p>
    <w:p>
      <w:pPr>
        <w:jc w:val="both"/>
        <w:ind w:left="420"/>
        <w:spacing w:after="0" w:line="211" w:lineRule="auto"/>
        <w:rPr>
          <w:sz w:val="20"/>
          <w:szCs w:val="20"/>
          <w:color w:val="auto"/>
        </w:rPr>
      </w:pPr>
      <w:r>
        <w:rPr>
          <w:rFonts w:ascii="Arial" w:cs="Arial" w:eastAsia="Arial" w:hAnsi="Arial"/>
          <w:sz w:val="22"/>
          <w:szCs w:val="22"/>
          <w:color w:val="auto"/>
        </w:rPr>
        <w:t>The Committee and/or the Company’s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direct result of either a plant closing or a reduction in force, and (4) the Grantee’s Service has been terminated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4.</w:t>
      </w:r>
      <w:r>
        <w:rPr>
          <w:sz w:val="20"/>
          <w:szCs w:val="20"/>
          <w:color w:val="auto"/>
        </w:rPr>
        <w:tab/>
      </w:r>
      <w:r>
        <w:rPr>
          <w:rFonts w:ascii="Arial" w:cs="Arial" w:eastAsia="Arial" w:hAnsi="Arial"/>
          <w:sz w:val="23"/>
          <w:szCs w:val="23"/>
          <w:color w:val="auto"/>
        </w:rPr>
        <w:t>Change in Control</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jc w:val="both"/>
        <w:ind w:left="1060" w:hanging="323"/>
        <w:spacing w:after="0" w:line="218" w:lineRule="auto"/>
        <w:rPr>
          <w:sz w:val="20"/>
          <w:szCs w:val="20"/>
          <w:color w:val="auto"/>
        </w:rPr>
      </w:pPr>
      <w:r>
        <w:rPr>
          <w:rFonts w:ascii="Arial" w:cs="Arial" w:eastAsia="Arial" w:hAnsi="Arial"/>
          <w:sz w:val="22"/>
          <w:szCs w:val="22"/>
          <w:color w:val="auto"/>
        </w:rPr>
        <w:t>a. The only Change in Control event that shall result in a benefit under this Section 4 shall be the consummation of a merger, share exchange, or consolidation of the Company, as defined in Section 2.6(c) of the Plan (a “Transaction”).</w:t>
      </w:r>
    </w:p>
    <w:p>
      <w:pPr>
        <w:spacing w:after="0" w:line="202" w:lineRule="exact"/>
        <w:rPr>
          <w:sz w:val="20"/>
          <w:szCs w:val="20"/>
          <w:color w:val="auto"/>
        </w:rPr>
      </w:pPr>
    </w:p>
    <w:p>
      <w:pPr>
        <w:jc w:val="both"/>
        <w:ind w:left="1060" w:hanging="323"/>
        <w:spacing w:after="0" w:line="210" w:lineRule="auto"/>
        <w:tabs>
          <w:tab w:leader="none" w:pos="1051"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last day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205" w:lineRule="exact"/>
        <w:rPr>
          <w:rFonts w:ascii="Arial" w:cs="Arial" w:eastAsia="Arial" w:hAnsi="Arial"/>
          <w:sz w:val="22"/>
          <w:szCs w:val="22"/>
          <w:color w:val="auto"/>
        </w:rPr>
      </w:pPr>
    </w:p>
    <w:p>
      <w:pPr>
        <w:jc w:val="both"/>
        <w:ind w:left="1700" w:hanging="234"/>
        <w:spacing w:after="0" w:line="215" w:lineRule="auto"/>
        <w:tabs>
          <w:tab w:leader="none" w:pos="170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200" w:lineRule="exact"/>
        <w:rPr>
          <w:rFonts w:ascii="Arial" w:cs="Arial" w:eastAsia="Arial" w:hAnsi="Arial"/>
          <w:sz w:val="22"/>
          <w:szCs w:val="22"/>
          <w:color w:val="auto"/>
        </w:rPr>
      </w:pPr>
    </w:p>
    <w:p>
      <w:pPr>
        <w:jc w:val="both"/>
        <w:ind w:left="1700" w:hanging="234"/>
        <w:spacing w:after="0" w:line="213" w:lineRule="auto"/>
        <w:tabs>
          <w:tab w:leader="none" w:pos="1694" w:val="left"/>
        </w:tabs>
        <w:numPr>
          <w:ilvl w:val="1"/>
          <w:numId w:val="199"/>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200" w:lineRule="exact"/>
        <w:rPr>
          <w:sz w:val="20"/>
          <w:szCs w:val="20"/>
          <w:color w:val="auto"/>
        </w:rPr>
      </w:pPr>
    </w:p>
    <w:p>
      <w:pPr>
        <w:jc w:val="both"/>
        <w:ind w:left="1300"/>
        <w:spacing w:after="0" w:line="218"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5</w:t>
      </w:r>
    </w:p>
    <w:p>
      <w:pPr>
        <w:sectPr>
          <w:pgSz w:w="11900" w:h="16838" w:orient="portrait"/>
          <w:cols w:equalWidth="0" w:num="1">
            <w:col w:w="11240"/>
          </w:cols>
          <w:pgMar w:left="320" w:top="120" w:right="3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00"/>
        <w:spacing w:after="0" w:line="218" w:lineRule="auto"/>
        <w:rPr>
          <w:sz w:val="20"/>
          <w:szCs w:val="20"/>
          <w:color w:val="auto"/>
        </w:rPr>
      </w:pPr>
      <w:r>
        <w:rPr>
          <w:rFonts w:ascii="Arial" w:cs="Arial" w:eastAsia="Arial" w:hAnsi="Arial"/>
          <w:sz w:val="22"/>
          <w:szCs w:val="22"/>
          <w:color w:val="auto"/>
        </w:rPr>
        <w:t>them in the Eli Lilly and Company 2007 Change in Control Severance Pay Plan for Employees or the Eli Lilly and Company 2007 Change in Control Severance Pay Plan for Select Employees (both as amended from time to time) or any successor plan or arrangement thereto, as applicable.</w:t>
      </w:r>
    </w:p>
    <w:p>
      <w:pPr>
        <w:spacing w:after="0" w:line="202" w:lineRule="exact"/>
        <w:rPr>
          <w:sz w:val="20"/>
          <w:szCs w:val="20"/>
          <w:color w:val="auto"/>
        </w:rPr>
      </w:pPr>
    </w:p>
    <w:p>
      <w:pPr>
        <w:jc w:val="both"/>
        <w:ind w:left="1060" w:hanging="323"/>
        <w:spacing w:after="0" w:line="218" w:lineRule="auto"/>
        <w:tabs>
          <w:tab w:leader="none" w:pos="1052" w:val="left"/>
        </w:tabs>
        <w:numPr>
          <w:ilvl w:val="0"/>
          <w:numId w:val="200"/>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2"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5.</w:t>
      </w:r>
      <w:r>
        <w:rPr>
          <w:sz w:val="20"/>
          <w:szCs w:val="20"/>
          <w:color w:val="auto"/>
        </w:rPr>
        <w:tab/>
      </w:r>
      <w:r>
        <w:rPr>
          <w:rFonts w:ascii="Arial" w:cs="Arial" w:eastAsia="Arial" w:hAnsi="Arial"/>
          <w:sz w:val="23"/>
          <w:szCs w:val="23"/>
          <w:color w:val="auto"/>
        </w:rPr>
        <w:t>Settlement</w:t>
      </w:r>
    </w:p>
    <w:p>
      <w:pPr>
        <w:spacing w:after="0" w:line="76" w:lineRule="exact"/>
        <w:rPr>
          <w:sz w:val="20"/>
          <w:szCs w:val="20"/>
          <w:color w:val="auto"/>
        </w:rPr>
      </w:pPr>
    </w:p>
    <w:p>
      <w:pPr>
        <w:ind w:left="1060" w:hanging="323"/>
        <w:spacing w:after="0" w:line="225" w:lineRule="auto"/>
        <w:tabs>
          <w:tab w:leader="none" w:pos="105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200" w:lineRule="exact"/>
        <w:rPr>
          <w:rFonts w:ascii="Arial" w:cs="Arial" w:eastAsia="Arial" w:hAnsi="Arial"/>
          <w:sz w:val="22"/>
          <w:szCs w:val="22"/>
          <w:color w:val="auto"/>
        </w:rPr>
      </w:pPr>
    </w:p>
    <w:p>
      <w:pPr>
        <w:jc w:val="both"/>
        <w:ind w:left="1060" w:hanging="323"/>
        <w:spacing w:after="0" w:line="208" w:lineRule="auto"/>
        <w:tabs>
          <w:tab w:leader="none" w:pos="105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date of the Section 409A Separation, the Award shall instead be paid on the first day following the six (6) month anniversary of the Grantee’s 409A Separation (the “409A Delayed Payment Date”), (ii) the date of the Grantee’s death and (iii) the date set forth in Section 5(a) above.</w:t>
      </w:r>
    </w:p>
    <w:p>
      <w:pPr>
        <w:spacing w:after="0" w:line="204" w:lineRule="exact"/>
        <w:rPr>
          <w:rFonts w:ascii="Arial" w:cs="Arial" w:eastAsia="Arial" w:hAnsi="Arial"/>
          <w:sz w:val="22"/>
          <w:szCs w:val="22"/>
          <w:color w:val="auto"/>
        </w:rPr>
      </w:pPr>
    </w:p>
    <w:p>
      <w:pPr>
        <w:jc w:val="both"/>
        <w:ind w:left="1060" w:hanging="323"/>
        <w:spacing w:after="0" w:line="210" w:lineRule="auto"/>
        <w:tabs>
          <w:tab w:leader="none" w:pos="105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date of the Section 409A Separation, the Award shall instead be paid on the earliest of (1) the 409A Delayed Payment Date and (2) the date of the Grantee’s death.</w:t>
      </w:r>
    </w:p>
    <w:p>
      <w:pPr>
        <w:spacing w:after="0" w:line="205" w:lineRule="exact"/>
        <w:rPr>
          <w:rFonts w:ascii="Arial" w:cs="Arial" w:eastAsia="Arial" w:hAnsi="Arial"/>
          <w:sz w:val="22"/>
          <w:szCs w:val="22"/>
          <w:color w:val="auto"/>
        </w:rPr>
      </w:pPr>
    </w:p>
    <w:p>
      <w:pPr>
        <w:jc w:val="both"/>
        <w:ind w:left="1060" w:hanging="323"/>
        <w:spacing w:after="0" w:line="218" w:lineRule="auto"/>
        <w:tabs>
          <w:tab w:leader="none" w:pos="105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201" w:lineRule="exact"/>
        <w:rPr>
          <w:rFonts w:ascii="Arial" w:cs="Arial" w:eastAsia="Arial" w:hAnsi="Arial"/>
          <w:sz w:val="22"/>
          <w:szCs w:val="22"/>
          <w:color w:val="auto"/>
        </w:rPr>
      </w:pPr>
    </w:p>
    <w:p>
      <w:pPr>
        <w:jc w:val="both"/>
        <w:ind w:left="1060" w:hanging="323"/>
        <w:spacing w:after="0" w:line="215" w:lineRule="auto"/>
        <w:tabs>
          <w:tab w:leader="none" w:pos="105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6</w:t>
      </w:r>
    </w:p>
    <w:p>
      <w:pPr>
        <w:sectPr>
          <w:pgSz w:w="11900" w:h="16838" w:orient="portrait"/>
          <w:cols w:equalWidth="0" w:num="1">
            <w:col w:w="11240"/>
          </w:cols>
          <w:pgMar w:left="320" w:top="120" w:right="33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pursuant to Section 5(a) and on the date of payment in the case of a payment pursuant to Section 5(c).</w:t>
      </w:r>
    </w:p>
    <w:p>
      <w:pPr>
        <w:spacing w:after="0" w:line="206" w:lineRule="exact"/>
        <w:rPr>
          <w:sz w:val="20"/>
          <w:szCs w:val="20"/>
          <w:color w:val="auto"/>
        </w:rPr>
      </w:pPr>
    </w:p>
    <w:p>
      <w:pPr>
        <w:ind w:left="1060" w:hanging="323"/>
        <w:spacing w:after="0" w:line="225" w:lineRule="auto"/>
        <w:tabs>
          <w:tab w:leader="none" w:pos="105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6.</w:t>
      </w:r>
      <w:r>
        <w:rPr>
          <w:sz w:val="20"/>
          <w:szCs w:val="20"/>
          <w:color w:val="auto"/>
        </w:rPr>
        <w:tab/>
      </w:r>
      <w:r>
        <w:rPr>
          <w:rFonts w:ascii="Arial" w:cs="Arial" w:eastAsia="Arial" w:hAnsi="Arial"/>
          <w:sz w:val="23"/>
          <w:szCs w:val="23"/>
          <w:color w:val="auto"/>
        </w:rPr>
        <w:t>Rights of the Grantee</w:t>
      </w:r>
    </w:p>
    <w:p>
      <w:pPr>
        <w:spacing w:after="0" w:line="76" w:lineRule="exact"/>
        <w:rPr>
          <w:sz w:val="20"/>
          <w:szCs w:val="20"/>
          <w:color w:val="auto"/>
        </w:rPr>
      </w:pPr>
    </w:p>
    <w:p>
      <w:pPr>
        <w:jc w:val="both"/>
        <w:ind w:left="1140" w:hanging="403"/>
        <w:spacing w:after="0" w:line="218" w:lineRule="auto"/>
        <w:tabs>
          <w:tab w:leader="none" w:pos="1131"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Shareholder Value Award does not entitle the Grantee to any rights of a shareholder of Lilly until such time as the Shareholder Value Award is settled and Shares are issued or transferred to the Grantee.</w:t>
      </w:r>
    </w:p>
    <w:p>
      <w:pPr>
        <w:spacing w:after="0" w:line="201" w:lineRule="exact"/>
        <w:rPr>
          <w:rFonts w:ascii="Arial" w:cs="Arial" w:eastAsia="Arial" w:hAnsi="Arial"/>
          <w:sz w:val="22"/>
          <w:szCs w:val="22"/>
          <w:color w:val="auto"/>
        </w:rPr>
      </w:pPr>
    </w:p>
    <w:p>
      <w:pPr>
        <w:jc w:val="both"/>
        <w:ind w:left="1140" w:hanging="403"/>
        <w:spacing w:after="0" w:line="215" w:lineRule="auto"/>
        <w:tabs>
          <w:tab w:leader="none" w:pos="1131"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7.</w:t>
      </w:r>
      <w:r>
        <w:rPr>
          <w:sz w:val="20"/>
          <w:szCs w:val="20"/>
          <w:color w:val="auto"/>
        </w:rPr>
        <w:tab/>
      </w:r>
      <w:r>
        <w:rPr>
          <w:rFonts w:ascii="Arial" w:cs="Arial" w:eastAsia="Arial" w:hAnsi="Arial"/>
          <w:sz w:val="23"/>
          <w:szCs w:val="23"/>
          <w:color w:val="auto"/>
        </w:rPr>
        <w:t>Prohibition Against Transfer</w:t>
      </w:r>
    </w:p>
    <w:p>
      <w:pPr>
        <w:spacing w:after="0" w:line="76"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8.</w:t>
      </w:r>
      <w:r>
        <w:rPr>
          <w:sz w:val="20"/>
          <w:szCs w:val="20"/>
          <w:color w:val="auto"/>
        </w:rPr>
        <w:tab/>
      </w:r>
      <w:r>
        <w:rPr>
          <w:rFonts w:ascii="Arial" w:cs="Arial" w:eastAsia="Arial" w:hAnsi="Arial"/>
          <w:sz w:val="23"/>
          <w:szCs w:val="23"/>
          <w:color w:val="auto"/>
        </w:rPr>
        <w:t>Responsibility for Taxes</w:t>
      </w:r>
    </w:p>
    <w:p>
      <w:pPr>
        <w:spacing w:after="0" w:line="22" w:lineRule="exact"/>
        <w:rPr>
          <w:sz w:val="20"/>
          <w:szCs w:val="20"/>
          <w:color w:val="auto"/>
        </w:rPr>
      </w:pPr>
    </w:p>
    <w:p>
      <w:pPr>
        <w:jc w:val="both"/>
        <w:ind w:left="1140" w:hanging="403"/>
        <w:spacing w:after="0" w:line="217" w:lineRule="auto"/>
        <w:tabs>
          <w:tab w:leader="none" w:pos="1131" w:val="left"/>
        </w:tabs>
        <w:numPr>
          <w:ilvl w:val="0"/>
          <w:numId w:val="204"/>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7</w:t>
      </w:r>
    </w:p>
    <w:p>
      <w:pPr>
        <w:sectPr>
          <w:pgSz w:w="11900" w:h="16838" w:orient="portrait"/>
          <w:cols w:equalWidth="0" w:num="1">
            <w:col w:w="11240"/>
          </w:cols>
          <w:pgMar w:left="320" w:top="120" w:right="3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40" w:right="20" w:hanging="403"/>
        <w:spacing w:after="0" w:line="225" w:lineRule="auto"/>
        <w:tabs>
          <w:tab w:leader="none" w:pos="1131" w:val="left"/>
        </w:tabs>
        <w:numPr>
          <w:ilvl w:val="0"/>
          <w:numId w:val="205"/>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200" w:lineRule="exact"/>
        <w:rPr>
          <w:rFonts w:ascii="Arial" w:cs="Arial" w:eastAsia="Arial" w:hAnsi="Arial"/>
          <w:sz w:val="22"/>
          <w:szCs w:val="22"/>
          <w:color w:val="auto"/>
        </w:rPr>
      </w:pPr>
    </w:p>
    <w:p>
      <w:pPr>
        <w:jc w:val="both"/>
        <w:ind w:left="1880" w:hanging="333"/>
        <w:spacing w:after="0" w:line="213" w:lineRule="auto"/>
        <w:tabs>
          <w:tab w:leader="none" w:pos="188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200" w:lineRule="exact"/>
        <w:rPr>
          <w:rFonts w:ascii="Arial" w:cs="Arial" w:eastAsia="Arial" w:hAnsi="Arial"/>
          <w:sz w:val="22"/>
          <w:szCs w:val="22"/>
          <w:color w:val="auto"/>
        </w:rPr>
      </w:pPr>
    </w:p>
    <w:p>
      <w:pPr>
        <w:jc w:val="both"/>
        <w:ind w:left="1880" w:hanging="333"/>
        <w:spacing w:after="0" w:line="208" w:lineRule="auto"/>
        <w:tabs>
          <w:tab w:leader="none" w:pos="1874"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207" w:lineRule="exact"/>
        <w:rPr>
          <w:rFonts w:ascii="Arial" w:cs="Arial" w:eastAsia="Arial" w:hAnsi="Arial"/>
          <w:sz w:val="22"/>
          <w:szCs w:val="22"/>
          <w:color w:val="auto"/>
        </w:rPr>
      </w:pPr>
    </w:p>
    <w:p>
      <w:pPr>
        <w:jc w:val="both"/>
        <w:ind w:left="1880" w:hanging="333"/>
        <w:spacing w:after="0" w:line="211" w:lineRule="auto"/>
        <w:tabs>
          <w:tab w:leader="none" w:pos="186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204" w:lineRule="exact"/>
        <w:rPr>
          <w:rFonts w:ascii="Arial" w:cs="Arial" w:eastAsia="Arial" w:hAnsi="Arial"/>
          <w:sz w:val="22"/>
          <w:szCs w:val="22"/>
          <w:color w:val="auto"/>
        </w:rPr>
      </w:pPr>
    </w:p>
    <w:p>
      <w:pPr>
        <w:jc w:val="both"/>
        <w:ind w:left="1060" w:hanging="323"/>
        <w:spacing w:after="0" w:line="210" w:lineRule="auto"/>
        <w:tabs>
          <w:tab w:leader="none" w:pos="105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200" w:lineRule="exact"/>
        <w:rPr>
          <w:rFonts w:ascii="Arial" w:cs="Arial" w:eastAsia="Arial" w:hAnsi="Arial"/>
          <w:sz w:val="22"/>
          <w:szCs w:val="22"/>
          <w:color w:val="auto"/>
        </w:rPr>
      </w:pPr>
    </w:p>
    <w:p>
      <w:pPr>
        <w:ind w:left="1060" w:hanging="323"/>
        <w:spacing w:after="0" w:line="225" w:lineRule="auto"/>
        <w:tabs>
          <w:tab w:leader="none" w:pos="1051" w:val="left"/>
        </w:tabs>
        <w:numPr>
          <w:ilvl w:val="0"/>
          <w:numId w:val="205"/>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8</w:t>
      </w:r>
    </w:p>
    <w:p>
      <w:pPr>
        <w:sectPr>
          <w:pgSz w:w="11900" w:h="16838" w:orient="portrait"/>
          <w:cols w:equalWidth="0" w:num="1">
            <w:col w:w="11240"/>
          </w:cols>
          <w:pgMar w:left="320" w:top="120" w:right="3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9.</w:t>
      </w:r>
      <w:r>
        <w:rPr>
          <w:sz w:val="20"/>
          <w:szCs w:val="20"/>
          <w:color w:val="auto"/>
        </w:rPr>
        <w:tab/>
      </w:r>
      <w:r>
        <w:rPr>
          <w:rFonts w:ascii="Arial" w:cs="Arial" w:eastAsia="Arial" w:hAnsi="Arial"/>
          <w:sz w:val="23"/>
          <w:szCs w:val="23"/>
          <w:color w:val="auto"/>
        </w:rPr>
        <w:t>Section 409A Compliance</w:t>
      </w:r>
    </w:p>
    <w:p>
      <w:pPr>
        <w:spacing w:after="0" w:line="22"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10.</w:t>
      </w:r>
      <w:r>
        <w:rPr>
          <w:sz w:val="20"/>
          <w:szCs w:val="20"/>
          <w:color w:val="auto"/>
        </w:rPr>
        <w:tab/>
      </w:r>
      <w:r>
        <w:rPr>
          <w:rFonts w:ascii="Arial" w:cs="Arial" w:eastAsia="Arial" w:hAnsi="Arial"/>
          <w:sz w:val="23"/>
          <w:szCs w:val="23"/>
          <w:color w:val="auto"/>
        </w:rPr>
        <w:t>Grantee’s Acknowledgment</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71" w:lineRule="exact"/>
        <w:rPr>
          <w:sz w:val="20"/>
          <w:szCs w:val="20"/>
          <w:color w:val="auto"/>
        </w:rPr>
      </w:pPr>
    </w:p>
    <w:p>
      <w:pPr>
        <w:ind w:left="1060" w:hanging="323"/>
        <w:spacing w:after="0" w:line="225" w:lineRule="auto"/>
        <w:tabs>
          <w:tab w:leader="none" w:pos="105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060" w:hanging="323"/>
        <w:spacing w:after="0" w:line="218" w:lineRule="auto"/>
        <w:tabs>
          <w:tab w:leader="none" w:pos="105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060" w:hanging="323"/>
        <w:spacing w:after="0" w:line="225" w:lineRule="auto"/>
        <w:tabs>
          <w:tab w:leader="none" w:pos="105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060" w:hanging="323"/>
        <w:spacing w:after="0"/>
        <w:tabs>
          <w:tab w:leader="none" w:pos="10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060" w:hanging="323"/>
        <w:spacing w:after="0" w:line="225" w:lineRule="auto"/>
        <w:tabs>
          <w:tab w:leader="none" w:pos="105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060" w:hanging="323"/>
        <w:spacing w:after="0" w:line="225" w:lineRule="auto"/>
        <w:tabs>
          <w:tab w:leader="none" w:pos="1059" w:val="left"/>
        </w:tabs>
        <w:numPr>
          <w:ilvl w:val="0"/>
          <w:numId w:val="206"/>
        </w:numPr>
        <w:rPr>
          <w:rFonts w:ascii="Arial" w:cs="Arial" w:eastAsia="Arial" w:hAnsi="Arial"/>
          <w:sz w:val="21"/>
          <w:szCs w:val="21"/>
          <w:color w:val="auto"/>
        </w:rPr>
      </w:pPr>
      <w:r>
        <w:rPr>
          <w:rFonts w:ascii="Arial" w:cs="Arial" w:eastAsia="Arial" w:hAnsi="Arial"/>
          <w:sz w:val="21"/>
          <w:szCs w:val="21"/>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6" w:lineRule="exact"/>
        <w:rPr>
          <w:rFonts w:ascii="Arial" w:cs="Arial" w:eastAsia="Arial" w:hAnsi="Arial"/>
          <w:sz w:val="21"/>
          <w:szCs w:val="21"/>
          <w:color w:val="auto"/>
        </w:rPr>
      </w:pPr>
    </w:p>
    <w:p>
      <w:pPr>
        <w:jc w:val="both"/>
        <w:ind w:left="1060" w:hanging="323"/>
        <w:spacing w:after="0" w:line="218" w:lineRule="auto"/>
        <w:tabs>
          <w:tab w:leader="none" w:pos="105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66" w:lineRule="exact"/>
        <w:rPr>
          <w:rFonts w:ascii="Arial" w:cs="Arial" w:eastAsia="Arial" w:hAnsi="Arial"/>
          <w:sz w:val="22"/>
          <w:szCs w:val="22"/>
          <w:color w:val="auto"/>
        </w:rPr>
      </w:pPr>
    </w:p>
    <w:p>
      <w:pPr>
        <w:jc w:val="both"/>
        <w:ind w:left="1060" w:hanging="323"/>
        <w:spacing w:after="0" w:line="215" w:lineRule="auto"/>
        <w:tabs>
          <w:tab w:leader="none" w:pos="105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5" w:lineRule="exact"/>
        <w:rPr>
          <w:rFonts w:ascii="Arial" w:cs="Arial" w:eastAsia="Arial" w:hAnsi="Arial"/>
          <w:sz w:val="22"/>
          <w:szCs w:val="22"/>
          <w:color w:val="auto"/>
        </w:rPr>
      </w:pPr>
    </w:p>
    <w:p>
      <w:pPr>
        <w:ind w:left="1060" w:hanging="323"/>
        <w:spacing w:after="0" w:line="225" w:lineRule="auto"/>
        <w:tabs>
          <w:tab w:leader="none" w:pos="10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060" w:hanging="323"/>
        <w:spacing w:after="0" w:line="215" w:lineRule="auto"/>
        <w:tabs>
          <w:tab w:leader="none" w:pos="10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5" w:lineRule="exact"/>
        <w:rPr>
          <w:rFonts w:ascii="Arial" w:cs="Arial" w:eastAsia="Arial" w:hAnsi="Arial"/>
          <w:sz w:val="22"/>
          <w:szCs w:val="22"/>
          <w:color w:val="auto"/>
        </w:rPr>
      </w:pPr>
    </w:p>
    <w:p>
      <w:pPr>
        <w:jc w:val="both"/>
        <w:ind w:left="1060" w:hanging="323"/>
        <w:spacing w:after="0" w:line="218" w:lineRule="auto"/>
        <w:tabs>
          <w:tab w:leader="none" w:pos="105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9</w:t>
      </w:r>
    </w:p>
    <w:p>
      <w:pPr>
        <w:sectPr>
          <w:pgSz w:w="11900" w:h="16838" w:orient="portrait"/>
          <w:cols w:equalWidth="0" w:num="1">
            <w:col w:w="11240"/>
          </w:cols>
          <w:pgMar w:left="320" w:top="120" w:right="3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060"/>
        <w:spacing w:after="0" w:line="208" w:lineRule="auto"/>
        <w:rPr>
          <w:sz w:val="20"/>
          <w:szCs w:val="20"/>
          <w:color w:val="auto"/>
        </w:rPr>
      </w:pPr>
      <w:r>
        <w:rPr>
          <w:rFonts w:ascii="Arial" w:cs="Arial" w:eastAsia="Arial" w:hAnsi="Arial"/>
          <w:sz w:val="22"/>
          <w:szCs w:val="22"/>
          <w:color w:val="auto"/>
        </w:rPr>
        <w:t>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2" w:lineRule="exact"/>
        <w:rPr>
          <w:sz w:val="20"/>
          <w:szCs w:val="20"/>
          <w:color w:val="auto"/>
        </w:rPr>
      </w:pPr>
    </w:p>
    <w:p>
      <w:pPr>
        <w:jc w:val="both"/>
        <w:ind w:left="1060" w:hanging="323"/>
        <w:spacing w:after="0" w:line="215" w:lineRule="auto"/>
        <w:tabs>
          <w:tab w:leader="none" w:pos="106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5" w:lineRule="exact"/>
        <w:rPr>
          <w:rFonts w:ascii="Arial" w:cs="Arial" w:eastAsia="Arial" w:hAnsi="Arial"/>
          <w:sz w:val="22"/>
          <w:szCs w:val="22"/>
          <w:color w:val="auto"/>
        </w:rPr>
      </w:pPr>
    </w:p>
    <w:p>
      <w:pPr>
        <w:ind w:left="1060" w:hanging="323"/>
        <w:spacing w:after="0" w:line="225" w:lineRule="auto"/>
        <w:tabs>
          <w:tab w:leader="none" w:pos="1057"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65" w:lineRule="exact"/>
        <w:rPr>
          <w:rFonts w:ascii="Arial" w:cs="Arial" w:eastAsia="Arial" w:hAnsi="Arial"/>
          <w:sz w:val="22"/>
          <w:szCs w:val="22"/>
          <w:color w:val="auto"/>
        </w:rPr>
      </w:pPr>
    </w:p>
    <w:p>
      <w:pPr>
        <w:jc w:val="both"/>
        <w:ind w:left="1060" w:hanging="323"/>
        <w:spacing w:after="0" w:line="215" w:lineRule="auto"/>
        <w:tabs>
          <w:tab w:leader="none" w:pos="1051" w:val="left"/>
        </w:tabs>
        <w:numPr>
          <w:ilvl w:val="0"/>
          <w:numId w:val="207"/>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71"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11.</w:t>
      </w:r>
      <w:r>
        <w:rPr>
          <w:sz w:val="20"/>
          <w:szCs w:val="20"/>
          <w:color w:val="auto"/>
        </w:rPr>
        <w:tab/>
      </w:r>
      <w:r>
        <w:rPr>
          <w:rFonts w:ascii="Arial" w:cs="Arial" w:eastAsia="Arial" w:hAnsi="Arial"/>
          <w:sz w:val="23"/>
          <w:szCs w:val="23"/>
          <w:color w:val="auto"/>
        </w:rPr>
        <w:t>Data Privacy</w:t>
      </w:r>
    </w:p>
    <w:p>
      <w:pPr>
        <w:spacing w:after="0" w:line="17" w:lineRule="exact"/>
        <w:rPr>
          <w:sz w:val="20"/>
          <w:szCs w:val="20"/>
          <w:color w:val="auto"/>
        </w:rPr>
      </w:pPr>
    </w:p>
    <w:p>
      <w:pPr>
        <w:jc w:val="both"/>
        <w:ind w:left="1060" w:hanging="323"/>
        <w:spacing w:after="0" w:line="219" w:lineRule="auto"/>
        <w:rPr>
          <w:sz w:val="20"/>
          <w:szCs w:val="20"/>
          <w:color w:val="auto"/>
        </w:rPr>
      </w:pPr>
      <w:r>
        <w:rPr>
          <w:rFonts w:ascii="Arial" w:cs="Arial" w:eastAsia="Arial" w:hAnsi="Arial"/>
          <w:sz w:val="21"/>
          <w:szCs w:val="21"/>
          <w:i w:val="1"/>
          <w:iCs w:val="1"/>
          <w:color w:val="auto"/>
        </w:rPr>
        <w:t xml:space="preserve">a. </w:t>
      </w:r>
      <w:r>
        <w:rPr>
          <w:rFonts w:ascii="Arial" w:cs="Arial" w:eastAsia="Arial" w:hAnsi="Arial"/>
          <w:sz w:val="21"/>
          <w:szCs w:val="21"/>
          <w:i w:val="1"/>
          <w:iCs w:val="1"/>
          <w:u w:val="single" w:color="auto"/>
          <w:color w:val="auto"/>
        </w:rPr>
        <w:t>Data Collection and Usage</w:t>
      </w:r>
      <w:r>
        <w:rPr>
          <w:rFonts w:ascii="Arial" w:cs="Arial" w:eastAsia="Arial" w:hAnsi="Arial"/>
          <w:sz w:val="21"/>
          <w:szCs w:val="21"/>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178" w:lineRule="exact"/>
        <w:rPr>
          <w:sz w:val="20"/>
          <w:szCs w:val="20"/>
          <w:color w:val="auto"/>
        </w:rPr>
      </w:pPr>
    </w:p>
    <w:p>
      <w:pPr>
        <w:jc w:val="both"/>
        <w:ind w:left="1060" w:hanging="323"/>
        <w:spacing w:after="0" w:line="215" w:lineRule="auto"/>
        <w:tabs>
          <w:tab w:leader="none" w:pos="1051" w:val="left"/>
        </w:tabs>
        <w:numPr>
          <w:ilvl w:val="0"/>
          <w:numId w:val="20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10</w:t>
      </w:r>
    </w:p>
    <w:p>
      <w:pPr>
        <w:sectPr>
          <w:pgSz w:w="11900" w:h="16838" w:orient="portrait"/>
          <w:cols w:equalWidth="0" w:num="1">
            <w:col w:w="11240"/>
          </w:cols>
          <w:pgMar w:left="320" w:top="120" w:right="3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060" w:right="20"/>
        <w:spacing w:after="0" w:line="220" w:lineRule="auto"/>
        <w:rPr>
          <w:sz w:val="20"/>
          <w:szCs w:val="20"/>
          <w:color w:val="auto"/>
        </w:rPr>
      </w:pPr>
      <w:r>
        <w:rPr>
          <w:rFonts w:ascii="Arial" w:cs="Arial" w:eastAsia="Arial" w:hAnsi="Arial"/>
          <w:sz w:val="22"/>
          <w:szCs w:val="22"/>
          <w:i w:val="1"/>
          <w:iCs w:val="1"/>
          <w:color w:val="auto"/>
        </w:rPr>
        <w:t>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179" w:lineRule="exact"/>
        <w:rPr>
          <w:sz w:val="20"/>
          <w:szCs w:val="20"/>
          <w:color w:val="auto"/>
        </w:rPr>
      </w:pPr>
    </w:p>
    <w:p>
      <w:pPr>
        <w:jc w:val="both"/>
        <w:ind w:left="1060" w:hanging="323"/>
        <w:spacing w:after="0" w:line="225" w:lineRule="auto"/>
        <w:tabs>
          <w:tab w:leader="none" w:pos="1052" w:val="left"/>
        </w:tabs>
        <w:numPr>
          <w:ilvl w:val="0"/>
          <w:numId w:val="20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International Data Transfers</w:t>
      </w:r>
      <w:r>
        <w:rPr>
          <w:rFonts w:ascii="Arial" w:cs="Arial" w:eastAsia="Arial" w:hAnsi="Arial"/>
          <w:sz w:val="22"/>
          <w:szCs w:val="22"/>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179" w:lineRule="exact"/>
        <w:rPr>
          <w:rFonts w:ascii="Arial" w:cs="Arial" w:eastAsia="Arial" w:hAnsi="Arial"/>
          <w:sz w:val="22"/>
          <w:szCs w:val="22"/>
          <w:i w:val="1"/>
          <w:iCs w:val="1"/>
          <w:color w:val="auto"/>
        </w:rPr>
      </w:pPr>
    </w:p>
    <w:p>
      <w:pPr>
        <w:jc w:val="both"/>
        <w:ind w:left="1060" w:hanging="323"/>
        <w:spacing w:after="0" w:line="225" w:lineRule="auto"/>
        <w:tabs>
          <w:tab w:leader="none" w:pos="1051" w:val="left"/>
        </w:tabs>
        <w:numPr>
          <w:ilvl w:val="0"/>
          <w:numId w:val="20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79" w:lineRule="exact"/>
        <w:rPr>
          <w:rFonts w:ascii="Arial" w:cs="Arial" w:eastAsia="Arial" w:hAnsi="Arial"/>
          <w:sz w:val="22"/>
          <w:szCs w:val="22"/>
          <w:i w:val="1"/>
          <w:iCs w:val="1"/>
          <w:color w:val="auto"/>
        </w:rPr>
      </w:pPr>
    </w:p>
    <w:p>
      <w:pPr>
        <w:jc w:val="both"/>
        <w:ind w:left="1060" w:hanging="323"/>
        <w:spacing w:after="0" w:line="215" w:lineRule="auto"/>
        <w:tabs>
          <w:tab w:leader="none" w:pos="1051" w:val="left"/>
        </w:tabs>
        <w:numPr>
          <w:ilvl w:val="0"/>
          <w:numId w:val="20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179" w:lineRule="exact"/>
        <w:rPr>
          <w:rFonts w:ascii="Arial" w:cs="Arial" w:eastAsia="Arial" w:hAnsi="Arial"/>
          <w:sz w:val="22"/>
          <w:szCs w:val="22"/>
          <w:i w:val="1"/>
          <w:iCs w:val="1"/>
          <w:color w:val="auto"/>
        </w:rPr>
      </w:pPr>
    </w:p>
    <w:p>
      <w:pPr>
        <w:jc w:val="both"/>
        <w:ind w:left="1060" w:hanging="323"/>
        <w:spacing w:after="0" w:line="208" w:lineRule="auto"/>
        <w:tabs>
          <w:tab w:leader="none" w:pos="1059" w:val="left"/>
        </w:tabs>
        <w:numPr>
          <w:ilvl w:val="0"/>
          <w:numId w:val="20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191" w:lineRule="exact"/>
        <w:rPr>
          <w:rFonts w:ascii="Arial" w:cs="Arial" w:eastAsia="Arial" w:hAnsi="Arial"/>
          <w:sz w:val="22"/>
          <w:szCs w:val="22"/>
          <w:i w:val="1"/>
          <w:iCs w:val="1"/>
          <w:color w:val="auto"/>
        </w:rPr>
      </w:pPr>
    </w:p>
    <w:p>
      <w:pPr>
        <w:jc w:val="both"/>
        <w:ind w:left="1060" w:hanging="323"/>
        <w:spacing w:after="0" w:line="220" w:lineRule="auto"/>
        <w:tabs>
          <w:tab w:leader="none" w:pos="1051" w:val="left"/>
        </w:tabs>
        <w:numPr>
          <w:ilvl w:val="0"/>
          <w:numId w:val="20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11</w:t>
      </w:r>
    </w:p>
    <w:p>
      <w:pPr>
        <w:sectPr>
          <w:pgSz w:w="11900" w:h="16838" w:orient="portrait"/>
          <w:cols w:equalWidth="0" w:num="1">
            <w:col w:w="11240"/>
          </w:cols>
          <w:pgMar w:left="320" w:top="120" w:right="3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60"/>
        <w:spacing w:after="0" w:line="235" w:lineRule="auto"/>
        <w:rPr>
          <w:sz w:val="20"/>
          <w:szCs w:val="20"/>
          <w:color w:val="auto"/>
        </w:rPr>
      </w:pPr>
      <w:r>
        <w:rPr>
          <w:rFonts w:ascii="Arial" w:cs="Arial" w:eastAsia="Arial" w:hAnsi="Arial"/>
          <w:sz w:val="22"/>
          <w:szCs w:val="22"/>
          <w:i w:val="1"/>
          <w:iCs w:val="1"/>
          <w:color w:val="auto"/>
        </w:rPr>
        <w:t>countries which do not adduce an adequate level of protection from a European (or other non-U.S.) data protection law perspective, for the purposes described above.</w:t>
      </w:r>
    </w:p>
    <w:p>
      <w:pPr>
        <w:spacing w:after="0" w:line="172"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12.</w:t>
      </w:r>
      <w:r>
        <w:rPr>
          <w:sz w:val="20"/>
          <w:szCs w:val="20"/>
          <w:color w:val="auto"/>
        </w:rPr>
        <w:tab/>
      </w:r>
      <w:r>
        <w:rPr>
          <w:rFonts w:ascii="Arial" w:cs="Arial" w:eastAsia="Arial" w:hAnsi="Arial"/>
          <w:sz w:val="23"/>
          <w:szCs w:val="23"/>
          <w:color w:val="auto"/>
        </w:rPr>
        <w:t>Additional Terms and Conditions</w:t>
      </w:r>
    </w:p>
    <w:p>
      <w:pPr>
        <w:spacing w:after="0" w:line="76" w:lineRule="exact"/>
        <w:rPr>
          <w:sz w:val="20"/>
          <w:szCs w:val="20"/>
          <w:color w:val="auto"/>
        </w:rPr>
      </w:pPr>
    </w:p>
    <w:p>
      <w:pPr>
        <w:jc w:val="both"/>
        <w:ind w:left="1060" w:hanging="323"/>
        <w:spacing w:after="0" w:line="211" w:lineRule="auto"/>
        <w:tabs>
          <w:tab w:leader="none" w:pos="1051"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204" w:lineRule="exact"/>
        <w:rPr>
          <w:rFonts w:ascii="Arial" w:cs="Arial" w:eastAsia="Arial" w:hAnsi="Arial"/>
          <w:sz w:val="22"/>
          <w:szCs w:val="22"/>
          <w:color w:val="auto"/>
        </w:rPr>
      </w:pPr>
    </w:p>
    <w:p>
      <w:pPr>
        <w:jc w:val="both"/>
        <w:ind w:left="1060" w:hanging="323"/>
        <w:spacing w:after="0" w:line="209" w:lineRule="auto"/>
        <w:tabs>
          <w:tab w:leader="none" w:pos="1051"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Shareholder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0" w:lineRule="exact"/>
        <w:rPr>
          <w:rFonts w:ascii="Arial" w:cs="Arial" w:eastAsia="Arial" w:hAnsi="Arial"/>
          <w:sz w:val="22"/>
          <w:szCs w:val="22"/>
          <w:color w:val="auto"/>
        </w:rPr>
      </w:pPr>
    </w:p>
    <w:p>
      <w:pPr>
        <w:jc w:val="both"/>
        <w:ind w:left="1060" w:hanging="323"/>
        <w:spacing w:after="0" w:line="210" w:lineRule="auto"/>
        <w:tabs>
          <w:tab w:leader="none" w:pos="1052"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0"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13.</w:t>
      </w:r>
      <w:r>
        <w:rPr>
          <w:sz w:val="20"/>
          <w:szCs w:val="20"/>
          <w:color w:val="auto"/>
        </w:rPr>
        <w:tab/>
      </w:r>
      <w:r>
        <w:rPr>
          <w:rFonts w:ascii="Arial" w:cs="Arial" w:eastAsia="Arial" w:hAnsi="Arial"/>
          <w:sz w:val="23"/>
          <w:szCs w:val="23"/>
          <w:color w:val="auto"/>
        </w:rPr>
        <w:t>Governing Law and Choice of Venue</w:t>
      </w:r>
    </w:p>
    <w:p>
      <w:pPr>
        <w:spacing w:after="0" w:line="76" w:lineRule="exact"/>
        <w:rPr>
          <w:sz w:val="20"/>
          <w:szCs w:val="20"/>
          <w:color w:val="auto"/>
        </w:rPr>
      </w:pPr>
    </w:p>
    <w:p>
      <w:pPr>
        <w:jc w:val="both"/>
        <w:ind w:left="40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12</w:t>
      </w:r>
    </w:p>
    <w:p>
      <w:pPr>
        <w:sectPr>
          <w:pgSz w:w="11900" w:h="16838" w:orient="portrait"/>
          <w:cols w:equalWidth="0" w:num="1">
            <w:col w:w="11240"/>
          </w:cols>
          <w:pgMar w:left="320" w:top="120" w:right="3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3"/>
          <w:szCs w:val="23"/>
          <w:color w:val="auto"/>
        </w:rPr>
        <w:t>Section 14.</w:t>
      </w:r>
      <w:r>
        <w:rPr>
          <w:sz w:val="20"/>
          <w:szCs w:val="20"/>
          <w:color w:val="auto"/>
        </w:rPr>
        <w:tab/>
      </w:r>
      <w:r>
        <w:rPr>
          <w:rFonts w:ascii="Arial" w:cs="Arial" w:eastAsia="Arial" w:hAnsi="Arial"/>
          <w:sz w:val="23"/>
          <w:szCs w:val="23"/>
          <w:color w:val="auto"/>
        </w:rPr>
        <w:t>Miscellaneous Provisions</w:t>
      </w:r>
    </w:p>
    <w:p>
      <w:pPr>
        <w:spacing w:after="0" w:line="76" w:lineRule="exact"/>
        <w:rPr>
          <w:sz w:val="20"/>
          <w:szCs w:val="20"/>
          <w:color w:val="auto"/>
        </w:rPr>
      </w:pPr>
    </w:p>
    <w:p>
      <w:pPr>
        <w:jc w:val="both"/>
        <w:ind w:left="1060" w:hanging="323"/>
        <w:spacing w:after="0" w:line="208" w:lineRule="auto"/>
        <w:tabs>
          <w:tab w:leader="none" w:pos="1051"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Notices and Electronic Delivery and Participation</w:t>
      </w:r>
      <w:r>
        <w:rPr>
          <w:rFonts w:ascii="Arial" w:cs="Arial" w:eastAsia="Arial" w:hAnsi="Arial"/>
          <w:sz w:val="22"/>
          <w:szCs w:val="22"/>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207" w:lineRule="exact"/>
        <w:rPr>
          <w:rFonts w:ascii="Arial" w:cs="Arial" w:eastAsia="Arial" w:hAnsi="Arial"/>
          <w:sz w:val="22"/>
          <w:szCs w:val="22"/>
          <w:color w:val="auto"/>
        </w:rPr>
      </w:pPr>
    </w:p>
    <w:p>
      <w:pPr>
        <w:jc w:val="both"/>
        <w:ind w:left="1060" w:hanging="323"/>
        <w:spacing w:after="0" w:line="223" w:lineRule="auto"/>
        <w:tabs>
          <w:tab w:leader="none" w:pos="1051"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Language</w:t>
      </w:r>
      <w:r>
        <w:rPr>
          <w:rFonts w:ascii="Arial" w:cs="Arial" w:eastAsia="Arial" w:hAnsi="Arial"/>
          <w:sz w:val="21"/>
          <w:szCs w:val="21"/>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214" w:lineRule="exact"/>
        <w:rPr>
          <w:rFonts w:ascii="Arial" w:cs="Arial" w:eastAsia="Arial" w:hAnsi="Arial"/>
          <w:sz w:val="21"/>
          <w:szCs w:val="21"/>
          <w:color w:val="auto"/>
        </w:rPr>
      </w:pPr>
    </w:p>
    <w:p>
      <w:pPr>
        <w:jc w:val="both"/>
        <w:ind w:left="1060" w:hanging="323"/>
        <w:spacing w:after="0" w:line="222" w:lineRule="auto"/>
        <w:tabs>
          <w:tab w:leader="none" w:pos="1052"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202" w:lineRule="exact"/>
        <w:rPr>
          <w:rFonts w:ascii="Arial" w:cs="Arial" w:eastAsia="Arial" w:hAnsi="Arial"/>
          <w:sz w:val="22"/>
          <w:szCs w:val="22"/>
          <w:color w:val="auto"/>
        </w:rPr>
      </w:pPr>
    </w:p>
    <w:p>
      <w:pPr>
        <w:jc w:val="both"/>
        <w:ind w:left="1060" w:hanging="323"/>
        <w:spacing w:after="0" w:line="221" w:lineRule="auto"/>
        <w:tabs>
          <w:tab w:leader="none" w:pos="1051"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Severability and Section Headings</w:t>
      </w:r>
      <w:r>
        <w:rPr>
          <w:rFonts w:ascii="Arial" w:cs="Arial" w:eastAsia="Arial" w:hAnsi="Arial"/>
          <w:sz w:val="21"/>
          <w:szCs w:val="21"/>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204" w:lineRule="exact"/>
        <w:rPr>
          <w:rFonts w:ascii="Arial" w:cs="Arial" w:eastAsia="Arial" w:hAnsi="Arial"/>
          <w:sz w:val="21"/>
          <w:szCs w:val="21"/>
          <w:color w:val="auto"/>
        </w:rPr>
      </w:pPr>
    </w:p>
    <w:p>
      <w:pPr>
        <w:ind w:left="1060"/>
        <w:spacing w:after="0" w:line="225" w:lineRule="auto"/>
        <w:rPr>
          <w:rFonts w:ascii="Arial" w:cs="Arial" w:eastAsia="Arial" w:hAnsi="Arial"/>
          <w:sz w:val="21"/>
          <w:szCs w:val="21"/>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173" w:lineRule="exact"/>
        <w:rPr>
          <w:rFonts w:ascii="Arial" w:cs="Arial" w:eastAsia="Arial" w:hAnsi="Arial"/>
          <w:sz w:val="21"/>
          <w:szCs w:val="21"/>
          <w:color w:val="auto"/>
        </w:rPr>
      </w:pPr>
    </w:p>
    <w:p>
      <w:pPr>
        <w:jc w:val="both"/>
        <w:ind w:left="1060" w:hanging="323"/>
        <w:spacing w:after="0" w:line="225" w:lineRule="auto"/>
        <w:tabs>
          <w:tab w:leader="none" w:pos="1051"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13</w:t>
      </w:r>
    </w:p>
    <w:p>
      <w:pPr>
        <w:sectPr>
          <w:pgSz w:w="11900" w:h="16838" w:orient="portrait"/>
          <w:cols w:equalWidth="0" w:num="1">
            <w:col w:w="11240"/>
          </w:cols>
          <w:pgMar w:left="320" w:top="120" w:right="3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Eli Lilly and Company Shareholder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spacing w:after="0"/>
        <w:tabs>
          <w:tab w:leader="none" w:pos="1920" w:val="left"/>
        </w:tabs>
        <w:rPr>
          <w:sz w:val="20"/>
          <w:szCs w:val="20"/>
          <w:color w:val="auto"/>
        </w:rPr>
      </w:pPr>
      <w:r>
        <w:rPr>
          <w:rFonts w:ascii="Arial" w:cs="Arial" w:eastAsia="Arial" w:hAnsi="Arial"/>
          <w:sz w:val="23"/>
          <w:szCs w:val="23"/>
          <w:color w:val="auto"/>
        </w:rPr>
        <w:t>Section 15.</w:t>
        <w:tab/>
        <w:t>Award Subject to Acknowledgement of Acceptance</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1"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Page 14</w:t>
      </w:r>
    </w:p>
    <w:p>
      <w:pPr>
        <w:sectPr>
          <w:pgSz w:w="11900" w:h="16838" w:orient="portrait"/>
          <w:cols w:equalWidth="0" w:num="1">
            <w:col w:w="11240"/>
          </w:cols>
          <w:pgMar w:left="320" w:top="120" w:right="339" w:bottom="1440" w:gutter="0" w:footer="0" w:header="0"/>
        </w:sectPr>
      </w:pPr>
    </w:p>
    <w:bookmarkStart w:id="234" w:name="page235"/>
    <w:bookmarkEnd w:id="234"/>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10.8 Form of Relative Value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480" w:right="2300"/>
        <w:spacing w:after="0" w:line="224" w:lineRule="auto"/>
        <w:rPr>
          <w:sz w:val="20"/>
          <w:szCs w:val="20"/>
          <w:color w:val="auto"/>
        </w:rPr>
      </w:pPr>
      <w:r>
        <w:rPr>
          <w:rFonts w:ascii="Arial" w:cs="Arial" w:eastAsia="Arial" w:hAnsi="Arial"/>
          <w:sz w:val="43"/>
          <w:szCs w:val="43"/>
          <w:color w:val="auto"/>
        </w:rPr>
        <w:t>Eli Lilly and Company Relative Value Award Agreement (for Executive Officers)</w:t>
      </w:r>
    </w:p>
    <w:p>
      <w:pPr>
        <w:spacing w:after="0" w:line="163" w:lineRule="exact"/>
        <w:rPr>
          <w:sz w:val="20"/>
          <w:szCs w:val="20"/>
          <w:color w:val="auto"/>
        </w:rPr>
      </w:pPr>
    </w:p>
    <w:p>
      <w:pPr>
        <w:jc w:val="both"/>
        <w:ind w:left="340"/>
        <w:spacing w:after="0" w:line="218" w:lineRule="auto"/>
        <w:rPr>
          <w:sz w:val="20"/>
          <w:szCs w:val="20"/>
          <w:color w:val="auto"/>
        </w:rPr>
      </w:pPr>
      <w:r>
        <w:rPr>
          <w:rFonts w:ascii="Arial" w:cs="Arial" w:eastAsia="Arial" w:hAnsi="Arial"/>
          <w:sz w:val="22"/>
          <w:szCs w:val="22"/>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5"/>
          <w:szCs w:val="25"/>
          <w:color w:val="auto"/>
        </w:rPr>
        <w:t>Lilly Relative Total Shareholder Return Performance Levels:</w:t>
      </w:r>
    </w:p>
    <w:p>
      <w:pPr>
        <w:spacing w:after="0" w:line="231" w:lineRule="exact"/>
        <w:rPr>
          <w:sz w:val="20"/>
          <w:szCs w:val="20"/>
          <w:color w:val="auto"/>
        </w:rPr>
      </w:pPr>
    </w:p>
    <w:tbl>
      <w:tblPr>
        <w:tblLayout w:type="fixed"/>
        <w:tblInd w:w="330" w:type="dxa"/>
        <w:tblCellMar>
          <w:top w:w="0" w:type="dxa"/>
          <w:left w:w="0" w:type="dxa"/>
          <w:bottom w:w="0" w:type="dxa"/>
          <w:right w:w="0" w:type="dxa"/>
        </w:tblCellMar>
      </w:tblPr>
      <w:tr>
        <w:trPr>
          <w:trHeight w:val="176"/>
        </w:trPr>
        <w:tc>
          <w:tcPr>
            <w:tcW w:w="1280" w:type="dxa"/>
            <w:vAlign w:val="bottom"/>
            <w:tcBorders>
              <w:top w:val="single" w:sz="8" w:color="auto"/>
              <w:left w:val="single" w:sz="8" w:color="auto"/>
              <w:right w:val="single" w:sz="8" w:color="auto"/>
            </w:tcBorders>
            <w:shd w:val="clear" w:color="auto" w:fill="D9D9D9"/>
          </w:tcPr>
          <w:p>
            <w:pPr>
              <w:ind w:left="60"/>
              <w:spacing w:after="0" w:line="175" w:lineRule="exact"/>
              <w:rPr>
                <w:sz w:val="20"/>
                <w:szCs w:val="20"/>
                <w:color w:val="auto"/>
              </w:rPr>
            </w:pPr>
            <w:r>
              <w:rPr>
                <w:rFonts w:ascii="Arial" w:cs="Arial" w:eastAsia="Arial" w:hAnsi="Arial"/>
                <w:sz w:val="16"/>
                <w:szCs w:val="16"/>
                <w:b w:val="1"/>
                <w:bCs w:val="1"/>
                <w:color w:val="auto"/>
              </w:rPr>
              <w:t>Absolute</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Peer</w:t>
            </w:r>
          </w:p>
        </w:tc>
        <w:tc>
          <w:tcPr>
            <w:tcW w:w="80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shd w:val="clear" w:color="auto" w:fill="D9D9D9"/>
          </w:tcPr>
          <w:p>
            <w:pPr>
              <w:ind w:left="60"/>
              <w:spacing w:after="0" w:line="162" w:lineRule="exact"/>
              <w:rPr>
                <w:sz w:val="20"/>
                <w:szCs w:val="20"/>
                <w:color w:val="auto"/>
              </w:rPr>
            </w:pPr>
            <w:r>
              <w:rPr>
                <w:rFonts w:ascii="Arial" w:cs="Arial" w:eastAsia="Arial" w:hAnsi="Arial"/>
                <w:sz w:val="16"/>
                <w:szCs w:val="16"/>
                <w:b w:val="1"/>
                <w:bCs w:val="1"/>
                <w:color w:val="auto"/>
              </w:rPr>
              <w:t>Percentage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-24.0 pp</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 pp</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-12.0 pp</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 pp</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-0.01 pp</w:t>
            </w:r>
          </w:p>
        </w:tc>
        <w:tc>
          <w:tcPr>
            <w:tcW w:w="820" w:type="dxa"/>
            <w:vAlign w:val="bottom"/>
            <w:tcBorders>
              <w:right w:val="single" w:sz="8" w:color="auto"/>
            </w:tcBorders>
            <w:vMerge w:val="continue"/>
            <w:shd w:val="clear" w:color="auto" w:fill="D9D9D9"/>
          </w:tcPr>
          <w:p>
            <w:pPr>
              <w:spacing w:after="0"/>
              <w:rPr>
                <w:sz w:val="14"/>
                <w:szCs w:val="1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 pp</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+12.0 pp</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 pp</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+24.0 pp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280" w:type="dxa"/>
            <w:vAlign w:val="bottom"/>
            <w:tcBorders>
              <w:left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6"/>
                <w:szCs w:val="16"/>
                <w:b w:val="1"/>
                <w:bCs w:val="1"/>
                <w:color w:val="auto"/>
              </w:rPr>
              <w:t>Point (pp)</w:t>
            </w:r>
          </w:p>
        </w:tc>
        <w:tc>
          <w:tcPr>
            <w:tcW w:w="12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color w:val="auto"/>
              </w:rPr>
              <w:t>&lt; -30pp</w:t>
            </w: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Median</w:t>
            </w: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rPr>
              <w:t>&gt; +30 pp</w:t>
            </w:r>
          </w:p>
        </w:tc>
        <w:tc>
          <w:tcPr>
            <w:tcW w:w="0" w:type="dxa"/>
            <w:vAlign w:val="bottom"/>
          </w:tcPr>
          <w:p>
            <w:pPr>
              <w:spacing w:after="0"/>
              <w:rPr>
                <w:sz w:val="1"/>
                <w:szCs w:val="1"/>
                <w:color w:val="auto"/>
              </w:rPr>
            </w:pPr>
          </w:p>
        </w:tc>
      </w:tr>
      <w:tr>
        <w:trPr>
          <w:trHeight w:val="137"/>
        </w:trPr>
        <w:tc>
          <w:tcPr>
            <w:tcW w:w="128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right w:val="single" w:sz="8" w:color="auto"/>
            </w:tcBorders>
            <w:gridSpan w:val="2"/>
            <w:vMerge w:val="continue"/>
          </w:tcPr>
          <w:p>
            <w:pPr>
              <w:spacing w:after="0"/>
              <w:rPr>
                <w:sz w:val="11"/>
                <w:szCs w:val="11"/>
                <w:color w:val="auto"/>
              </w:rPr>
            </w:pPr>
          </w:p>
        </w:tc>
        <w:tc>
          <w:tcPr>
            <w:tcW w:w="8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20" w:type="dxa"/>
            <w:vAlign w:val="bottom"/>
            <w:tcBorders>
              <w:right w:val="single" w:sz="8" w:color="auto"/>
            </w:tcBorders>
            <w:vMerge w:val="continue"/>
            <w:shd w:val="clear" w:color="auto" w:fill="D9D9D9"/>
          </w:tcPr>
          <w:p>
            <w:pPr>
              <w:spacing w:after="0"/>
              <w:rPr>
                <w:sz w:val="11"/>
                <w:szCs w:val="11"/>
                <w:color w:val="auto"/>
              </w:rPr>
            </w:pPr>
          </w:p>
        </w:tc>
        <w:tc>
          <w:tcPr>
            <w:tcW w:w="8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100" w:type="dxa"/>
            <w:vAlign w:val="bottom"/>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80" w:type="dxa"/>
            <w:vAlign w:val="bottom"/>
            <w:tcBorders>
              <w:top w:val="single" w:sz="8" w:color="D9D9D9"/>
              <w:left w:val="single" w:sz="8" w:color="auto"/>
              <w:right w:val="single" w:sz="8" w:color="auto"/>
            </w:tcBorders>
            <w:shd w:val="clear" w:color="auto" w:fill="D9D9D9"/>
          </w:tcPr>
          <w:p>
            <w:pPr>
              <w:ind w:left="60"/>
              <w:spacing w:after="0" w:line="108" w:lineRule="exact"/>
              <w:rPr>
                <w:sz w:val="20"/>
                <w:szCs w:val="20"/>
                <w:color w:val="auto"/>
              </w:rPr>
            </w:pPr>
            <w:r>
              <w:rPr>
                <w:rFonts w:ascii="Arial" w:cs="Arial" w:eastAsia="Arial" w:hAnsi="Arial"/>
                <w:sz w:val="12"/>
                <w:szCs w:val="12"/>
                <w:b w:val="1"/>
                <w:bCs w:val="1"/>
                <w:color w:val="auto"/>
              </w:rPr>
              <w:t>Difference</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-29.9 pp</w:t>
            </w: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-23.9 pp</w:t>
            </w: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-17.9 pp</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-11.9 pp</w:t>
            </w: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-5.9 pp</w:t>
            </w:r>
          </w:p>
        </w:tc>
        <w:tc>
          <w:tcPr>
            <w:tcW w:w="820" w:type="dxa"/>
            <w:vAlign w:val="bottom"/>
            <w:tcBorders>
              <w:top w:val="single" w:sz="8" w:color="D9D9D9"/>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to</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+11.9 pp</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+17.9 pp</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+23.9 pp</w:t>
            </w: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+29.9 pp</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shd w:val="clear" w:color="auto" w:fill="D9D9D9"/>
          </w:tcPr>
          <w:p>
            <w:pPr>
              <w:ind w:left="60"/>
              <w:spacing w:after="0" w:line="108" w:lineRule="exact"/>
              <w:rPr>
                <w:sz w:val="20"/>
                <w:szCs w:val="20"/>
                <w:color w:val="auto"/>
              </w:rPr>
            </w:pPr>
            <w:r>
              <w:rPr>
                <w:rFonts w:ascii="Arial" w:cs="Arial" w:eastAsia="Arial" w:hAnsi="Arial"/>
                <w:sz w:val="12"/>
                <w:szCs w:val="12"/>
                <w:b w:val="1"/>
                <w:bCs w:val="1"/>
                <w:color w:val="auto"/>
              </w:rPr>
              <w:t>from Peer</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+5.9 pp</w:t>
            </w: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bottom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6"/>
                <w:szCs w:val="16"/>
                <w:b w:val="1"/>
                <w:bCs w:val="1"/>
                <w:color w:val="auto"/>
              </w:rPr>
              <w:t>Median TSR</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right w:val="single" w:sz="8" w:color="auto"/>
            </w:tcBorders>
            <w:shd w:val="clear" w:color="auto" w:fill="D9D9D9"/>
          </w:tcPr>
          <w:p>
            <w:pPr>
              <w:ind w:left="60"/>
              <w:spacing w:after="0" w:line="170" w:lineRule="exact"/>
              <w:rPr>
                <w:sz w:val="20"/>
                <w:szCs w:val="20"/>
                <w:color w:val="auto"/>
              </w:rPr>
            </w:pPr>
            <w:r>
              <w:rPr>
                <w:rFonts w:ascii="Arial" w:cs="Arial" w:eastAsia="Arial" w:hAnsi="Arial"/>
                <w:sz w:val="18"/>
                <w:szCs w:val="18"/>
                <w:b w:val="1"/>
                <w:bCs w:val="1"/>
                <w:color w:val="auto"/>
              </w:rPr>
              <w:t>Payout</w:t>
            </w:r>
          </w:p>
        </w:tc>
        <w:tc>
          <w:tcPr>
            <w:tcW w:w="740" w:type="dxa"/>
            <w:vAlign w:val="bottom"/>
            <w:tcBorders>
              <w:right w:val="single" w:sz="8" w:color="auto"/>
            </w:tcBorders>
            <w:gridSpan w:val="3"/>
            <w:vMerge w:val="restart"/>
            <w:shd w:val="clear" w:color="auto" w:fill="F2F2F2"/>
          </w:tcPr>
          <w:p>
            <w:pPr>
              <w:jc w:val="right"/>
              <w:ind w:right="240"/>
              <w:spacing w:after="0"/>
              <w:rPr>
                <w:sz w:val="20"/>
                <w:szCs w:val="20"/>
                <w:color w:val="auto"/>
              </w:rPr>
            </w:pPr>
            <w:r>
              <w:rPr>
                <w:rFonts w:ascii="Arial" w:cs="Arial" w:eastAsia="Arial" w:hAnsi="Arial"/>
                <w:sz w:val="20"/>
                <w:szCs w:val="20"/>
                <w:b w:val="1"/>
                <w:bCs w:val="1"/>
                <w:color w:val="auto"/>
              </w:rPr>
              <w:t>0.0</w:t>
            </w: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0.25</w:t>
            </w:r>
          </w:p>
        </w:tc>
        <w:tc>
          <w:tcPr>
            <w:tcW w:w="8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0.40</w:t>
            </w:r>
          </w:p>
        </w:tc>
        <w:tc>
          <w:tcPr>
            <w:tcW w:w="7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0.55</w:t>
            </w:r>
          </w:p>
        </w:tc>
        <w:tc>
          <w:tcPr>
            <w:tcW w:w="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0.70</w:t>
            </w:r>
          </w:p>
        </w:tc>
        <w:tc>
          <w:tcPr>
            <w:tcW w:w="7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0.85</w:t>
            </w:r>
          </w:p>
        </w:tc>
        <w:tc>
          <w:tcPr>
            <w:tcW w:w="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rPr>
              <w:t>1.00</w:t>
            </w: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1.15</w:t>
            </w:r>
          </w:p>
        </w:tc>
        <w:tc>
          <w:tcPr>
            <w:tcW w:w="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rPr>
              <w:t>1.30</w:t>
            </w: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1.45</w:t>
            </w:r>
          </w:p>
        </w:tc>
        <w:tc>
          <w:tcPr>
            <w:tcW w:w="8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1.60</w:t>
            </w:r>
          </w:p>
        </w:tc>
        <w:tc>
          <w:tcPr>
            <w:tcW w:w="760" w:type="dxa"/>
            <w:vAlign w:val="bottom"/>
            <w:tcBorders>
              <w:right w:val="single" w:sz="8" w:color="auto"/>
            </w:tcBorders>
            <w:gridSpan w:val="3"/>
            <w:vMerge w:val="restart"/>
            <w:shd w:val="clear" w:color="auto" w:fill="F2F2F2"/>
          </w:tcPr>
          <w:p>
            <w:pPr>
              <w:jc w:val="right"/>
              <w:ind w:right="200"/>
              <w:spacing w:after="0"/>
              <w:rPr>
                <w:sz w:val="20"/>
                <w:szCs w:val="20"/>
                <w:color w:val="auto"/>
              </w:rPr>
            </w:pPr>
            <w:r>
              <w:rPr>
                <w:rFonts w:ascii="Arial" w:cs="Arial" w:eastAsia="Arial" w:hAnsi="Arial"/>
                <w:sz w:val="20"/>
                <w:szCs w:val="20"/>
                <w:b w:val="1"/>
                <w:bCs w:val="1"/>
                <w:color w:val="auto"/>
              </w:rPr>
              <w:t>1.75</w:t>
            </w:r>
          </w:p>
        </w:tc>
        <w:tc>
          <w:tcPr>
            <w:tcW w:w="0" w:type="dxa"/>
            <w:vAlign w:val="bottom"/>
          </w:tcPr>
          <w:p>
            <w:pPr>
              <w:spacing w:after="0"/>
              <w:rPr>
                <w:sz w:val="1"/>
                <w:szCs w:val="1"/>
                <w:color w:val="auto"/>
              </w:rPr>
            </w:pPr>
          </w:p>
        </w:tc>
      </w:tr>
      <w:tr>
        <w:trPr>
          <w:trHeight w:val="153"/>
        </w:trPr>
        <w:tc>
          <w:tcPr>
            <w:tcW w:w="1280" w:type="dxa"/>
            <w:vAlign w:val="bottom"/>
            <w:tcBorders>
              <w:left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rPr>
              <w:t>Multiple</w:t>
            </w:r>
          </w:p>
        </w:tc>
        <w:tc>
          <w:tcPr>
            <w:tcW w:w="740" w:type="dxa"/>
            <w:vAlign w:val="bottom"/>
            <w:tcBorders>
              <w:right w:val="single" w:sz="8" w:color="auto"/>
            </w:tcBorders>
            <w:gridSpan w:val="3"/>
            <w:vMerge w:val="continue"/>
            <w:shd w:val="clear" w:color="auto" w:fill="F2F2F2"/>
          </w:tcPr>
          <w:p>
            <w:pPr>
              <w:spacing w:after="0"/>
              <w:rPr>
                <w:sz w:val="13"/>
                <w:szCs w:val="13"/>
                <w:color w:val="auto"/>
              </w:rPr>
            </w:pPr>
          </w:p>
        </w:tc>
        <w:tc>
          <w:tcPr>
            <w:tcW w:w="800" w:type="dxa"/>
            <w:vAlign w:val="bottom"/>
            <w:tcBorders>
              <w:right w:val="single" w:sz="8" w:color="auto"/>
            </w:tcBorders>
            <w:vMerge w:val="continue"/>
            <w:shd w:val="clear" w:color="auto" w:fill="F2F2F2"/>
          </w:tcPr>
          <w:p>
            <w:pPr>
              <w:spacing w:after="0"/>
              <w:rPr>
                <w:sz w:val="13"/>
                <w:szCs w:val="13"/>
                <w:color w:val="auto"/>
              </w:rPr>
            </w:pPr>
          </w:p>
        </w:tc>
        <w:tc>
          <w:tcPr>
            <w:tcW w:w="820" w:type="dxa"/>
            <w:vAlign w:val="bottom"/>
            <w:tcBorders>
              <w:right w:val="single" w:sz="8" w:color="auto"/>
            </w:tcBorders>
            <w:vMerge w:val="continue"/>
            <w:shd w:val="clear" w:color="auto" w:fill="F2F2F2"/>
          </w:tcPr>
          <w:p>
            <w:pPr>
              <w:spacing w:after="0"/>
              <w:rPr>
                <w:sz w:val="13"/>
                <w:szCs w:val="13"/>
                <w:color w:val="auto"/>
              </w:rPr>
            </w:pPr>
          </w:p>
        </w:tc>
        <w:tc>
          <w:tcPr>
            <w:tcW w:w="720" w:type="dxa"/>
            <w:vAlign w:val="bottom"/>
            <w:tcBorders>
              <w:right w:val="single" w:sz="8" w:color="auto"/>
            </w:tcBorders>
            <w:vMerge w:val="continue"/>
            <w:shd w:val="clear" w:color="auto" w:fill="F2F2F2"/>
          </w:tcPr>
          <w:p>
            <w:pPr>
              <w:spacing w:after="0"/>
              <w:rPr>
                <w:sz w:val="13"/>
                <w:szCs w:val="13"/>
                <w:color w:val="auto"/>
              </w:rPr>
            </w:pPr>
          </w:p>
        </w:tc>
        <w:tc>
          <w:tcPr>
            <w:tcW w:w="740" w:type="dxa"/>
            <w:vAlign w:val="bottom"/>
            <w:tcBorders>
              <w:right w:val="single" w:sz="8" w:color="auto"/>
            </w:tcBorders>
            <w:vMerge w:val="continue"/>
            <w:shd w:val="clear" w:color="auto" w:fill="F2F2F2"/>
          </w:tcPr>
          <w:p>
            <w:pPr>
              <w:spacing w:after="0"/>
              <w:rPr>
                <w:sz w:val="13"/>
                <w:szCs w:val="13"/>
                <w:color w:val="auto"/>
              </w:rPr>
            </w:pPr>
          </w:p>
        </w:tc>
        <w:tc>
          <w:tcPr>
            <w:tcW w:w="720" w:type="dxa"/>
            <w:vAlign w:val="bottom"/>
            <w:tcBorders>
              <w:right w:val="single" w:sz="8" w:color="auto"/>
            </w:tcBorders>
            <w:vMerge w:val="continue"/>
            <w:shd w:val="clear" w:color="auto" w:fill="F2F2F2"/>
          </w:tcPr>
          <w:p>
            <w:pPr>
              <w:spacing w:after="0"/>
              <w:rPr>
                <w:sz w:val="13"/>
                <w:szCs w:val="13"/>
                <w:color w:val="auto"/>
              </w:rPr>
            </w:pPr>
          </w:p>
        </w:tc>
        <w:tc>
          <w:tcPr>
            <w:tcW w:w="820" w:type="dxa"/>
            <w:vAlign w:val="bottom"/>
            <w:tcBorders>
              <w:right w:val="single" w:sz="8" w:color="auto"/>
            </w:tcBorders>
            <w:vMerge w:val="continue"/>
            <w:shd w:val="clear" w:color="auto" w:fill="D9D9D9"/>
          </w:tcPr>
          <w:p>
            <w:pPr>
              <w:spacing w:after="0"/>
              <w:rPr>
                <w:sz w:val="13"/>
                <w:szCs w:val="13"/>
                <w:color w:val="auto"/>
              </w:rPr>
            </w:pPr>
          </w:p>
        </w:tc>
        <w:tc>
          <w:tcPr>
            <w:tcW w:w="800" w:type="dxa"/>
            <w:vAlign w:val="bottom"/>
            <w:tcBorders>
              <w:right w:val="single" w:sz="8" w:color="auto"/>
            </w:tcBorders>
            <w:vMerge w:val="continue"/>
            <w:shd w:val="clear" w:color="auto" w:fill="F2F2F2"/>
          </w:tcPr>
          <w:p>
            <w:pPr>
              <w:spacing w:after="0"/>
              <w:rPr>
                <w:sz w:val="13"/>
                <w:szCs w:val="13"/>
                <w:color w:val="auto"/>
              </w:rPr>
            </w:pPr>
          </w:p>
        </w:tc>
        <w:tc>
          <w:tcPr>
            <w:tcW w:w="740" w:type="dxa"/>
            <w:vAlign w:val="bottom"/>
            <w:tcBorders>
              <w:right w:val="single" w:sz="8" w:color="auto"/>
            </w:tcBorders>
            <w:vMerge w:val="continue"/>
            <w:shd w:val="clear" w:color="auto" w:fill="F2F2F2"/>
          </w:tcPr>
          <w:p>
            <w:pPr>
              <w:spacing w:after="0"/>
              <w:rPr>
                <w:sz w:val="13"/>
                <w:szCs w:val="13"/>
                <w:color w:val="auto"/>
              </w:rPr>
            </w:pPr>
          </w:p>
        </w:tc>
        <w:tc>
          <w:tcPr>
            <w:tcW w:w="800" w:type="dxa"/>
            <w:vAlign w:val="bottom"/>
            <w:tcBorders>
              <w:right w:val="single" w:sz="8" w:color="auto"/>
            </w:tcBorders>
            <w:vMerge w:val="continue"/>
            <w:shd w:val="clear" w:color="auto" w:fill="F2F2F2"/>
          </w:tcPr>
          <w:p>
            <w:pPr>
              <w:spacing w:after="0"/>
              <w:rPr>
                <w:sz w:val="13"/>
                <w:szCs w:val="13"/>
                <w:color w:val="auto"/>
              </w:rPr>
            </w:pPr>
          </w:p>
        </w:tc>
        <w:tc>
          <w:tcPr>
            <w:tcW w:w="820" w:type="dxa"/>
            <w:vAlign w:val="bottom"/>
            <w:tcBorders>
              <w:right w:val="single" w:sz="8" w:color="auto"/>
            </w:tcBorders>
            <w:vMerge w:val="continue"/>
            <w:shd w:val="clear" w:color="auto" w:fill="F2F2F2"/>
          </w:tcPr>
          <w:p>
            <w:pPr>
              <w:spacing w:after="0"/>
              <w:rPr>
                <w:sz w:val="13"/>
                <w:szCs w:val="13"/>
                <w:color w:val="auto"/>
              </w:rPr>
            </w:pPr>
          </w:p>
        </w:tc>
        <w:tc>
          <w:tcPr>
            <w:tcW w:w="760" w:type="dxa"/>
            <w:vAlign w:val="bottom"/>
            <w:tcBorders>
              <w:right w:val="single" w:sz="8" w:color="auto"/>
            </w:tcBorders>
            <w:gridSpan w:val="3"/>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280" w:type="dxa"/>
            <w:vAlign w:val="bottom"/>
            <w:tcBorders>
              <w:left w:val="single" w:sz="8" w:color="auto"/>
              <w:bottom w:val="single" w:sz="8" w:color="auto"/>
              <w:right w:val="single" w:sz="8" w:color="auto"/>
            </w:tcBorders>
            <w:vMerge w:val="continue"/>
            <w:shd w:val="clear" w:color="auto" w:fill="D9D9D9"/>
          </w:tcPr>
          <w:p>
            <w:pPr>
              <w:spacing w:after="0"/>
              <w:rPr>
                <w:sz w:val="6"/>
                <w:szCs w:val="6"/>
                <w:color w:val="auto"/>
              </w:rPr>
            </w:pPr>
          </w:p>
        </w:tc>
        <w:tc>
          <w:tcPr>
            <w:tcW w:w="120" w:type="dxa"/>
            <w:vAlign w:val="bottom"/>
            <w:tcBorders>
              <w:bottom w:val="single" w:sz="8" w:color="auto"/>
            </w:tcBorders>
            <w:shd w:val="clear" w:color="auto" w:fill="F2F2F2"/>
          </w:tcPr>
          <w:p>
            <w:pPr>
              <w:spacing w:after="0"/>
              <w:rPr>
                <w:sz w:val="6"/>
                <w:szCs w:val="6"/>
                <w:color w:val="auto"/>
              </w:rPr>
            </w:pPr>
          </w:p>
        </w:tc>
        <w:tc>
          <w:tcPr>
            <w:tcW w:w="80" w:type="dxa"/>
            <w:vAlign w:val="bottom"/>
            <w:tcBorders>
              <w:bottom w:val="single" w:sz="8" w:color="auto"/>
            </w:tcBorders>
            <w:shd w:val="clear" w:color="auto" w:fill="F2F2F2"/>
          </w:tcPr>
          <w:p>
            <w:pPr>
              <w:spacing w:after="0"/>
              <w:rPr>
                <w:sz w:val="6"/>
                <w:szCs w:val="6"/>
                <w:color w:val="auto"/>
              </w:rPr>
            </w:pPr>
          </w:p>
        </w:tc>
        <w:tc>
          <w:tcPr>
            <w:tcW w:w="540" w:type="dxa"/>
            <w:vAlign w:val="bottom"/>
            <w:tcBorders>
              <w:bottom w:val="single" w:sz="8" w:color="auto"/>
              <w:right w:val="single" w:sz="8" w:color="auto"/>
            </w:tcBorders>
            <w:shd w:val="clear" w:color="auto" w:fill="F2F2F2"/>
          </w:tcPr>
          <w:p>
            <w:pPr>
              <w:spacing w:after="0"/>
              <w:rPr>
                <w:sz w:val="6"/>
                <w:szCs w:val="6"/>
                <w:color w:val="auto"/>
              </w:rPr>
            </w:pPr>
          </w:p>
        </w:tc>
        <w:tc>
          <w:tcPr>
            <w:tcW w:w="800" w:type="dxa"/>
            <w:vAlign w:val="bottom"/>
            <w:tcBorders>
              <w:bottom w:val="single" w:sz="8" w:color="auto"/>
              <w:right w:val="single" w:sz="8" w:color="auto"/>
            </w:tcBorders>
            <w:shd w:val="clear" w:color="auto" w:fill="F2F2F2"/>
          </w:tcPr>
          <w:p>
            <w:pPr>
              <w:spacing w:after="0"/>
              <w:rPr>
                <w:sz w:val="6"/>
                <w:szCs w:val="6"/>
                <w:color w:val="auto"/>
              </w:rPr>
            </w:pPr>
          </w:p>
        </w:tc>
        <w:tc>
          <w:tcPr>
            <w:tcW w:w="820" w:type="dxa"/>
            <w:vAlign w:val="bottom"/>
            <w:tcBorders>
              <w:bottom w:val="single" w:sz="8" w:color="auto"/>
              <w:right w:val="single" w:sz="8" w:color="auto"/>
            </w:tcBorders>
            <w:shd w:val="clear" w:color="auto" w:fill="F2F2F2"/>
          </w:tcPr>
          <w:p>
            <w:pPr>
              <w:spacing w:after="0"/>
              <w:rPr>
                <w:sz w:val="6"/>
                <w:szCs w:val="6"/>
                <w:color w:val="auto"/>
              </w:rPr>
            </w:pPr>
          </w:p>
        </w:tc>
        <w:tc>
          <w:tcPr>
            <w:tcW w:w="720" w:type="dxa"/>
            <w:vAlign w:val="bottom"/>
            <w:tcBorders>
              <w:bottom w:val="single" w:sz="8" w:color="auto"/>
              <w:right w:val="single" w:sz="8" w:color="auto"/>
            </w:tcBorders>
            <w:shd w:val="clear" w:color="auto" w:fill="F2F2F2"/>
          </w:tcPr>
          <w:p>
            <w:pPr>
              <w:spacing w:after="0"/>
              <w:rPr>
                <w:sz w:val="6"/>
                <w:szCs w:val="6"/>
                <w:color w:val="auto"/>
              </w:rPr>
            </w:pPr>
          </w:p>
        </w:tc>
        <w:tc>
          <w:tcPr>
            <w:tcW w:w="740" w:type="dxa"/>
            <w:vAlign w:val="bottom"/>
            <w:tcBorders>
              <w:bottom w:val="single" w:sz="8" w:color="auto"/>
              <w:right w:val="single" w:sz="8" w:color="auto"/>
            </w:tcBorders>
            <w:shd w:val="clear" w:color="auto" w:fill="F2F2F2"/>
          </w:tcPr>
          <w:p>
            <w:pPr>
              <w:spacing w:after="0"/>
              <w:rPr>
                <w:sz w:val="6"/>
                <w:szCs w:val="6"/>
                <w:color w:val="auto"/>
              </w:rPr>
            </w:pPr>
          </w:p>
        </w:tc>
        <w:tc>
          <w:tcPr>
            <w:tcW w:w="720" w:type="dxa"/>
            <w:vAlign w:val="bottom"/>
            <w:tcBorders>
              <w:bottom w:val="single" w:sz="8" w:color="auto"/>
              <w:right w:val="single" w:sz="8" w:color="auto"/>
            </w:tcBorders>
            <w:shd w:val="clear" w:color="auto" w:fill="F2F2F2"/>
          </w:tcPr>
          <w:p>
            <w:pPr>
              <w:spacing w:after="0"/>
              <w:rPr>
                <w:sz w:val="6"/>
                <w:szCs w:val="6"/>
                <w:color w:val="auto"/>
              </w:rPr>
            </w:pPr>
          </w:p>
        </w:tc>
        <w:tc>
          <w:tcPr>
            <w:tcW w:w="820" w:type="dxa"/>
            <w:vAlign w:val="bottom"/>
            <w:tcBorders>
              <w:bottom w:val="single" w:sz="8" w:color="auto"/>
              <w:right w:val="single" w:sz="8" w:color="auto"/>
            </w:tcBorders>
            <w:shd w:val="clear" w:color="auto" w:fill="D9D9D9"/>
          </w:tcPr>
          <w:p>
            <w:pPr>
              <w:spacing w:after="0"/>
              <w:rPr>
                <w:sz w:val="6"/>
                <w:szCs w:val="6"/>
                <w:color w:val="auto"/>
              </w:rPr>
            </w:pPr>
          </w:p>
        </w:tc>
        <w:tc>
          <w:tcPr>
            <w:tcW w:w="800" w:type="dxa"/>
            <w:vAlign w:val="bottom"/>
            <w:tcBorders>
              <w:bottom w:val="single" w:sz="8" w:color="auto"/>
              <w:right w:val="single" w:sz="8" w:color="auto"/>
            </w:tcBorders>
            <w:shd w:val="clear" w:color="auto" w:fill="F2F2F2"/>
          </w:tcPr>
          <w:p>
            <w:pPr>
              <w:spacing w:after="0"/>
              <w:rPr>
                <w:sz w:val="6"/>
                <w:szCs w:val="6"/>
                <w:color w:val="auto"/>
              </w:rPr>
            </w:pPr>
          </w:p>
        </w:tc>
        <w:tc>
          <w:tcPr>
            <w:tcW w:w="740" w:type="dxa"/>
            <w:vAlign w:val="bottom"/>
            <w:tcBorders>
              <w:bottom w:val="single" w:sz="8" w:color="auto"/>
              <w:right w:val="single" w:sz="8" w:color="auto"/>
            </w:tcBorders>
            <w:shd w:val="clear" w:color="auto" w:fill="F2F2F2"/>
          </w:tcPr>
          <w:p>
            <w:pPr>
              <w:spacing w:after="0"/>
              <w:rPr>
                <w:sz w:val="6"/>
                <w:szCs w:val="6"/>
                <w:color w:val="auto"/>
              </w:rPr>
            </w:pPr>
          </w:p>
        </w:tc>
        <w:tc>
          <w:tcPr>
            <w:tcW w:w="800" w:type="dxa"/>
            <w:vAlign w:val="bottom"/>
            <w:tcBorders>
              <w:bottom w:val="single" w:sz="8" w:color="auto"/>
              <w:right w:val="single" w:sz="8" w:color="auto"/>
            </w:tcBorders>
            <w:shd w:val="clear" w:color="auto" w:fill="F2F2F2"/>
          </w:tcPr>
          <w:p>
            <w:pPr>
              <w:spacing w:after="0"/>
              <w:rPr>
                <w:sz w:val="6"/>
                <w:szCs w:val="6"/>
                <w:color w:val="auto"/>
              </w:rPr>
            </w:pPr>
          </w:p>
        </w:tc>
        <w:tc>
          <w:tcPr>
            <w:tcW w:w="820" w:type="dxa"/>
            <w:vAlign w:val="bottom"/>
            <w:tcBorders>
              <w:bottom w:val="single" w:sz="8" w:color="auto"/>
              <w:right w:val="single" w:sz="8" w:color="auto"/>
            </w:tcBorders>
            <w:shd w:val="clear" w:color="auto" w:fill="F2F2F2"/>
          </w:tcPr>
          <w:p>
            <w:pPr>
              <w:spacing w:after="0"/>
              <w:rPr>
                <w:sz w:val="6"/>
                <w:szCs w:val="6"/>
                <w:color w:val="auto"/>
              </w:rPr>
            </w:pPr>
          </w:p>
        </w:tc>
        <w:tc>
          <w:tcPr>
            <w:tcW w:w="100" w:type="dxa"/>
            <w:vAlign w:val="bottom"/>
            <w:tcBorders>
              <w:bottom w:val="single" w:sz="8" w:color="auto"/>
            </w:tcBorders>
            <w:shd w:val="clear" w:color="auto" w:fill="F2F2F2"/>
          </w:tcPr>
          <w:p>
            <w:pPr>
              <w:spacing w:after="0"/>
              <w:rPr>
                <w:sz w:val="6"/>
                <w:szCs w:val="6"/>
                <w:color w:val="auto"/>
              </w:rPr>
            </w:pPr>
          </w:p>
        </w:tc>
        <w:tc>
          <w:tcPr>
            <w:tcW w:w="80" w:type="dxa"/>
            <w:vAlign w:val="bottom"/>
            <w:tcBorders>
              <w:bottom w:val="single" w:sz="8" w:color="auto"/>
            </w:tcBorders>
            <w:shd w:val="clear" w:color="auto" w:fill="F2F2F2"/>
          </w:tcPr>
          <w:p>
            <w:pPr>
              <w:spacing w:after="0"/>
              <w:rPr>
                <w:sz w:val="6"/>
                <w:szCs w:val="6"/>
                <w:color w:val="auto"/>
              </w:rPr>
            </w:pPr>
          </w:p>
        </w:tc>
        <w:tc>
          <w:tcPr>
            <w:tcW w:w="580" w:type="dxa"/>
            <w:vAlign w:val="bottom"/>
            <w:tcBorders>
              <w:bottom w:val="single" w:sz="8" w:color="auto"/>
              <w:right w:val="single" w:sz="8" w:color="auto"/>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340"/>
        <w:spacing w:after="0"/>
        <w:tabs>
          <w:tab w:leader="none" w:pos="2980" w:val="left"/>
        </w:tabs>
        <w:rPr>
          <w:sz w:val="20"/>
          <w:szCs w:val="20"/>
          <w:color w:val="auto"/>
        </w:rPr>
      </w:pPr>
      <w:r>
        <w:rPr>
          <w:rFonts w:ascii="Arial" w:cs="Arial" w:eastAsia="Arial" w:hAnsi="Arial"/>
          <w:sz w:val="25"/>
          <w:szCs w:val="25"/>
          <w:color w:val="auto"/>
        </w:rPr>
        <w:t>Performance Period:</w:t>
        <w:tab/>
        <w:t>January 1, 2022 – December 31, 2024</w:t>
      </w:r>
    </w:p>
    <w:p>
      <w:pPr>
        <w:sectPr>
          <w:pgSz w:w="11900" w:h="16838" w:orient="portrait"/>
          <w:cols w:equalWidth="0" w:num="1">
            <w:col w:w="11080"/>
          </w:cols>
          <w:pgMar w:left="320" w:top="1440" w:right="49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9"/>
        <w:spacing w:after="0"/>
        <w:rPr>
          <w:sz w:val="20"/>
          <w:szCs w:val="20"/>
          <w:color w:val="auto"/>
        </w:rPr>
      </w:pPr>
      <w:r>
        <w:rPr>
          <w:rFonts w:ascii="Arial" w:cs="Arial" w:eastAsia="Arial" w:hAnsi="Arial"/>
          <w:sz w:val="25"/>
          <w:szCs w:val="25"/>
          <w:color w:val="auto"/>
        </w:rPr>
        <w:t>Table of Contents</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8340" w:type="dxa"/>
            <w:vAlign w:val="bottom"/>
            <w:gridSpan w:val="3"/>
          </w:tcPr>
          <w:p>
            <w:pPr>
              <w:spacing w:after="0"/>
              <w:rPr>
                <w:sz w:val="20"/>
                <w:szCs w:val="20"/>
                <w:color w:val="auto"/>
              </w:rPr>
            </w:pPr>
            <w:r>
              <w:rPr>
                <w:rFonts w:ascii="Arial" w:cs="Arial" w:eastAsia="Arial" w:hAnsi="Arial"/>
                <w:sz w:val="22"/>
                <w:szCs w:val="22"/>
                <w:color w:val="auto"/>
              </w:rPr>
              <w:t>Section 1.  Grant of Relative Value Award</w:t>
            </w:r>
          </w:p>
        </w:tc>
        <w:tc>
          <w:tcPr>
            <w:tcW w:w="2420" w:type="dxa"/>
            <w:vAlign w:val="bottom"/>
          </w:tcPr>
          <w:p>
            <w:pPr>
              <w:ind w:left="2180"/>
              <w:spacing w:after="0"/>
              <w:rPr>
                <w:sz w:val="20"/>
                <w:szCs w:val="20"/>
                <w:color w:val="auto"/>
              </w:rPr>
            </w:pPr>
            <w:r>
              <w:rPr>
                <w:rFonts w:ascii="Arial" w:cs="Arial" w:eastAsia="Arial" w:hAnsi="Arial"/>
                <w:sz w:val="22"/>
                <w:szCs w:val="22"/>
                <w:color w:val="auto"/>
              </w:rPr>
              <w:t>3</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4"/>
                <w:szCs w:val="24"/>
                <w:color w:val="auto"/>
              </w:rPr>
            </w:pPr>
          </w:p>
        </w:tc>
        <w:tc>
          <w:tcPr>
            <w:tcW w:w="7200" w:type="dxa"/>
            <w:vAlign w:val="bottom"/>
          </w:tcPr>
          <w:p>
            <w:pPr>
              <w:ind w:left="60"/>
              <w:spacing w:after="0"/>
              <w:rPr>
                <w:sz w:val="20"/>
                <w:szCs w:val="20"/>
                <w:color w:val="auto"/>
              </w:rPr>
            </w:pPr>
            <w:r>
              <w:rPr>
                <w:rFonts w:ascii="Arial" w:cs="Arial" w:eastAsia="Arial" w:hAnsi="Arial"/>
                <w:sz w:val="22"/>
                <w:szCs w:val="22"/>
                <w:color w:val="auto"/>
              </w:rPr>
              <w:t>Vesting</w:t>
            </w:r>
          </w:p>
        </w:tc>
        <w:tc>
          <w:tcPr>
            <w:tcW w:w="2420" w:type="dxa"/>
            <w:vAlign w:val="bottom"/>
          </w:tcPr>
          <w:p>
            <w:pPr>
              <w:ind w:left="2180"/>
              <w:spacing w:after="0"/>
              <w:rPr>
                <w:sz w:val="20"/>
                <w:szCs w:val="20"/>
                <w:color w:val="auto"/>
              </w:rPr>
            </w:pPr>
            <w:r>
              <w:rPr>
                <w:rFonts w:ascii="Arial" w:cs="Arial" w:eastAsia="Arial" w:hAnsi="Arial"/>
                <w:sz w:val="22"/>
                <w:szCs w:val="22"/>
                <w:color w:val="auto"/>
              </w:rPr>
              <w:t>3</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3.  Impact of Certain Employment Status Changes</w:t>
            </w:r>
          </w:p>
        </w:tc>
        <w:tc>
          <w:tcPr>
            <w:tcW w:w="2420" w:type="dxa"/>
            <w:vAlign w:val="bottom"/>
          </w:tcPr>
          <w:p>
            <w:pPr>
              <w:ind w:left="2180"/>
              <w:spacing w:after="0"/>
              <w:rPr>
                <w:sz w:val="20"/>
                <w:szCs w:val="20"/>
                <w:color w:val="auto"/>
              </w:rPr>
            </w:pPr>
            <w:r>
              <w:rPr>
                <w:rFonts w:ascii="Arial" w:cs="Arial" w:eastAsia="Arial" w:hAnsi="Arial"/>
                <w:sz w:val="22"/>
                <w:szCs w:val="22"/>
                <w:color w:val="auto"/>
              </w:rPr>
              <w:t>4</w:t>
            </w:r>
          </w:p>
        </w:tc>
      </w:tr>
      <w:tr>
        <w:trPr>
          <w:trHeight w:val="310"/>
        </w:trPr>
        <w:tc>
          <w:tcPr>
            <w:tcW w:w="8340" w:type="dxa"/>
            <w:vAlign w:val="bottom"/>
            <w:gridSpan w:val="3"/>
          </w:tcPr>
          <w:p>
            <w:pPr>
              <w:spacing w:after="0"/>
              <w:rPr>
                <w:sz w:val="20"/>
                <w:szCs w:val="20"/>
                <w:color w:val="auto"/>
              </w:rPr>
            </w:pPr>
            <w:r>
              <w:rPr>
                <w:rFonts w:ascii="Arial" w:cs="Arial" w:eastAsia="Arial" w:hAnsi="Arial"/>
                <w:sz w:val="22"/>
                <w:szCs w:val="22"/>
                <w:color w:val="auto"/>
              </w:rPr>
              <w:t>Section 4.  Change in Control</w:t>
            </w:r>
          </w:p>
        </w:tc>
        <w:tc>
          <w:tcPr>
            <w:tcW w:w="2420" w:type="dxa"/>
            <w:vAlign w:val="bottom"/>
          </w:tcPr>
          <w:p>
            <w:pPr>
              <w:ind w:left="2180"/>
              <w:spacing w:after="0"/>
              <w:rPr>
                <w:sz w:val="20"/>
                <w:szCs w:val="20"/>
                <w:color w:val="auto"/>
              </w:rPr>
            </w:pPr>
            <w:r>
              <w:rPr>
                <w:rFonts w:ascii="Arial" w:cs="Arial" w:eastAsia="Arial" w:hAnsi="Arial"/>
                <w:sz w:val="22"/>
                <w:szCs w:val="22"/>
                <w:color w:val="auto"/>
              </w:rPr>
              <w:t>5</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4"/>
                <w:szCs w:val="24"/>
                <w:color w:val="auto"/>
              </w:rPr>
            </w:pPr>
          </w:p>
        </w:tc>
        <w:tc>
          <w:tcPr>
            <w:tcW w:w="720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2420" w:type="dxa"/>
            <w:vAlign w:val="bottom"/>
          </w:tcPr>
          <w:p>
            <w:pPr>
              <w:ind w:left="2180"/>
              <w:spacing w:after="0"/>
              <w:rPr>
                <w:sz w:val="20"/>
                <w:szCs w:val="20"/>
                <w:color w:val="auto"/>
              </w:rPr>
            </w:pPr>
            <w:r>
              <w:rPr>
                <w:rFonts w:ascii="Arial" w:cs="Arial" w:eastAsia="Arial" w:hAnsi="Arial"/>
                <w:sz w:val="22"/>
                <w:szCs w:val="22"/>
                <w:color w:val="auto"/>
              </w:rPr>
              <w:t>6</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6.  Rights of the Grantee</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0"/>
        </w:trPr>
        <w:tc>
          <w:tcPr>
            <w:tcW w:w="8340" w:type="dxa"/>
            <w:vAlign w:val="bottom"/>
            <w:gridSpan w:val="3"/>
          </w:tcPr>
          <w:p>
            <w:pPr>
              <w:spacing w:after="0"/>
              <w:rPr>
                <w:sz w:val="20"/>
                <w:szCs w:val="20"/>
                <w:color w:val="auto"/>
              </w:rPr>
            </w:pPr>
            <w:r>
              <w:rPr>
                <w:rFonts w:ascii="Arial" w:cs="Arial" w:eastAsia="Arial" w:hAnsi="Arial"/>
                <w:sz w:val="22"/>
                <w:szCs w:val="22"/>
                <w:color w:val="auto"/>
              </w:rPr>
              <w:t>Section 7.  Prohibition Against Transfer</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1"/>
        </w:trPr>
        <w:tc>
          <w:tcPr>
            <w:tcW w:w="1080" w:type="dxa"/>
            <w:vAlign w:val="bottom"/>
          </w:tcPr>
          <w:p>
            <w:pPr>
              <w:spacing w:after="0"/>
              <w:rPr>
                <w:sz w:val="20"/>
                <w:szCs w:val="20"/>
                <w:color w:val="auto"/>
              </w:rPr>
            </w:pPr>
            <w:r>
              <w:rPr>
                <w:rFonts w:ascii="Arial" w:cs="Arial" w:eastAsia="Arial" w:hAnsi="Arial"/>
                <w:sz w:val="22"/>
                <w:szCs w:val="22"/>
                <w:color w:val="auto"/>
              </w:rPr>
              <w:t>Section 8.</w:t>
            </w:r>
          </w:p>
        </w:tc>
        <w:tc>
          <w:tcPr>
            <w:tcW w:w="7260" w:type="dxa"/>
            <w:vAlign w:val="bottom"/>
            <w:gridSpan w:val="2"/>
          </w:tcPr>
          <w:p>
            <w:pPr>
              <w:ind w:left="120"/>
              <w:spacing w:after="0"/>
              <w:rPr>
                <w:sz w:val="20"/>
                <w:szCs w:val="20"/>
                <w:color w:val="auto"/>
              </w:rPr>
            </w:pPr>
            <w:r>
              <w:rPr>
                <w:rFonts w:ascii="Arial" w:cs="Arial" w:eastAsia="Arial" w:hAnsi="Arial"/>
                <w:sz w:val="22"/>
                <w:szCs w:val="22"/>
                <w:color w:val="auto"/>
              </w:rPr>
              <w:t>Responsibility for Taxes</w:t>
            </w:r>
          </w:p>
        </w:tc>
        <w:tc>
          <w:tcPr>
            <w:tcW w:w="2420" w:type="dxa"/>
            <w:vAlign w:val="bottom"/>
          </w:tcPr>
          <w:p>
            <w:pPr>
              <w:ind w:left="2180"/>
              <w:spacing w:after="0"/>
              <w:rPr>
                <w:sz w:val="20"/>
                <w:szCs w:val="20"/>
                <w:color w:val="auto"/>
              </w:rPr>
            </w:pPr>
            <w:r>
              <w:rPr>
                <w:rFonts w:ascii="Arial" w:cs="Arial" w:eastAsia="Arial" w:hAnsi="Arial"/>
                <w:sz w:val="22"/>
                <w:szCs w:val="22"/>
                <w:color w:val="auto"/>
              </w:rPr>
              <w:t>7</w:t>
            </w:r>
          </w:p>
        </w:tc>
      </w:tr>
      <w:tr>
        <w:trPr>
          <w:trHeight w:val="310"/>
        </w:trPr>
        <w:tc>
          <w:tcPr>
            <w:tcW w:w="1080" w:type="dxa"/>
            <w:vAlign w:val="bottom"/>
          </w:tcPr>
          <w:p>
            <w:pPr>
              <w:spacing w:after="0"/>
              <w:rPr>
                <w:sz w:val="20"/>
                <w:szCs w:val="20"/>
                <w:color w:val="auto"/>
              </w:rPr>
            </w:pPr>
            <w:r>
              <w:rPr>
                <w:rFonts w:ascii="Arial" w:cs="Arial" w:eastAsia="Arial" w:hAnsi="Arial"/>
                <w:sz w:val="22"/>
                <w:szCs w:val="22"/>
                <w:color w:val="auto"/>
              </w:rPr>
              <w:t>Section 9.</w:t>
            </w:r>
          </w:p>
        </w:tc>
        <w:tc>
          <w:tcPr>
            <w:tcW w:w="726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2420" w:type="dxa"/>
            <w:vAlign w:val="bottom"/>
          </w:tcPr>
          <w:p>
            <w:pPr>
              <w:ind w:left="2180"/>
              <w:spacing w:after="0"/>
              <w:rPr>
                <w:sz w:val="20"/>
                <w:szCs w:val="20"/>
                <w:color w:val="auto"/>
              </w:rPr>
            </w:pPr>
            <w:r>
              <w:rPr>
                <w:rFonts w:ascii="Arial" w:cs="Arial" w:eastAsia="Arial" w:hAnsi="Arial"/>
                <w:sz w:val="22"/>
                <w:szCs w:val="22"/>
                <w:color w:val="auto"/>
              </w:rPr>
              <w:t>9</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10.</w:t>
            </w:r>
          </w:p>
        </w:tc>
        <w:tc>
          <w:tcPr>
            <w:tcW w:w="7200" w:type="dxa"/>
            <w:vAlign w:val="bottom"/>
          </w:tcPr>
          <w:p>
            <w:pPr>
              <w:ind w:left="180"/>
              <w:spacing w:after="0"/>
              <w:rPr>
                <w:sz w:val="20"/>
                <w:szCs w:val="20"/>
                <w:color w:val="auto"/>
              </w:rPr>
            </w:pPr>
            <w:r>
              <w:rPr>
                <w:rFonts w:ascii="Arial" w:cs="Arial" w:eastAsia="Arial" w:hAnsi="Arial"/>
                <w:sz w:val="22"/>
                <w:szCs w:val="22"/>
                <w:color w:val="auto"/>
              </w:rPr>
              <w:t>Grantee’s Acknowledgment</w:t>
            </w:r>
          </w:p>
        </w:tc>
        <w:tc>
          <w:tcPr>
            <w:tcW w:w="2420" w:type="dxa"/>
            <w:vAlign w:val="bottom"/>
          </w:tcPr>
          <w:p>
            <w:pPr>
              <w:ind w:left="2180"/>
              <w:spacing w:after="0"/>
              <w:rPr>
                <w:sz w:val="20"/>
                <w:szCs w:val="20"/>
                <w:color w:val="auto"/>
              </w:rPr>
            </w:pPr>
            <w:r>
              <w:rPr>
                <w:rFonts w:ascii="Arial" w:cs="Arial" w:eastAsia="Arial" w:hAnsi="Arial"/>
                <w:sz w:val="22"/>
                <w:szCs w:val="22"/>
                <w:color w:val="auto"/>
              </w:rPr>
              <w:t>9</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11.</w:t>
            </w:r>
          </w:p>
        </w:tc>
        <w:tc>
          <w:tcPr>
            <w:tcW w:w="720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10</w:t>
            </w:r>
          </w:p>
        </w:tc>
      </w:tr>
      <w:tr>
        <w:trPr>
          <w:trHeight w:val="311"/>
        </w:trPr>
        <w:tc>
          <w:tcPr>
            <w:tcW w:w="8340" w:type="dxa"/>
            <w:vAlign w:val="bottom"/>
            <w:gridSpan w:val="3"/>
          </w:tcPr>
          <w:p>
            <w:pPr>
              <w:spacing w:after="0"/>
              <w:rPr>
                <w:sz w:val="20"/>
                <w:szCs w:val="20"/>
                <w:color w:val="auto"/>
              </w:rPr>
            </w:pPr>
            <w:r>
              <w:rPr>
                <w:rFonts w:ascii="Arial" w:cs="Arial" w:eastAsia="Arial" w:hAnsi="Arial"/>
                <w:sz w:val="22"/>
                <w:szCs w:val="22"/>
                <w:color w:val="auto"/>
              </w:rPr>
              <w:t>Section 12.  Additional Terms and Conditions</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11</w:t>
            </w:r>
          </w:p>
        </w:tc>
      </w:tr>
      <w:tr>
        <w:trPr>
          <w:trHeight w:val="310"/>
        </w:trPr>
        <w:tc>
          <w:tcPr>
            <w:tcW w:w="8340" w:type="dxa"/>
            <w:vAlign w:val="bottom"/>
            <w:gridSpan w:val="3"/>
          </w:tcPr>
          <w:p>
            <w:pPr>
              <w:spacing w:after="0"/>
              <w:rPr>
                <w:sz w:val="20"/>
                <w:szCs w:val="20"/>
                <w:color w:val="auto"/>
              </w:rPr>
            </w:pPr>
            <w:r>
              <w:rPr>
                <w:rFonts w:ascii="Arial" w:cs="Arial" w:eastAsia="Arial" w:hAnsi="Arial"/>
                <w:sz w:val="22"/>
                <w:szCs w:val="22"/>
                <w:color w:val="auto"/>
              </w:rPr>
              <w:t>Section 13.  Governing Law and Choice of Venue</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12</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14.</w:t>
            </w:r>
          </w:p>
        </w:tc>
        <w:tc>
          <w:tcPr>
            <w:tcW w:w="720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12</w:t>
            </w:r>
          </w:p>
        </w:tc>
      </w:tr>
      <w:tr>
        <w:trPr>
          <w:trHeight w:val="310"/>
        </w:trPr>
        <w:tc>
          <w:tcPr>
            <w:tcW w:w="1140" w:type="dxa"/>
            <w:vAlign w:val="bottom"/>
            <w:gridSpan w:val="2"/>
          </w:tcPr>
          <w:p>
            <w:pPr>
              <w:spacing w:after="0"/>
              <w:rPr>
                <w:sz w:val="20"/>
                <w:szCs w:val="20"/>
                <w:color w:val="auto"/>
              </w:rPr>
            </w:pPr>
            <w:r>
              <w:rPr>
                <w:rFonts w:ascii="Arial" w:cs="Arial" w:eastAsia="Arial" w:hAnsi="Arial"/>
                <w:sz w:val="22"/>
                <w:szCs w:val="22"/>
                <w:color w:val="auto"/>
              </w:rPr>
              <w:t>Section 15.</w:t>
            </w:r>
          </w:p>
        </w:tc>
        <w:tc>
          <w:tcPr>
            <w:tcW w:w="7200" w:type="dxa"/>
            <w:vAlign w:val="bottom"/>
          </w:tcPr>
          <w:p>
            <w:pPr>
              <w:ind w:left="180"/>
              <w:spacing w:after="0"/>
              <w:rPr>
                <w:sz w:val="20"/>
                <w:szCs w:val="20"/>
                <w:color w:val="auto"/>
              </w:rPr>
            </w:pPr>
            <w:r>
              <w:rPr>
                <w:rFonts w:ascii="Arial" w:cs="Arial" w:eastAsia="Arial" w:hAnsi="Arial"/>
                <w:sz w:val="22"/>
                <w:szCs w:val="22"/>
                <w:color w:val="auto"/>
              </w:rPr>
              <w:t>Compensation Recovery</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13</w:t>
            </w:r>
          </w:p>
        </w:tc>
      </w:tr>
      <w:tr>
        <w:trPr>
          <w:trHeight w:val="311"/>
        </w:trPr>
        <w:tc>
          <w:tcPr>
            <w:tcW w:w="1140" w:type="dxa"/>
            <w:vAlign w:val="bottom"/>
            <w:gridSpan w:val="2"/>
          </w:tcPr>
          <w:p>
            <w:pPr>
              <w:spacing w:after="0"/>
              <w:rPr>
                <w:sz w:val="20"/>
                <w:szCs w:val="20"/>
                <w:color w:val="auto"/>
              </w:rPr>
            </w:pPr>
            <w:r>
              <w:rPr>
                <w:rFonts w:ascii="Arial" w:cs="Arial" w:eastAsia="Arial" w:hAnsi="Arial"/>
                <w:sz w:val="22"/>
                <w:szCs w:val="22"/>
                <w:color w:val="auto"/>
              </w:rPr>
              <w:t>Section 16.</w:t>
            </w:r>
          </w:p>
        </w:tc>
        <w:tc>
          <w:tcPr>
            <w:tcW w:w="7200" w:type="dxa"/>
            <w:vAlign w:val="bottom"/>
          </w:tcPr>
          <w:p>
            <w:pPr>
              <w:ind w:left="160"/>
              <w:spacing w:after="0"/>
              <w:rPr>
                <w:sz w:val="20"/>
                <w:szCs w:val="20"/>
                <w:color w:val="auto"/>
              </w:rPr>
            </w:pPr>
            <w:r>
              <w:rPr>
                <w:rFonts w:ascii="Arial" w:cs="Arial" w:eastAsia="Arial" w:hAnsi="Arial"/>
                <w:sz w:val="22"/>
                <w:szCs w:val="22"/>
                <w:color w:val="auto"/>
              </w:rPr>
              <w:t>Award Subject to Acknowledgement of Acceptance</w:t>
            </w:r>
          </w:p>
        </w:tc>
        <w:tc>
          <w:tcPr>
            <w:tcW w:w="2420" w:type="dxa"/>
            <w:vAlign w:val="bottom"/>
          </w:tcPr>
          <w:p>
            <w:pPr>
              <w:ind w:left="2180"/>
              <w:spacing w:after="0"/>
              <w:rPr>
                <w:sz w:val="20"/>
                <w:szCs w:val="20"/>
                <w:color w:val="auto"/>
              </w:rPr>
            </w:pPr>
            <w:r>
              <w:rPr>
                <w:rFonts w:ascii="Arial" w:cs="Arial" w:eastAsia="Arial" w:hAnsi="Arial"/>
                <w:sz w:val="22"/>
                <w:szCs w:val="22"/>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840"/>
          </w:cols>
          <w:pgMar w:left="320" w:top="363" w:right="7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Eli Lilly and Company Relative Value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1.</w:t>
        <w:tab/>
        <w:t>Grant of Relative Value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0000FF"/>
        </w:rPr>
        <w:t>http://myequity.lilly.com</w:t>
      </w:r>
      <w:r>
        <w:rPr>
          <w:rFonts w:ascii="Arial" w:cs="Arial" w:eastAsia="Arial" w:hAnsi="Arial"/>
          <w:sz w:val="22"/>
          <w:szCs w:val="22"/>
          <w:color w:val="auto"/>
        </w:rPr>
        <w:t>. (the "Target Number of Shares").</w:t>
      </w:r>
    </w:p>
    <w:p>
      <w:pPr>
        <w:spacing w:after="0" w:line="65"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w:t>
      </w:r>
    </w:p>
    <w:p>
      <w:pPr>
        <w:spacing w:after="0" w:line="201" w:lineRule="exact"/>
        <w:rPr>
          <w:sz w:val="20"/>
          <w:szCs w:val="20"/>
          <w:color w:val="auto"/>
        </w:rPr>
      </w:pPr>
    </w:p>
    <w:p>
      <w:pPr>
        <w:jc w:val="both"/>
        <w:ind w:left="42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22"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67" w:lineRule="exact"/>
        <w:rPr>
          <w:sz w:val="20"/>
          <w:szCs w:val="20"/>
          <w:color w:val="auto"/>
        </w:rPr>
      </w:pPr>
    </w:p>
    <w:p>
      <w:pPr>
        <w:jc w:val="both"/>
        <w:ind w:left="1300" w:right="640" w:hanging="644"/>
        <w:spacing w:after="0" w:line="215" w:lineRule="auto"/>
        <w:tabs>
          <w:tab w:leader="none" w:pos="129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Payout Multiple</w:t>
      </w:r>
      <w:r>
        <w:rPr>
          <w:rFonts w:ascii="Arial" w:cs="Arial" w:eastAsia="Arial" w:hAnsi="Arial"/>
          <w:sz w:val="22"/>
          <w:szCs w:val="22"/>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65" w:lineRule="exact"/>
        <w:rPr>
          <w:rFonts w:ascii="Arial" w:cs="Arial" w:eastAsia="Arial" w:hAnsi="Arial"/>
          <w:sz w:val="22"/>
          <w:szCs w:val="22"/>
          <w:color w:val="auto"/>
        </w:rPr>
      </w:pPr>
    </w:p>
    <w:p>
      <w:pPr>
        <w:jc w:val="both"/>
        <w:ind w:left="1300" w:right="640" w:hanging="644"/>
        <w:spacing w:after="0" w:line="218" w:lineRule="auto"/>
        <w:tabs>
          <w:tab w:leader="none" w:pos="129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66" w:lineRule="exact"/>
        <w:rPr>
          <w:rFonts w:ascii="Arial" w:cs="Arial" w:eastAsia="Arial" w:hAnsi="Arial"/>
          <w:sz w:val="22"/>
          <w:szCs w:val="22"/>
          <w:color w:val="auto"/>
        </w:rPr>
      </w:pPr>
    </w:p>
    <w:p>
      <w:pPr>
        <w:jc w:val="both"/>
        <w:ind w:left="1300" w:right="640" w:hanging="644"/>
        <w:spacing w:after="0" w:line="225" w:lineRule="auto"/>
        <w:tabs>
          <w:tab w:leader="none" w:pos="1292" w:val="left"/>
        </w:tabs>
        <w:numPr>
          <w:ilvl w:val="0"/>
          <w:numId w:val="2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Shareholder Return</w:t>
      </w:r>
      <w:r>
        <w:rPr>
          <w:rFonts w:ascii="Arial" w:cs="Arial" w:eastAsia="Arial" w:hAnsi="Arial"/>
          <w:sz w:val="21"/>
          <w:szCs w:val="21"/>
          <w:color w:val="auto"/>
        </w:rPr>
        <w:t>” or “</w:t>
      </w:r>
      <w:r>
        <w:rPr>
          <w:rFonts w:ascii="Arial" w:cs="Arial" w:eastAsia="Arial" w:hAnsi="Arial"/>
          <w:sz w:val="21"/>
          <w:szCs w:val="21"/>
          <w:u w:val="single" w:color="auto"/>
          <w:color w:val="auto"/>
        </w:rPr>
        <w:t>TSR</w:t>
      </w:r>
      <w:r>
        <w:rPr>
          <w:rFonts w:ascii="Arial" w:cs="Arial" w:eastAsia="Arial" w:hAnsi="Arial"/>
          <w:sz w:val="21"/>
          <w:szCs w:val="21"/>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66" w:lineRule="exact"/>
        <w:rPr>
          <w:rFonts w:ascii="Arial" w:cs="Arial" w:eastAsia="Arial" w:hAnsi="Arial"/>
          <w:sz w:val="21"/>
          <w:szCs w:val="21"/>
          <w:color w:val="auto"/>
        </w:rPr>
      </w:pPr>
    </w:p>
    <w:p>
      <w:pPr>
        <w:jc w:val="both"/>
        <w:ind w:left="1300" w:right="1300"/>
        <w:spacing w:after="0" w:line="215" w:lineRule="auto"/>
        <w:rPr>
          <w:rFonts w:ascii="Arial" w:cs="Arial" w:eastAsia="Arial" w:hAnsi="Arial"/>
          <w:sz w:val="21"/>
          <w:szCs w:val="21"/>
          <w:color w:val="auto"/>
        </w:rPr>
      </w:pPr>
      <w:r>
        <w:rPr>
          <w:rFonts w:ascii="Arial" w:cs="Arial" w:eastAsia="Arial" w:hAnsi="Arial"/>
          <w:sz w:val="22"/>
          <w:szCs w:val="22"/>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65" w:lineRule="exact"/>
        <w:rPr>
          <w:rFonts w:ascii="Arial" w:cs="Arial" w:eastAsia="Arial" w:hAnsi="Arial"/>
          <w:sz w:val="21"/>
          <w:szCs w:val="21"/>
          <w:color w:val="auto"/>
        </w:rPr>
      </w:pPr>
    </w:p>
    <w:p>
      <w:pPr>
        <w:jc w:val="both"/>
        <w:ind w:left="1300" w:right="1300" w:hanging="644"/>
        <w:spacing w:after="0" w:line="215" w:lineRule="auto"/>
        <w:tabs>
          <w:tab w:leader="none" w:pos="129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Relative 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rTSR</w:t>
      </w:r>
      <w:r>
        <w:rPr>
          <w:rFonts w:ascii="Arial" w:cs="Arial" w:eastAsia="Arial" w:hAnsi="Arial"/>
          <w:sz w:val="22"/>
          <w:szCs w:val="22"/>
          <w:color w:val="auto"/>
        </w:rPr>
        <w:t>” shall mean the comparison between Lilly’s TSR and the TSR of the Peer Group over the Performance Period, measured as the absolute percentage point difference in the performance of the Company’s TSR compared to the Peer Group’s median TSR.</w:t>
      </w:r>
    </w:p>
    <w:p>
      <w:pPr>
        <w:spacing w:after="0" w:line="65" w:lineRule="exact"/>
        <w:rPr>
          <w:rFonts w:ascii="Arial" w:cs="Arial" w:eastAsia="Arial" w:hAnsi="Arial"/>
          <w:sz w:val="22"/>
          <w:szCs w:val="22"/>
          <w:color w:val="auto"/>
        </w:rPr>
      </w:pPr>
    </w:p>
    <w:p>
      <w:pPr>
        <w:jc w:val="both"/>
        <w:ind w:left="1300" w:right="1300" w:hanging="644"/>
        <w:spacing w:after="0" w:line="215" w:lineRule="auto"/>
        <w:tabs>
          <w:tab w:leader="none" w:pos="129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Common Stock on the New York Stock Exchange or a share of each Peer Group company’s stock, as applicable, for each trading day in the two month period immediately preceding the Performance Period, rounded to the nearest cent.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w:t>
      </w:r>
    </w:p>
    <w:p>
      <w:pPr>
        <w:sectPr>
          <w:pgSz w:w="11900" w:h="16838" w:orient="portrait"/>
          <w:cols w:equalWidth="0" w:num="1">
            <w:col w:w="11240"/>
          </w:cols>
          <w:pgMar w:left="320" w:top="363" w:right="3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right="1300" w:hanging="644"/>
        <w:spacing w:after="0" w:line="215" w:lineRule="auto"/>
        <w:tabs>
          <w:tab w:leader="none" w:pos="1299"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Peer Stock Price</w:t>
      </w:r>
      <w:r>
        <w:rPr>
          <w:rFonts w:ascii="Arial" w:cs="Arial" w:eastAsia="Arial" w:hAnsi="Arial"/>
          <w:sz w:val="22"/>
          <w:szCs w:val="22"/>
          <w:color w:val="auto"/>
        </w:rPr>
        <w:t>” shall mean the average of the closing price of a share of each Peer Group company’s stock, on Nasdaq, the New York Stock Exchange, or other market where an independent share price can be determined, for each trading day in the last two months of the Performance Period, rounded to the nearest cent.</w:t>
      </w:r>
    </w:p>
    <w:p>
      <w:pPr>
        <w:spacing w:after="0" w:line="65" w:lineRule="exact"/>
        <w:rPr>
          <w:rFonts w:ascii="Arial" w:cs="Arial" w:eastAsia="Arial" w:hAnsi="Arial"/>
          <w:sz w:val="22"/>
          <w:szCs w:val="22"/>
          <w:color w:val="auto"/>
        </w:rPr>
      </w:pPr>
    </w:p>
    <w:p>
      <w:pPr>
        <w:ind w:left="1300" w:right="1300" w:hanging="644"/>
        <w:spacing w:after="0" w:line="225" w:lineRule="auto"/>
        <w:tabs>
          <w:tab w:leader="none" w:pos="1291"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Performance Period.</w:t>
      </w:r>
    </w:p>
    <w:p>
      <w:pPr>
        <w:spacing w:after="0" w:line="65" w:lineRule="exact"/>
        <w:rPr>
          <w:rFonts w:ascii="Arial" w:cs="Arial" w:eastAsia="Arial" w:hAnsi="Arial"/>
          <w:sz w:val="22"/>
          <w:szCs w:val="22"/>
          <w:color w:val="auto"/>
        </w:rPr>
      </w:pPr>
    </w:p>
    <w:p>
      <w:pPr>
        <w:jc w:val="both"/>
        <w:ind w:left="1300" w:right="1300" w:hanging="644"/>
        <w:spacing w:after="0" w:line="213" w:lineRule="auto"/>
        <w:tabs>
          <w:tab w:leader="none" w:pos="1291"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65" w:lineRule="exact"/>
        <w:rPr>
          <w:sz w:val="20"/>
          <w:szCs w:val="20"/>
          <w:color w:val="auto"/>
        </w:rPr>
      </w:pPr>
    </w:p>
    <w:p>
      <w:pPr>
        <w:jc w:val="both"/>
        <w:ind w:left="420" w:right="20"/>
        <w:spacing w:after="0" w:line="225"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76"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Death; Disability</w:t>
      </w:r>
      <w:r>
        <w:rPr>
          <w:rFonts w:ascii="Arial" w:cs="Arial" w:eastAsia="Arial" w:hAnsi="Arial"/>
          <w:sz w:val="22"/>
          <w:szCs w:val="22"/>
          <w:color w:val="auto"/>
        </w:rPr>
        <w:t>. In the event the Grantee’s Service is terminated (i) due to the Grantee’s death, or (ii) by reason of Grantee’s Disability,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spacing w:after="0" w:line="209" w:lineRule="auto"/>
        <w:rPr>
          <w:rFonts w:ascii="Arial" w:cs="Arial" w:eastAsia="Arial" w:hAnsi="Arial"/>
          <w:sz w:val="22"/>
          <w:szCs w:val="22"/>
          <w:color w:val="auto"/>
        </w:rPr>
      </w:pPr>
      <w:r>
        <w:rPr>
          <w:rFonts w:ascii="Arial" w:cs="Arial" w:eastAsia="Arial" w:hAnsi="Arial"/>
          <w:sz w:val="22"/>
          <w:szCs w:val="22"/>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9"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65" w:lineRule="exact"/>
        <w:rPr>
          <w:rFonts w:ascii="Arial" w:cs="Arial" w:eastAsia="Arial" w:hAnsi="Arial"/>
          <w:sz w:val="22"/>
          <w:szCs w:val="22"/>
          <w:color w:val="auto"/>
        </w:rPr>
      </w:pPr>
    </w:p>
    <w:p>
      <w:pPr>
        <w:ind w:left="1300" w:right="20"/>
        <w:spacing w:after="0" w:line="225" w:lineRule="auto"/>
        <w:rPr>
          <w:rFonts w:ascii="Arial" w:cs="Arial" w:eastAsia="Arial" w:hAnsi="Arial"/>
          <w:sz w:val="22"/>
          <w:szCs w:val="22"/>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65" w:lineRule="exact"/>
        <w:rPr>
          <w:rFonts w:ascii="Arial" w:cs="Arial" w:eastAsia="Arial" w:hAnsi="Arial"/>
          <w:sz w:val="22"/>
          <w:szCs w:val="22"/>
          <w:color w:val="auto"/>
        </w:rPr>
      </w:pPr>
    </w:p>
    <w:p>
      <w:pPr>
        <w:jc w:val="both"/>
        <w:ind w:left="1960" w:hanging="332"/>
        <w:spacing w:after="0" w:line="218" w:lineRule="auto"/>
        <w:tabs>
          <w:tab w:leader="none" w:pos="196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retirement as a “retiree,” which is a person who is (A) a retired employee under The Lilly Retirement Plan; (B) a retired employee under the retirement plan or program of an Affiliate; (C) a retired employee under a retirement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363" w:right="3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960"/>
        <w:spacing w:after="0" w:line="218" w:lineRule="auto"/>
        <w:rPr>
          <w:sz w:val="20"/>
          <w:szCs w:val="20"/>
          <w:color w:val="auto"/>
        </w:rPr>
      </w:pPr>
      <w:r>
        <w:rPr>
          <w:rFonts w:ascii="Arial" w:cs="Arial" w:eastAsia="Arial" w:hAnsi="Arial"/>
          <w:sz w:val="22"/>
          <w:szCs w:val="22"/>
          <w:color w:val="auto"/>
        </w:rPr>
        <w:t>program specifically approved by the Committee; (D) required to retire under local law, to the extent authorized by the Company to address such local requirements or (E) otherwise determined to be a retired employee in the sole discretion of the Company;</w:t>
      </w:r>
    </w:p>
    <w:p>
      <w:pPr>
        <w:spacing w:after="0" w:line="67" w:lineRule="exact"/>
        <w:rPr>
          <w:sz w:val="20"/>
          <w:szCs w:val="20"/>
          <w:color w:val="auto"/>
        </w:rPr>
      </w:pPr>
    </w:p>
    <w:p>
      <w:pPr>
        <w:ind w:left="1960" w:right="20" w:hanging="332"/>
        <w:spacing w:after="0" w:line="225" w:lineRule="auto"/>
        <w:tabs>
          <w:tab w:leader="none" w:pos="195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Grantee’s Service is terminated due to a plant closing or reduction in workforce (as defined below);</w:t>
      </w:r>
    </w:p>
    <w:p>
      <w:pPr>
        <w:spacing w:after="0" w:line="65" w:lineRule="exact"/>
        <w:rPr>
          <w:rFonts w:ascii="Arial" w:cs="Arial" w:eastAsia="Arial" w:hAnsi="Arial"/>
          <w:sz w:val="22"/>
          <w:szCs w:val="22"/>
          <w:color w:val="auto"/>
        </w:rPr>
      </w:pPr>
    </w:p>
    <w:p>
      <w:pPr>
        <w:jc w:val="both"/>
        <w:ind w:left="1960" w:hanging="332"/>
        <w:spacing w:after="0" w:line="218" w:lineRule="auto"/>
        <w:tabs>
          <w:tab w:leader="none" w:pos="1948"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1300" w:right="76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300" w:right="10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65" w:lineRule="exact"/>
        <w:rPr>
          <w:sz w:val="20"/>
          <w:szCs w:val="20"/>
          <w:color w:val="auto"/>
        </w:rPr>
      </w:pPr>
    </w:p>
    <w:p>
      <w:pPr>
        <w:jc w:val="both"/>
        <w:ind w:left="1300" w:hanging="644"/>
        <w:spacing w:after="0" w:line="210" w:lineRule="auto"/>
        <w:tabs>
          <w:tab w:leader="none" w:pos="1291"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5" w:lineRule="exact"/>
        <w:rPr>
          <w:sz w:val="20"/>
          <w:szCs w:val="20"/>
          <w:color w:val="auto"/>
        </w:rPr>
      </w:pPr>
    </w:p>
    <w:p>
      <w:pPr>
        <w:jc w:val="both"/>
        <w:ind w:left="420"/>
        <w:spacing w:after="0" w:line="214" w:lineRule="auto"/>
        <w:rPr>
          <w:sz w:val="20"/>
          <w:szCs w:val="20"/>
          <w:color w:val="auto"/>
        </w:rPr>
      </w:pPr>
      <w:r>
        <w:rPr>
          <w:rFonts w:ascii="Arial" w:cs="Arial" w:eastAsia="Arial" w:hAnsi="Arial"/>
          <w:sz w:val="21"/>
          <w:szCs w:val="21"/>
          <w:color w:val="auto"/>
        </w:rPr>
        <w:t>The Committee’s determination as to whether (1) a leave of absence or a transfer of employment between Lilly and an Affiliate or between Affiliates constitutes a termination of Service, (2) the Grantee’s Service has been terminated by reason of Disability, (3) the Grantee’s Service has been terminated as a result a direct result of either a plant closing or a reduction in force, (4) the Grantee’s Service has been terminated of as a result of the failure to locate a position within the Company or an Affiliate following reallocation or medical reassignment, and</w:t>
      </w:r>
    </w:p>
    <w:p>
      <w:pPr>
        <w:spacing w:after="0" w:line="3" w:lineRule="exact"/>
        <w:rPr>
          <w:sz w:val="20"/>
          <w:szCs w:val="20"/>
          <w:color w:val="auto"/>
        </w:rPr>
      </w:pPr>
    </w:p>
    <w:p>
      <w:pPr>
        <w:ind w:left="420" w:hanging="7"/>
        <w:spacing w:after="0" w:line="225" w:lineRule="auto"/>
        <w:tabs>
          <w:tab w:leader="none" w:pos="74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Grantee’s Service has been terminated by reason of retirement as a “retiree” (as defined in Section 3(c)(i)) shall be final and binding on the Grantee.</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4.</w:t>
        <w:tab/>
        <w:t>Change in Control</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jc w:val="both"/>
        <w:ind w:left="1300" w:hanging="644"/>
        <w:spacing w:after="0" w:line="218" w:lineRule="auto"/>
        <w:tabs>
          <w:tab w:leader="none" w:pos="1291"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66" w:lineRule="exact"/>
        <w:rPr>
          <w:rFonts w:ascii="Arial" w:cs="Arial" w:eastAsia="Arial" w:hAnsi="Arial"/>
          <w:sz w:val="22"/>
          <w:szCs w:val="22"/>
          <w:color w:val="auto"/>
        </w:rPr>
      </w:pPr>
    </w:p>
    <w:p>
      <w:pPr>
        <w:jc w:val="both"/>
        <w:ind w:left="1300" w:hanging="644"/>
        <w:spacing w:after="0" w:line="209" w:lineRule="auto"/>
        <w:tabs>
          <w:tab w:leader="none" w:pos="1291" w:val="left"/>
        </w:tabs>
        <w:numPr>
          <w:ilvl w:val="0"/>
          <w:numId w:val="218"/>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363" w:right="3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right="20"/>
        <w:spacing w:after="0" w:line="225" w:lineRule="auto"/>
        <w:rPr>
          <w:sz w:val="20"/>
          <w:szCs w:val="20"/>
          <w:color w:val="auto"/>
        </w:rPr>
      </w:pPr>
      <w:r>
        <w:rPr>
          <w:rFonts w:ascii="Arial" w:cs="Arial" w:eastAsia="Arial" w:hAnsi="Arial"/>
          <w:sz w:val="22"/>
          <w:szCs w:val="22"/>
          <w:color w:val="auto"/>
        </w:rPr>
        <w:t>on the last day of the Performance Period, subject to the Grantee’s continued Service through the last day of the Performance Period, except as provided below:</w:t>
      </w:r>
    </w:p>
    <w:p>
      <w:pPr>
        <w:spacing w:after="0" w:line="66" w:lineRule="exact"/>
        <w:rPr>
          <w:sz w:val="20"/>
          <w:szCs w:val="20"/>
          <w:color w:val="auto"/>
        </w:rPr>
      </w:pPr>
    </w:p>
    <w:p>
      <w:pPr>
        <w:jc w:val="both"/>
        <w:ind w:left="1960" w:hanging="332"/>
        <w:spacing w:after="0" w:line="215" w:lineRule="auto"/>
        <w:tabs>
          <w:tab w:leader="none" w:pos="19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54" w:val="left"/>
        </w:tabs>
        <w:numPr>
          <w:ilvl w:val="0"/>
          <w:numId w:val="219"/>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65"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79" w:lineRule="exact"/>
        <w:rPr>
          <w:sz w:val="20"/>
          <w:szCs w:val="20"/>
          <w:color w:val="auto"/>
        </w:rPr>
      </w:pPr>
    </w:p>
    <w:p>
      <w:pPr>
        <w:jc w:val="both"/>
        <w:ind w:left="1300" w:hanging="644"/>
        <w:spacing w:after="0" w:line="212" w:lineRule="auto"/>
        <w:tabs>
          <w:tab w:leader="none" w:pos="1293" w:val="left"/>
        </w:tabs>
        <w:numPr>
          <w:ilvl w:val="0"/>
          <w:numId w:val="220"/>
        </w:numPr>
        <w:rPr>
          <w:rFonts w:ascii="Arial" w:cs="Arial" w:eastAsia="Arial" w:hAnsi="Arial"/>
          <w:sz w:val="23"/>
          <w:szCs w:val="23"/>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5.</w:t>
        <w:tab/>
        <w:t>Settlement</w:t>
      </w:r>
    </w:p>
    <w:p>
      <w:pPr>
        <w:spacing w:after="0" w:line="76" w:lineRule="exact"/>
        <w:rPr>
          <w:sz w:val="20"/>
          <w:szCs w:val="20"/>
          <w:color w:val="auto"/>
        </w:rPr>
      </w:pPr>
    </w:p>
    <w:p>
      <w:pPr>
        <w:ind w:left="1300" w:hanging="644"/>
        <w:spacing w:after="0" w:line="225" w:lineRule="auto"/>
        <w:tabs>
          <w:tab w:leader="none" w:pos="1291" w:val="left"/>
        </w:tabs>
        <w:numPr>
          <w:ilvl w:val="0"/>
          <w:numId w:val="221"/>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65" w:lineRule="exact"/>
        <w:rPr>
          <w:rFonts w:ascii="Arial" w:cs="Arial" w:eastAsia="Arial" w:hAnsi="Arial"/>
          <w:sz w:val="22"/>
          <w:szCs w:val="22"/>
          <w:color w:val="auto"/>
        </w:rPr>
      </w:pPr>
    </w:p>
    <w:p>
      <w:pPr>
        <w:jc w:val="both"/>
        <w:ind w:left="1300" w:hanging="644"/>
        <w:spacing w:after="0" w:line="208" w:lineRule="auto"/>
        <w:tabs>
          <w:tab w:leader="none" w:pos="1291" w:val="left"/>
        </w:tabs>
        <w:numPr>
          <w:ilvl w:val="0"/>
          <w:numId w:val="221"/>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72" w:lineRule="exact"/>
        <w:rPr>
          <w:rFonts w:ascii="Arial" w:cs="Arial" w:eastAsia="Arial" w:hAnsi="Arial"/>
          <w:sz w:val="22"/>
          <w:szCs w:val="22"/>
          <w:color w:val="auto"/>
        </w:rPr>
      </w:pPr>
    </w:p>
    <w:p>
      <w:pPr>
        <w:jc w:val="both"/>
        <w:ind w:left="1300" w:hanging="644"/>
        <w:spacing w:after="0" w:line="204" w:lineRule="auto"/>
        <w:tabs>
          <w:tab w:leader="none" w:pos="1292" w:val="left"/>
        </w:tabs>
        <w:numPr>
          <w:ilvl w:val="0"/>
          <w:numId w:val="221"/>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w:t>
      </w:r>
    </w:p>
    <w:p>
      <w:pPr>
        <w:spacing w:after="0" w:line="3" w:lineRule="exact"/>
        <w:rPr>
          <w:rFonts w:ascii="Arial" w:cs="Arial" w:eastAsia="Arial" w:hAnsi="Arial"/>
          <w:sz w:val="22"/>
          <w:szCs w:val="22"/>
          <w:color w:val="auto"/>
        </w:rPr>
      </w:pPr>
    </w:p>
    <w:p>
      <w:pPr>
        <w:ind w:left="1300" w:firstLine="4"/>
        <w:spacing w:after="0" w:line="225" w:lineRule="auto"/>
        <w:tabs>
          <w:tab w:leader="none" w:pos="1619" w:val="left"/>
        </w:tabs>
        <w:numPr>
          <w:ilvl w:val="1"/>
          <w:numId w:val="221"/>
        </w:numPr>
        <w:rPr>
          <w:rFonts w:ascii="Arial" w:cs="Arial" w:eastAsia="Arial" w:hAnsi="Arial"/>
          <w:sz w:val="22"/>
          <w:szCs w:val="22"/>
          <w:color w:val="auto"/>
        </w:rPr>
      </w:pPr>
      <w:r>
        <w:rPr>
          <w:rFonts w:ascii="Arial" w:cs="Arial" w:eastAsia="Arial" w:hAnsi="Arial"/>
          <w:sz w:val="22"/>
          <w:szCs w:val="22"/>
          <w:color w:val="auto"/>
        </w:rPr>
        <w:t>if the Grantee is a “specified employee” within the meaning of Section 409A of the Code as of the payment date, the Award shall instead be paid on the earliest of (1) the first day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363" w:right="3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following the six (6) month anniversary of the Grantee’s Section 409A Separation and (2) the date of the Grantee’s death.</w:t>
      </w:r>
    </w:p>
    <w:p>
      <w:pPr>
        <w:spacing w:after="0" w:line="66" w:lineRule="exact"/>
        <w:rPr>
          <w:sz w:val="20"/>
          <w:szCs w:val="20"/>
          <w:color w:val="auto"/>
        </w:rPr>
      </w:pPr>
    </w:p>
    <w:p>
      <w:pPr>
        <w:jc w:val="both"/>
        <w:ind w:left="1300" w:hanging="644"/>
        <w:spacing w:after="0" w:line="229" w:lineRule="auto"/>
        <w:tabs>
          <w:tab w:leader="none" w:pos="1291" w:val="left"/>
        </w:tabs>
        <w:numPr>
          <w:ilvl w:val="0"/>
          <w:numId w:val="222"/>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64" w:lineRule="exact"/>
        <w:rPr>
          <w:rFonts w:ascii="Arial" w:cs="Arial" w:eastAsia="Arial" w:hAnsi="Arial"/>
          <w:sz w:val="21"/>
          <w:szCs w:val="21"/>
          <w:color w:val="auto"/>
        </w:rPr>
      </w:pPr>
    </w:p>
    <w:p>
      <w:pPr>
        <w:jc w:val="both"/>
        <w:ind w:left="1300" w:hanging="644"/>
        <w:spacing w:after="0" w:line="223" w:lineRule="auto"/>
        <w:tabs>
          <w:tab w:leader="none" w:pos="1291" w:val="left"/>
        </w:tabs>
        <w:numPr>
          <w:ilvl w:val="0"/>
          <w:numId w:val="222"/>
        </w:numPr>
        <w:rPr>
          <w:rFonts w:ascii="Arial" w:cs="Arial" w:eastAsia="Arial" w:hAnsi="Arial"/>
          <w:sz w:val="21"/>
          <w:szCs w:val="21"/>
          <w:color w:val="auto"/>
        </w:rPr>
      </w:pPr>
      <w:r>
        <w:rPr>
          <w:rFonts w:ascii="Arial" w:cs="Arial" w:eastAsia="Arial" w:hAnsi="Arial"/>
          <w:sz w:val="21"/>
          <w:szCs w:val="21"/>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21"/>
          <w:szCs w:val="21"/>
          <w:color w:val="auto"/>
        </w:rPr>
      </w:pPr>
    </w:p>
    <w:p>
      <w:pPr>
        <w:ind w:left="1300" w:right="20" w:hanging="644"/>
        <w:spacing w:after="0" w:line="225" w:lineRule="auto"/>
        <w:tabs>
          <w:tab w:leader="none" w:pos="1299" w:val="left"/>
        </w:tabs>
        <w:numPr>
          <w:ilvl w:val="0"/>
          <w:numId w:val="222"/>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6.</w:t>
        <w:tab/>
        <w:t>Rights of the Grantee</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Relative Value Award does not entitle the Grantee to any rights of a shareholder of Lilly until such time as the Relative Value Award is settled and Shares are issued or transferred to the Grantee.</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23"/>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7.</w:t>
        <w:tab/>
        <w:t>Prohibition Against Transfer</w:t>
      </w:r>
    </w:p>
    <w:p>
      <w:pPr>
        <w:spacing w:after="0" w:line="76"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8.</w:t>
        <w:tab/>
        <w:t>Responsibility for Taxes</w:t>
      </w:r>
    </w:p>
    <w:p>
      <w:pPr>
        <w:spacing w:after="0" w:line="76" w:lineRule="exact"/>
        <w:rPr>
          <w:sz w:val="20"/>
          <w:szCs w:val="20"/>
          <w:color w:val="auto"/>
        </w:rPr>
      </w:pPr>
    </w:p>
    <w:p>
      <w:pPr>
        <w:jc w:val="both"/>
        <w:ind w:left="1300" w:hanging="644"/>
        <w:spacing w:after="0" w:line="214" w:lineRule="auto"/>
        <w:tabs>
          <w:tab w:leader="none" w:pos="1291" w:val="left"/>
        </w:tabs>
        <w:numPr>
          <w:ilvl w:val="0"/>
          <w:numId w:val="224"/>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4" w:lineRule="exact"/>
        <w:rPr>
          <w:rFonts w:ascii="Arial" w:cs="Arial" w:eastAsia="Arial" w:hAnsi="Arial"/>
          <w:sz w:val="21"/>
          <w:szCs w:val="21"/>
          <w:color w:val="auto"/>
        </w:rPr>
      </w:pPr>
    </w:p>
    <w:p>
      <w:pPr>
        <w:jc w:val="both"/>
        <w:ind w:left="1300" w:firstLine="4"/>
        <w:spacing w:after="0" w:line="221" w:lineRule="auto"/>
        <w:tabs>
          <w:tab w:leader="none" w:pos="1608" w:val="left"/>
        </w:tabs>
        <w:numPr>
          <w:ilvl w:val="1"/>
          <w:numId w:val="224"/>
        </w:numPr>
        <w:rPr>
          <w:rFonts w:ascii="Arial" w:cs="Arial" w:eastAsia="Arial" w:hAnsi="Arial"/>
          <w:sz w:val="21"/>
          <w:szCs w:val="21"/>
          <w:color w:val="auto"/>
        </w:rPr>
      </w:pPr>
      <w:r>
        <w:rPr>
          <w:rFonts w:ascii="Arial" w:cs="Arial" w:eastAsia="Arial" w:hAnsi="Arial"/>
          <w:sz w:val="21"/>
          <w:szCs w:val="21"/>
          <w:color w:val="auto"/>
        </w:rPr>
        <w:t>make no representations or undertakings regarding the treatment of any Tax Related Items in connection with any aspect of the Award, including the grant of the Relative Value Award, the vesting of the Relative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363" w:right="3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6" w:lineRule="exact"/>
        <w:rPr>
          <w:sz w:val="20"/>
          <w:szCs w:val="20"/>
          <w:color w:val="auto"/>
        </w:rPr>
      </w:pPr>
    </w:p>
    <w:p>
      <w:pPr>
        <w:ind w:left="1300" w:right="20" w:hanging="644"/>
        <w:spacing w:after="0" w:line="225" w:lineRule="auto"/>
        <w:tabs>
          <w:tab w:leader="none" w:pos="129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rFonts w:ascii="Arial" w:cs="Arial" w:eastAsia="Arial" w:hAnsi="Arial"/>
          <w:sz w:val="22"/>
          <w:szCs w:val="22"/>
          <w:color w:val="auto"/>
        </w:rPr>
      </w:pPr>
    </w:p>
    <w:p>
      <w:pPr>
        <w:jc w:val="both"/>
        <w:ind w:left="1960" w:hanging="332"/>
        <w:spacing w:after="0" w:line="214" w:lineRule="auto"/>
        <w:tabs>
          <w:tab w:leader="none" w:pos="1954" w:val="left"/>
        </w:tabs>
        <w:numPr>
          <w:ilvl w:val="1"/>
          <w:numId w:val="225"/>
        </w:numPr>
        <w:rPr>
          <w:rFonts w:ascii="Arial" w:cs="Arial" w:eastAsia="Arial" w:hAnsi="Arial"/>
          <w:sz w:val="21"/>
          <w:szCs w:val="21"/>
          <w:color w:val="auto"/>
        </w:rPr>
      </w:pPr>
      <w:r>
        <w:rPr>
          <w:rFonts w:ascii="Arial" w:cs="Arial" w:eastAsia="Arial" w:hAnsi="Arial"/>
          <w:sz w:val="21"/>
          <w:szCs w:val="21"/>
          <w:color w:val="auto"/>
        </w:rPr>
        <w:t>If the Relative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w:t>
      </w:r>
    </w:p>
    <w:p>
      <w:pPr>
        <w:spacing w:after="0" w:line="2" w:lineRule="exact"/>
        <w:rPr>
          <w:rFonts w:ascii="Arial" w:cs="Arial" w:eastAsia="Arial" w:hAnsi="Arial"/>
          <w:sz w:val="21"/>
          <w:szCs w:val="21"/>
          <w:color w:val="auto"/>
        </w:rPr>
      </w:pPr>
    </w:p>
    <w:p>
      <w:pPr>
        <w:jc w:val="both"/>
        <w:ind w:left="1960"/>
        <w:spacing w:after="0" w:line="210" w:lineRule="auto"/>
        <w:rPr>
          <w:rFonts w:ascii="Arial" w:cs="Arial" w:eastAsia="Arial" w:hAnsi="Arial"/>
          <w:sz w:val="21"/>
          <w:szCs w:val="21"/>
          <w:color w:val="auto"/>
        </w:rPr>
      </w:pPr>
      <w:r>
        <w:rPr>
          <w:rFonts w:ascii="Arial" w:cs="Arial" w:eastAsia="Arial" w:hAnsi="Arial"/>
          <w:sz w:val="22"/>
          <w:szCs w:val="22"/>
          <w:color w:val="auto"/>
        </w:rPr>
        <w:t>(B)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0" w:lineRule="exact"/>
        <w:rPr>
          <w:rFonts w:ascii="Arial" w:cs="Arial" w:eastAsia="Arial" w:hAnsi="Arial"/>
          <w:sz w:val="21"/>
          <w:szCs w:val="21"/>
          <w:color w:val="auto"/>
        </w:rPr>
      </w:pPr>
    </w:p>
    <w:p>
      <w:pPr>
        <w:jc w:val="both"/>
        <w:ind w:left="1960" w:hanging="332"/>
        <w:spacing w:after="0" w:line="211" w:lineRule="auto"/>
        <w:tabs>
          <w:tab w:leader="none" w:pos="1948" w:val="left"/>
        </w:tabs>
        <w:numPr>
          <w:ilvl w:val="1"/>
          <w:numId w:val="225"/>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9" w:lineRule="exact"/>
        <w:rPr>
          <w:rFonts w:ascii="Arial" w:cs="Arial" w:eastAsia="Arial" w:hAnsi="Arial"/>
          <w:sz w:val="22"/>
          <w:szCs w:val="22"/>
          <w:color w:val="auto"/>
        </w:rPr>
      </w:pPr>
    </w:p>
    <w:p>
      <w:pPr>
        <w:jc w:val="both"/>
        <w:ind w:left="1300" w:hanging="644"/>
        <w:spacing w:after="0" w:line="210" w:lineRule="auto"/>
        <w:tabs>
          <w:tab w:leader="none" w:pos="129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5"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363" w:right="3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9.</w:t>
        <w:tab/>
        <w:t>Section 409A Compliance</w:t>
      </w:r>
    </w:p>
    <w:p>
      <w:pPr>
        <w:spacing w:after="0" w:line="22"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10. Grantee’s Acknowledgment</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14" w:lineRule="exact"/>
        <w:rPr>
          <w:sz w:val="20"/>
          <w:szCs w:val="20"/>
          <w:color w:val="auto"/>
        </w:rPr>
      </w:pPr>
    </w:p>
    <w:p>
      <w:pPr>
        <w:ind w:left="1300" w:hanging="644"/>
        <w:spacing w:after="0" w:line="225" w:lineRule="auto"/>
        <w:tabs>
          <w:tab w:leader="none" w:pos="1291"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300" w:hanging="644"/>
        <w:spacing w:after="0"/>
        <w:tabs>
          <w:tab w:leader="none" w:pos="13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26"/>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66" w:lineRule="exact"/>
        <w:rPr>
          <w:rFonts w:ascii="Arial" w:cs="Arial" w:eastAsia="Arial" w:hAnsi="Arial"/>
          <w:sz w:val="22"/>
          <w:szCs w:val="22"/>
          <w:color w:val="auto"/>
        </w:rPr>
      </w:pPr>
    </w:p>
    <w:p>
      <w:pPr>
        <w:jc w:val="both"/>
        <w:ind w:left="1300" w:hanging="644"/>
        <w:spacing w:after="0" w:line="225" w:lineRule="auto"/>
        <w:tabs>
          <w:tab w:leader="none" w:pos="1291" w:val="left"/>
        </w:tabs>
        <w:numPr>
          <w:ilvl w:val="0"/>
          <w:numId w:val="226"/>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6" w:lineRule="exact"/>
        <w:rPr>
          <w:rFonts w:ascii="Arial" w:cs="Arial" w:eastAsia="Arial" w:hAnsi="Arial"/>
          <w:sz w:val="21"/>
          <w:szCs w:val="21"/>
          <w:color w:val="auto"/>
        </w:rPr>
      </w:pPr>
    </w:p>
    <w:p>
      <w:pPr>
        <w:ind w:left="1300" w:hanging="644"/>
        <w:spacing w:after="0" w:line="225" w:lineRule="auto"/>
        <w:tabs>
          <w:tab w:leader="none" w:pos="13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5" w:lineRule="exact"/>
        <w:rPr>
          <w:rFonts w:ascii="Arial" w:cs="Arial" w:eastAsia="Arial" w:hAnsi="Arial"/>
          <w:sz w:val="22"/>
          <w:szCs w:val="22"/>
          <w:color w:val="auto"/>
        </w:rPr>
      </w:pPr>
    </w:p>
    <w:p>
      <w:pPr>
        <w:jc w:val="both"/>
        <w:ind w:left="1300" w:hanging="644"/>
        <w:spacing w:after="0" w:line="211" w:lineRule="auto"/>
        <w:tabs>
          <w:tab w:leader="none" w:pos="1292" w:val="left"/>
        </w:tabs>
        <w:numPr>
          <w:ilvl w:val="0"/>
          <w:numId w:val="226"/>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w:t>
      </w:r>
    </w:p>
    <w:p>
      <w:pPr>
        <w:sectPr>
          <w:pgSz w:w="11900" w:h="16838" w:orient="portrait"/>
          <w:cols w:equalWidth="0" w:num="1">
            <w:col w:w="11240"/>
          </w:cols>
          <w:pgMar w:left="320" w:top="363" w:right="339" w:bottom="1440" w:gutter="0" w:footer="0" w:header="0"/>
          <w:type w:val="continuous"/>
        </w:sectPr>
      </w:pPr>
    </w:p>
    <w:bookmarkStart w:id="243" w:name="page244"/>
    <w:bookmarkEnd w:id="243"/>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1" w:lineRule="exact"/>
        <w:rPr>
          <w:sz w:val="20"/>
          <w:szCs w:val="20"/>
          <w:color w:val="auto"/>
        </w:rPr>
      </w:pPr>
    </w:p>
    <w:p>
      <w:pPr>
        <w:jc w:val="both"/>
        <w:ind w:left="1300" w:hanging="644"/>
        <w:spacing w:after="0" w:line="215" w:lineRule="auto"/>
        <w:tabs>
          <w:tab w:leader="none" w:pos="13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5" w:lineRule="exact"/>
        <w:rPr>
          <w:rFonts w:ascii="Arial" w:cs="Arial" w:eastAsia="Arial" w:hAnsi="Arial"/>
          <w:sz w:val="22"/>
          <w:szCs w:val="22"/>
          <w:color w:val="auto"/>
        </w:rPr>
      </w:pPr>
    </w:p>
    <w:p>
      <w:pPr>
        <w:ind w:left="1300" w:hanging="644"/>
        <w:spacing w:after="0" w:line="225" w:lineRule="auto"/>
        <w:tabs>
          <w:tab w:leader="none" w:pos="1297"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11. Data Privacy</w:t>
      </w:r>
    </w:p>
    <w:p>
      <w:pPr>
        <w:spacing w:after="0" w:line="54" w:lineRule="exact"/>
        <w:rPr>
          <w:sz w:val="20"/>
          <w:szCs w:val="20"/>
          <w:color w:val="auto"/>
        </w:rPr>
      </w:pPr>
    </w:p>
    <w:p>
      <w:pPr>
        <w:jc w:val="both"/>
        <w:ind w:left="1300" w:hanging="644"/>
        <w:spacing w:after="0" w:line="210" w:lineRule="auto"/>
        <w:tabs>
          <w:tab w:leader="none" w:pos="1291" w:val="left"/>
        </w:tabs>
        <w:numPr>
          <w:ilvl w:val="0"/>
          <w:numId w:val="22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3" w:lineRule="exact"/>
        <w:rPr>
          <w:rFonts w:ascii="Arial" w:cs="Arial" w:eastAsia="Arial" w:hAnsi="Arial"/>
          <w:sz w:val="22"/>
          <w:szCs w:val="22"/>
          <w:i w:val="1"/>
          <w:iCs w:val="1"/>
          <w:color w:val="auto"/>
        </w:rPr>
      </w:pPr>
    </w:p>
    <w:p>
      <w:pPr>
        <w:jc w:val="both"/>
        <w:ind w:left="1300" w:hanging="644"/>
        <w:spacing w:after="0" w:line="211" w:lineRule="auto"/>
        <w:tabs>
          <w:tab w:leader="none" w:pos="1291" w:val="left"/>
        </w:tabs>
        <w:numPr>
          <w:ilvl w:val="0"/>
          <w:numId w:val="22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363" w:right="3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hanging="644"/>
        <w:spacing w:after="0" w:line="236" w:lineRule="auto"/>
        <w:tabs>
          <w:tab w:leader="none" w:pos="1292" w:val="left"/>
        </w:tabs>
        <w:numPr>
          <w:ilvl w:val="0"/>
          <w:numId w:val="229"/>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3" w:lineRule="exact"/>
        <w:rPr>
          <w:rFonts w:ascii="Arial" w:cs="Arial" w:eastAsia="Arial" w:hAnsi="Arial"/>
          <w:sz w:val="21"/>
          <w:szCs w:val="21"/>
          <w:i w:val="1"/>
          <w:iCs w:val="1"/>
          <w:color w:val="auto"/>
        </w:rPr>
      </w:pPr>
    </w:p>
    <w:p>
      <w:pPr>
        <w:jc w:val="both"/>
        <w:ind w:left="1300" w:hanging="644"/>
        <w:spacing w:after="0" w:line="225" w:lineRule="auto"/>
        <w:tabs>
          <w:tab w:leader="none" w:pos="1291" w:val="left"/>
        </w:tabs>
        <w:numPr>
          <w:ilvl w:val="0"/>
          <w:numId w:val="22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4"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22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jc w:val="both"/>
        <w:ind w:left="1300" w:hanging="644"/>
        <w:spacing w:after="0" w:line="208" w:lineRule="auto"/>
        <w:tabs>
          <w:tab w:leader="none" w:pos="1299" w:val="left"/>
        </w:tabs>
        <w:numPr>
          <w:ilvl w:val="0"/>
          <w:numId w:val="22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229"/>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12. Additional Terms and Conditions</w:t>
      </w:r>
    </w:p>
    <w:p>
      <w:pPr>
        <w:spacing w:after="0" w:line="76" w:lineRule="exact"/>
        <w:rPr>
          <w:sz w:val="20"/>
          <w:szCs w:val="20"/>
          <w:color w:val="auto"/>
        </w:rPr>
      </w:pPr>
    </w:p>
    <w:p>
      <w:pPr>
        <w:jc w:val="both"/>
        <w:ind w:left="1300" w:hanging="644"/>
        <w:spacing w:after="0" w:line="211" w:lineRule="auto"/>
        <w:tabs>
          <w:tab w:leader="none" w:pos="1291"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363" w:right="3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hanging="644"/>
        <w:spacing w:after="0" w:line="208" w:lineRule="auto"/>
        <w:tabs>
          <w:tab w:leader="none" w:pos="1291"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Relative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72" w:lineRule="exact"/>
        <w:rPr>
          <w:rFonts w:ascii="Arial" w:cs="Arial" w:eastAsia="Arial" w:hAnsi="Arial"/>
          <w:sz w:val="22"/>
          <w:szCs w:val="22"/>
          <w:color w:val="auto"/>
        </w:rPr>
      </w:pPr>
    </w:p>
    <w:p>
      <w:pPr>
        <w:jc w:val="both"/>
        <w:ind w:left="1300" w:hanging="644"/>
        <w:spacing w:after="0" w:line="210" w:lineRule="auto"/>
        <w:tabs>
          <w:tab w:leader="none" w:pos="1292"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13. Governing Law and Choice of Venue</w:t>
      </w:r>
    </w:p>
    <w:p>
      <w:pPr>
        <w:spacing w:after="0" w:line="76" w:lineRule="exact"/>
        <w:rPr>
          <w:sz w:val="20"/>
          <w:szCs w:val="20"/>
          <w:color w:val="auto"/>
        </w:rPr>
      </w:pPr>
    </w:p>
    <w:p>
      <w:pPr>
        <w:jc w:val="both"/>
        <w:ind w:left="40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14. Miscellaneous Provisions</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71" w:lineRule="exact"/>
        <w:rPr>
          <w:rFonts w:ascii="Arial" w:cs="Arial" w:eastAsia="Arial" w:hAnsi="Arial"/>
          <w:sz w:val="21"/>
          <w:szCs w:val="21"/>
          <w:color w:val="auto"/>
        </w:rPr>
      </w:pPr>
    </w:p>
    <w:p>
      <w:pPr>
        <w:ind w:left="1300" w:hanging="644"/>
        <w:spacing w:after="0" w:line="225" w:lineRule="auto"/>
        <w:tabs>
          <w:tab w:leader="none" w:pos="1291"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363" w:right="3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79" w:lineRule="exact"/>
        <w:rPr>
          <w:sz w:val="20"/>
          <w:szCs w:val="20"/>
          <w:color w:val="auto"/>
        </w:rPr>
      </w:pPr>
    </w:p>
    <w:p>
      <w:pPr>
        <w:jc w:val="both"/>
        <w:ind w:left="1300" w:hanging="644"/>
        <w:spacing w:after="0" w:line="218" w:lineRule="auto"/>
        <w:tabs>
          <w:tab w:leader="none" w:pos="1292"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80" w:lineRule="exact"/>
        <w:rPr>
          <w:rFonts w:ascii="Arial" w:cs="Arial" w:eastAsia="Arial" w:hAnsi="Arial"/>
          <w:sz w:val="22"/>
          <w:szCs w:val="22"/>
          <w:color w:val="auto"/>
        </w:rPr>
      </w:pPr>
    </w:p>
    <w:p>
      <w:pPr>
        <w:jc w:val="both"/>
        <w:ind w:left="1300" w:hanging="644"/>
        <w:spacing w:after="0" w:line="209" w:lineRule="auto"/>
        <w:tabs>
          <w:tab w:leader="none" w:pos="1292" w:val="left"/>
        </w:tabs>
        <w:numPr>
          <w:ilvl w:val="0"/>
          <w:numId w:val="233"/>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7" w:lineRule="exact"/>
        <w:rPr>
          <w:rFonts w:ascii="Arial" w:cs="Arial" w:eastAsia="Arial" w:hAnsi="Arial"/>
          <w:sz w:val="23"/>
          <w:szCs w:val="23"/>
          <w:color w:val="auto"/>
        </w:rPr>
      </w:pPr>
    </w:p>
    <w:p>
      <w:pPr>
        <w:ind w:left="1300"/>
        <w:spacing w:after="0" w:line="225" w:lineRule="auto"/>
        <w:rPr>
          <w:rFonts w:ascii="Arial" w:cs="Arial" w:eastAsia="Arial" w:hAnsi="Arial"/>
          <w:sz w:val="23"/>
          <w:szCs w:val="23"/>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79" w:lineRule="exact"/>
        <w:rPr>
          <w:rFonts w:ascii="Arial" w:cs="Arial" w:eastAsia="Arial" w:hAnsi="Arial"/>
          <w:sz w:val="23"/>
          <w:szCs w:val="23"/>
          <w:color w:val="auto"/>
        </w:rPr>
      </w:pPr>
    </w:p>
    <w:p>
      <w:pPr>
        <w:jc w:val="both"/>
        <w:ind w:left="1300" w:hanging="644"/>
        <w:spacing w:after="0" w:line="211" w:lineRule="auto"/>
        <w:tabs>
          <w:tab w:leader="none" w:pos="1292" w:val="left"/>
        </w:tabs>
        <w:numPr>
          <w:ilvl w:val="0"/>
          <w:numId w:val="233"/>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15. Compensation Recovery</w:t>
      </w:r>
    </w:p>
    <w:p>
      <w:pPr>
        <w:spacing w:after="0" w:line="76"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66" w:lineRule="exact"/>
        <w:rPr>
          <w:sz w:val="20"/>
          <w:szCs w:val="20"/>
          <w:color w:val="auto"/>
        </w:rPr>
      </w:pPr>
    </w:p>
    <w:p>
      <w:pPr>
        <w:jc w:val="both"/>
        <w:ind w:left="1300" w:hanging="644"/>
        <w:spacing w:after="0" w:line="210" w:lineRule="auto"/>
        <w:tabs>
          <w:tab w:leader="none" w:pos="129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70"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6"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363" w:right="3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6"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16. Award Subject to Acknowledgement of Acceptance</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44"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363" w:right="339" w:bottom="1440" w:gutter="0" w:footer="0" w:header="0"/>
        </w:sectPr>
      </w:pPr>
    </w:p>
    <w:bookmarkStart w:id="248" w:name="page249"/>
    <w:bookmarkEnd w:id="248"/>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10.9 — Form of Relative Value Award under the 2002 Lilly Stock Plan (with non-compete)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480" w:right="2300"/>
        <w:spacing w:after="0" w:line="224" w:lineRule="auto"/>
        <w:rPr>
          <w:sz w:val="20"/>
          <w:szCs w:val="20"/>
          <w:color w:val="auto"/>
        </w:rPr>
      </w:pPr>
      <w:r>
        <w:rPr>
          <w:rFonts w:ascii="Arial" w:cs="Arial" w:eastAsia="Arial" w:hAnsi="Arial"/>
          <w:sz w:val="43"/>
          <w:szCs w:val="43"/>
          <w:color w:val="auto"/>
        </w:rPr>
        <w:t>Eli Lilly and Company Relative Value Award Agreement (for Executive Officers)</w:t>
      </w:r>
    </w:p>
    <w:p>
      <w:pPr>
        <w:spacing w:after="0" w:line="163" w:lineRule="exact"/>
        <w:rPr>
          <w:sz w:val="20"/>
          <w:szCs w:val="20"/>
          <w:color w:val="auto"/>
        </w:rPr>
      </w:pPr>
    </w:p>
    <w:p>
      <w:pPr>
        <w:jc w:val="both"/>
        <w:ind w:left="340"/>
        <w:spacing w:after="0" w:line="218" w:lineRule="auto"/>
        <w:rPr>
          <w:sz w:val="20"/>
          <w:szCs w:val="20"/>
          <w:color w:val="auto"/>
        </w:rPr>
      </w:pPr>
      <w:r>
        <w:rPr>
          <w:rFonts w:ascii="Arial" w:cs="Arial" w:eastAsia="Arial" w:hAnsi="Arial"/>
          <w:sz w:val="22"/>
          <w:szCs w:val="22"/>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5"/>
          <w:szCs w:val="25"/>
          <w:color w:val="auto"/>
        </w:rPr>
        <w:t>Lilly Relative Total Shareholder Return Performance Levels:</w:t>
      </w:r>
    </w:p>
    <w:p>
      <w:pPr>
        <w:spacing w:after="0" w:line="231" w:lineRule="exact"/>
        <w:rPr>
          <w:sz w:val="20"/>
          <w:szCs w:val="20"/>
          <w:color w:val="auto"/>
        </w:rPr>
      </w:pPr>
    </w:p>
    <w:tbl>
      <w:tblPr>
        <w:tblLayout w:type="fixed"/>
        <w:tblInd w:w="330" w:type="dxa"/>
        <w:tblCellMar>
          <w:top w:w="0" w:type="dxa"/>
          <w:left w:w="0" w:type="dxa"/>
          <w:bottom w:w="0" w:type="dxa"/>
          <w:right w:w="0" w:type="dxa"/>
        </w:tblCellMar>
      </w:tblPr>
      <w:tr>
        <w:trPr>
          <w:trHeight w:val="176"/>
        </w:trPr>
        <w:tc>
          <w:tcPr>
            <w:tcW w:w="1280" w:type="dxa"/>
            <w:vAlign w:val="bottom"/>
            <w:tcBorders>
              <w:top w:val="single" w:sz="8" w:color="auto"/>
              <w:left w:val="single" w:sz="8" w:color="auto"/>
              <w:right w:val="single" w:sz="8" w:color="auto"/>
            </w:tcBorders>
            <w:shd w:val="clear" w:color="auto" w:fill="D9D9D9"/>
          </w:tcPr>
          <w:p>
            <w:pPr>
              <w:ind w:left="60"/>
              <w:spacing w:after="0" w:line="175" w:lineRule="exact"/>
              <w:rPr>
                <w:sz w:val="20"/>
                <w:szCs w:val="20"/>
                <w:color w:val="auto"/>
              </w:rPr>
            </w:pPr>
            <w:r>
              <w:rPr>
                <w:rFonts w:ascii="Arial" w:cs="Arial" w:eastAsia="Arial" w:hAnsi="Arial"/>
                <w:sz w:val="16"/>
                <w:szCs w:val="16"/>
                <w:b w:val="1"/>
                <w:bCs w:val="1"/>
                <w:color w:val="auto"/>
              </w:rPr>
              <w:t>Absolute</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Peer</w:t>
            </w:r>
          </w:p>
        </w:tc>
        <w:tc>
          <w:tcPr>
            <w:tcW w:w="80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shd w:val="clear" w:color="auto" w:fill="D9D9D9"/>
          </w:tcPr>
          <w:p>
            <w:pPr>
              <w:ind w:left="60"/>
              <w:spacing w:after="0" w:line="162" w:lineRule="exact"/>
              <w:rPr>
                <w:sz w:val="20"/>
                <w:szCs w:val="20"/>
                <w:color w:val="auto"/>
              </w:rPr>
            </w:pPr>
            <w:r>
              <w:rPr>
                <w:rFonts w:ascii="Arial" w:cs="Arial" w:eastAsia="Arial" w:hAnsi="Arial"/>
                <w:sz w:val="16"/>
                <w:szCs w:val="16"/>
                <w:b w:val="1"/>
                <w:bCs w:val="1"/>
                <w:color w:val="auto"/>
              </w:rPr>
              <w:t>Percentage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-24.0 pp</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 pp</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-12.0 pp</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 pp</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-0.01 pp</w:t>
            </w:r>
          </w:p>
        </w:tc>
        <w:tc>
          <w:tcPr>
            <w:tcW w:w="820" w:type="dxa"/>
            <w:vAlign w:val="bottom"/>
            <w:tcBorders>
              <w:right w:val="single" w:sz="8" w:color="auto"/>
            </w:tcBorders>
            <w:vMerge w:val="continue"/>
            <w:shd w:val="clear" w:color="auto" w:fill="D9D9D9"/>
          </w:tcPr>
          <w:p>
            <w:pPr>
              <w:spacing w:after="0"/>
              <w:rPr>
                <w:sz w:val="14"/>
                <w:szCs w:val="1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 pp</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+12.0 pp</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 pp</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+24.0 pp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280" w:type="dxa"/>
            <w:vAlign w:val="bottom"/>
            <w:tcBorders>
              <w:left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6"/>
                <w:szCs w:val="16"/>
                <w:b w:val="1"/>
                <w:bCs w:val="1"/>
                <w:color w:val="auto"/>
              </w:rPr>
              <w:t>Point (pp)</w:t>
            </w:r>
          </w:p>
        </w:tc>
        <w:tc>
          <w:tcPr>
            <w:tcW w:w="12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color w:val="auto"/>
              </w:rPr>
              <w:t>&lt; -30pp</w:t>
            </w: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Median</w:t>
            </w: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rPr>
              <w:t>&gt; +30 pp</w:t>
            </w:r>
          </w:p>
        </w:tc>
        <w:tc>
          <w:tcPr>
            <w:tcW w:w="0" w:type="dxa"/>
            <w:vAlign w:val="bottom"/>
          </w:tcPr>
          <w:p>
            <w:pPr>
              <w:spacing w:after="0"/>
              <w:rPr>
                <w:sz w:val="1"/>
                <w:szCs w:val="1"/>
                <w:color w:val="auto"/>
              </w:rPr>
            </w:pPr>
          </w:p>
        </w:tc>
      </w:tr>
      <w:tr>
        <w:trPr>
          <w:trHeight w:val="137"/>
        </w:trPr>
        <w:tc>
          <w:tcPr>
            <w:tcW w:w="128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right w:val="single" w:sz="8" w:color="auto"/>
            </w:tcBorders>
            <w:gridSpan w:val="2"/>
            <w:vMerge w:val="continue"/>
          </w:tcPr>
          <w:p>
            <w:pPr>
              <w:spacing w:after="0"/>
              <w:rPr>
                <w:sz w:val="11"/>
                <w:szCs w:val="11"/>
                <w:color w:val="auto"/>
              </w:rPr>
            </w:pPr>
          </w:p>
        </w:tc>
        <w:tc>
          <w:tcPr>
            <w:tcW w:w="8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20" w:type="dxa"/>
            <w:vAlign w:val="bottom"/>
            <w:tcBorders>
              <w:right w:val="single" w:sz="8" w:color="auto"/>
            </w:tcBorders>
            <w:vMerge w:val="continue"/>
            <w:shd w:val="clear" w:color="auto" w:fill="D9D9D9"/>
          </w:tcPr>
          <w:p>
            <w:pPr>
              <w:spacing w:after="0"/>
              <w:rPr>
                <w:sz w:val="11"/>
                <w:szCs w:val="11"/>
                <w:color w:val="auto"/>
              </w:rPr>
            </w:pPr>
          </w:p>
        </w:tc>
        <w:tc>
          <w:tcPr>
            <w:tcW w:w="8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100" w:type="dxa"/>
            <w:vAlign w:val="bottom"/>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80" w:type="dxa"/>
            <w:vAlign w:val="bottom"/>
            <w:tcBorders>
              <w:top w:val="single" w:sz="8" w:color="D9D9D9"/>
              <w:left w:val="single" w:sz="8" w:color="auto"/>
              <w:right w:val="single" w:sz="8" w:color="auto"/>
            </w:tcBorders>
            <w:shd w:val="clear" w:color="auto" w:fill="D9D9D9"/>
          </w:tcPr>
          <w:p>
            <w:pPr>
              <w:ind w:left="60"/>
              <w:spacing w:after="0" w:line="108" w:lineRule="exact"/>
              <w:rPr>
                <w:sz w:val="20"/>
                <w:szCs w:val="20"/>
                <w:color w:val="auto"/>
              </w:rPr>
            </w:pPr>
            <w:r>
              <w:rPr>
                <w:rFonts w:ascii="Arial" w:cs="Arial" w:eastAsia="Arial" w:hAnsi="Arial"/>
                <w:sz w:val="12"/>
                <w:szCs w:val="12"/>
                <w:b w:val="1"/>
                <w:bCs w:val="1"/>
                <w:color w:val="auto"/>
              </w:rPr>
              <w:t>Difference</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-29.9 pp</w:t>
            </w: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-23.9 pp</w:t>
            </w: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-17.9 pp</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-11.9 pp</w:t>
            </w: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-5.9 pp</w:t>
            </w:r>
          </w:p>
        </w:tc>
        <w:tc>
          <w:tcPr>
            <w:tcW w:w="820" w:type="dxa"/>
            <w:vAlign w:val="bottom"/>
            <w:tcBorders>
              <w:top w:val="single" w:sz="8" w:color="D9D9D9"/>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to</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+11.9 pp</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+17.9 pp</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+23.9 pp</w:t>
            </w: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+29.9 pp</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shd w:val="clear" w:color="auto" w:fill="D9D9D9"/>
          </w:tcPr>
          <w:p>
            <w:pPr>
              <w:ind w:left="60"/>
              <w:spacing w:after="0" w:line="108" w:lineRule="exact"/>
              <w:rPr>
                <w:sz w:val="20"/>
                <w:szCs w:val="20"/>
                <w:color w:val="auto"/>
              </w:rPr>
            </w:pPr>
            <w:r>
              <w:rPr>
                <w:rFonts w:ascii="Arial" w:cs="Arial" w:eastAsia="Arial" w:hAnsi="Arial"/>
                <w:sz w:val="12"/>
                <w:szCs w:val="12"/>
                <w:b w:val="1"/>
                <w:bCs w:val="1"/>
                <w:color w:val="auto"/>
              </w:rPr>
              <w:t>from Peer</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+5.9 pp</w:t>
            </w: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280" w:type="dxa"/>
            <w:vAlign w:val="bottom"/>
            <w:tcBorders>
              <w:left w:val="single" w:sz="8" w:color="auto"/>
              <w:bottom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6"/>
                <w:szCs w:val="16"/>
                <w:b w:val="1"/>
                <w:bCs w:val="1"/>
                <w:color w:val="auto"/>
              </w:rPr>
              <w:t>Median TSR</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shd w:val="clear" w:color="auto" w:fill="D9D9D9"/>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right w:val="single" w:sz="8" w:color="auto"/>
            </w:tcBorders>
            <w:shd w:val="clear" w:color="auto" w:fill="D9D9D9"/>
          </w:tcPr>
          <w:p>
            <w:pPr>
              <w:ind w:left="60"/>
              <w:spacing w:after="0" w:line="170" w:lineRule="exact"/>
              <w:rPr>
                <w:sz w:val="20"/>
                <w:szCs w:val="20"/>
                <w:color w:val="auto"/>
              </w:rPr>
            </w:pPr>
            <w:r>
              <w:rPr>
                <w:rFonts w:ascii="Arial" w:cs="Arial" w:eastAsia="Arial" w:hAnsi="Arial"/>
                <w:sz w:val="18"/>
                <w:szCs w:val="18"/>
                <w:b w:val="1"/>
                <w:bCs w:val="1"/>
                <w:color w:val="auto"/>
              </w:rPr>
              <w:t>Payout</w:t>
            </w:r>
          </w:p>
        </w:tc>
        <w:tc>
          <w:tcPr>
            <w:tcW w:w="740" w:type="dxa"/>
            <w:vAlign w:val="bottom"/>
            <w:tcBorders>
              <w:right w:val="single" w:sz="8" w:color="auto"/>
            </w:tcBorders>
            <w:gridSpan w:val="3"/>
            <w:vMerge w:val="restart"/>
            <w:shd w:val="clear" w:color="auto" w:fill="F2F2F2"/>
          </w:tcPr>
          <w:p>
            <w:pPr>
              <w:jc w:val="right"/>
              <w:ind w:right="240"/>
              <w:spacing w:after="0"/>
              <w:rPr>
                <w:sz w:val="20"/>
                <w:szCs w:val="20"/>
                <w:color w:val="auto"/>
              </w:rPr>
            </w:pPr>
            <w:r>
              <w:rPr>
                <w:rFonts w:ascii="Arial" w:cs="Arial" w:eastAsia="Arial" w:hAnsi="Arial"/>
                <w:sz w:val="20"/>
                <w:szCs w:val="20"/>
                <w:b w:val="1"/>
                <w:bCs w:val="1"/>
                <w:color w:val="auto"/>
              </w:rPr>
              <w:t>0.0</w:t>
            </w: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0.25</w:t>
            </w:r>
          </w:p>
        </w:tc>
        <w:tc>
          <w:tcPr>
            <w:tcW w:w="8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0.40</w:t>
            </w:r>
          </w:p>
        </w:tc>
        <w:tc>
          <w:tcPr>
            <w:tcW w:w="7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0.55</w:t>
            </w:r>
          </w:p>
        </w:tc>
        <w:tc>
          <w:tcPr>
            <w:tcW w:w="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0.70</w:t>
            </w:r>
          </w:p>
        </w:tc>
        <w:tc>
          <w:tcPr>
            <w:tcW w:w="7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0.85</w:t>
            </w:r>
          </w:p>
        </w:tc>
        <w:tc>
          <w:tcPr>
            <w:tcW w:w="8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rPr>
              <w:t>1.00</w:t>
            </w: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1.15</w:t>
            </w:r>
          </w:p>
        </w:tc>
        <w:tc>
          <w:tcPr>
            <w:tcW w:w="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rPr>
              <w:t>1.30</w:t>
            </w:r>
          </w:p>
        </w:tc>
        <w:tc>
          <w:tcPr>
            <w:tcW w:w="8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1.45</w:t>
            </w:r>
          </w:p>
        </w:tc>
        <w:tc>
          <w:tcPr>
            <w:tcW w:w="82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1.60</w:t>
            </w:r>
          </w:p>
        </w:tc>
        <w:tc>
          <w:tcPr>
            <w:tcW w:w="760" w:type="dxa"/>
            <w:vAlign w:val="bottom"/>
            <w:tcBorders>
              <w:right w:val="single" w:sz="8" w:color="auto"/>
            </w:tcBorders>
            <w:gridSpan w:val="3"/>
            <w:vMerge w:val="restart"/>
            <w:shd w:val="clear" w:color="auto" w:fill="F2F2F2"/>
          </w:tcPr>
          <w:p>
            <w:pPr>
              <w:jc w:val="right"/>
              <w:ind w:right="200"/>
              <w:spacing w:after="0"/>
              <w:rPr>
                <w:sz w:val="20"/>
                <w:szCs w:val="20"/>
                <w:color w:val="auto"/>
              </w:rPr>
            </w:pPr>
            <w:r>
              <w:rPr>
                <w:rFonts w:ascii="Arial" w:cs="Arial" w:eastAsia="Arial" w:hAnsi="Arial"/>
                <w:sz w:val="20"/>
                <w:szCs w:val="20"/>
                <w:b w:val="1"/>
                <w:bCs w:val="1"/>
                <w:color w:val="auto"/>
              </w:rPr>
              <w:t>1.75</w:t>
            </w:r>
          </w:p>
        </w:tc>
        <w:tc>
          <w:tcPr>
            <w:tcW w:w="0" w:type="dxa"/>
            <w:vAlign w:val="bottom"/>
          </w:tcPr>
          <w:p>
            <w:pPr>
              <w:spacing w:after="0"/>
              <w:rPr>
                <w:sz w:val="1"/>
                <w:szCs w:val="1"/>
                <w:color w:val="auto"/>
              </w:rPr>
            </w:pPr>
          </w:p>
        </w:tc>
      </w:tr>
      <w:tr>
        <w:trPr>
          <w:trHeight w:val="152"/>
        </w:trPr>
        <w:tc>
          <w:tcPr>
            <w:tcW w:w="1280" w:type="dxa"/>
            <w:vAlign w:val="bottom"/>
            <w:tcBorders>
              <w:left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rPr>
              <w:t>Multiple</w:t>
            </w:r>
          </w:p>
        </w:tc>
        <w:tc>
          <w:tcPr>
            <w:tcW w:w="740" w:type="dxa"/>
            <w:vAlign w:val="bottom"/>
            <w:tcBorders>
              <w:right w:val="single" w:sz="8" w:color="auto"/>
            </w:tcBorders>
            <w:gridSpan w:val="3"/>
            <w:vMerge w:val="continue"/>
            <w:shd w:val="clear" w:color="auto" w:fill="F2F2F2"/>
          </w:tcPr>
          <w:p>
            <w:pPr>
              <w:spacing w:after="0"/>
              <w:rPr>
                <w:sz w:val="13"/>
                <w:szCs w:val="13"/>
                <w:color w:val="auto"/>
              </w:rPr>
            </w:pPr>
          </w:p>
        </w:tc>
        <w:tc>
          <w:tcPr>
            <w:tcW w:w="800" w:type="dxa"/>
            <w:vAlign w:val="bottom"/>
            <w:tcBorders>
              <w:right w:val="single" w:sz="8" w:color="auto"/>
            </w:tcBorders>
            <w:vMerge w:val="continue"/>
            <w:shd w:val="clear" w:color="auto" w:fill="F2F2F2"/>
          </w:tcPr>
          <w:p>
            <w:pPr>
              <w:spacing w:after="0"/>
              <w:rPr>
                <w:sz w:val="13"/>
                <w:szCs w:val="13"/>
                <w:color w:val="auto"/>
              </w:rPr>
            </w:pPr>
          </w:p>
        </w:tc>
        <w:tc>
          <w:tcPr>
            <w:tcW w:w="820" w:type="dxa"/>
            <w:vAlign w:val="bottom"/>
            <w:tcBorders>
              <w:right w:val="single" w:sz="8" w:color="auto"/>
            </w:tcBorders>
            <w:vMerge w:val="continue"/>
            <w:shd w:val="clear" w:color="auto" w:fill="F2F2F2"/>
          </w:tcPr>
          <w:p>
            <w:pPr>
              <w:spacing w:after="0"/>
              <w:rPr>
                <w:sz w:val="13"/>
                <w:szCs w:val="13"/>
                <w:color w:val="auto"/>
              </w:rPr>
            </w:pPr>
          </w:p>
        </w:tc>
        <w:tc>
          <w:tcPr>
            <w:tcW w:w="720" w:type="dxa"/>
            <w:vAlign w:val="bottom"/>
            <w:tcBorders>
              <w:right w:val="single" w:sz="8" w:color="auto"/>
            </w:tcBorders>
            <w:vMerge w:val="continue"/>
            <w:shd w:val="clear" w:color="auto" w:fill="F2F2F2"/>
          </w:tcPr>
          <w:p>
            <w:pPr>
              <w:spacing w:after="0"/>
              <w:rPr>
                <w:sz w:val="13"/>
                <w:szCs w:val="13"/>
                <w:color w:val="auto"/>
              </w:rPr>
            </w:pPr>
          </w:p>
        </w:tc>
        <w:tc>
          <w:tcPr>
            <w:tcW w:w="740" w:type="dxa"/>
            <w:vAlign w:val="bottom"/>
            <w:tcBorders>
              <w:right w:val="single" w:sz="8" w:color="auto"/>
            </w:tcBorders>
            <w:vMerge w:val="continue"/>
            <w:shd w:val="clear" w:color="auto" w:fill="F2F2F2"/>
          </w:tcPr>
          <w:p>
            <w:pPr>
              <w:spacing w:after="0"/>
              <w:rPr>
                <w:sz w:val="13"/>
                <w:szCs w:val="13"/>
                <w:color w:val="auto"/>
              </w:rPr>
            </w:pPr>
          </w:p>
        </w:tc>
        <w:tc>
          <w:tcPr>
            <w:tcW w:w="720" w:type="dxa"/>
            <w:vAlign w:val="bottom"/>
            <w:tcBorders>
              <w:right w:val="single" w:sz="8" w:color="auto"/>
            </w:tcBorders>
            <w:vMerge w:val="continue"/>
            <w:shd w:val="clear" w:color="auto" w:fill="F2F2F2"/>
          </w:tcPr>
          <w:p>
            <w:pPr>
              <w:spacing w:after="0"/>
              <w:rPr>
                <w:sz w:val="13"/>
                <w:szCs w:val="13"/>
                <w:color w:val="auto"/>
              </w:rPr>
            </w:pPr>
          </w:p>
        </w:tc>
        <w:tc>
          <w:tcPr>
            <w:tcW w:w="820" w:type="dxa"/>
            <w:vAlign w:val="bottom"/>
            <w:tcBorders>
              <w:right w:val="single" w:sz="8" w:color="auto"/>
            </w:tcBorders>
            <w:vMerge w:val="continue"/>
            <w:shd w:val="clear" w:color="auto" w:fill="D9D9D9"/>
          </w:tcPr>
          <w:p>
            <w:pPr>
              <w:spacing w:after="0"/>
              <w:rPr>
                <w:sz w:val="13"/>
                <w:szCs w:val="13"/>
                <w:color w:val="auto"/>
              </w:rPr>
            </w:pPr>
          </w:p>
        </w:tc>
        <w:tc>
          <w:tcPr>
            <w:tcW w:w="800" w:type="dxa"/>
            <w:vAlign w:val="bottom"/>
            <w:tcBorders>
              <w:right w:val="single" w:sz="8" w:color="auto"/>
            </w:tcBorders>
            <w:vMerge w:val="continue"/>
            <w:shd w:val="clear" w:color="auto" w:fill="F2F2F2"/>
          </w:tcPr>
          <w:p>
            <w:pPr>
              <w:spacing w:after="0"/>
              <w:rPr>
                <w:sz w:val="13"/>
                <w:szCs w:val="13"/>
                <w:color w:val="auto"/>
              </w:rPr>
            </w:pPr>
          </w:p>
        </w:tc>
        <w:tc>
          <w:tcPr>
            <w:tcW w:w="740" w:type="dxa"/>
            <w:vAlign w:val="bottom"/>
            <w:tcBorders>
              <w:right w:val="single" w:sz="8" w:color="auto"/>
            </w:tcBorders>
            <w:vMerge w:val="continue"/>
            <w:shd w:val="clear" w:color="auto" w:fill="F2F2F2"/>
          </w:tcPr>
          <w:p>
            <w:pPr>
              <w:spacing w:after="0"/>
              <w:rPr>
                <w:sz w:val="13"/>
                <w:szCs w:val="13"/>
                <w:color w:val="auto"/>
              </w:rPr>
            </w:pPr>
          </w:p>
        </w:tc>
        <w:tc>
          <w:tcPr>
            <w:tcW w:w="800" w:type="dxa"/>
            <w:vAlign w:val="bottom"/>
            <w:tcBorders>
              <w:right w:val="single" w:sz="8" w:color="auto"/>
            </w:tcBorders>
            <w:vMerge w:val="continue"/>
            <w:shd w:val="clear" w:color="auto" w:fill="F2F2F2"/>
          </w:tcPr>
          <w:p>
            <w:pPr>
              <w:spacing w:after="0"/>
              <w:rPr>
                <w:sz w:val="13"/>
                <w:szCs w:val="13"/>
                <w:color w:val="auto"/>
              </w:rPr>
            </w:pPr>
          </w:p>
        </w:tc>
        <w:tc>
          <w:tcPr>
            <w:tcW w:w="820" w:type="dxa"/>
            <w:vAlign w:val="bottom"/>
            <w:tcBorders>
              <w:right w:val="single" w:sz="8" w:color="auto"/>
            </w:tcBorders>
            <w:vMerge w:val="continue"/>
            <w:shd w:val="clear" w:color="auto" w:fill="F2F2F2"/>
          </w:tcPr>
          <w:p>
            <w:pPr>
              <w:spacing w:after="0"/>
              <w:rPr>
                <w:sz w:val="13"/>
                <w:szCs w:val="13"/>
                <w:color w:val="auto"/>
              </w:rPr>
            </w:pPr>
          </w:p>
        </w:tc>
        <w:tc>
          <w:tcPr>
            <w:tcW w:w="760" w:type="dxa"/>
            <w:vAlign w:val="bottom"/>
            <w:tcBorders>
              <w:right w:val="single" w:sz="8" w:color="auto"/>
            </w:tcBorders>
            <w:gridSpan w:val="3"/>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280" w:type="dxa"/>
            <w:vAlign w:val="bottom"/>
            <w:tcBorders>
              <w:left w:val="single" w:sz="8" w:color="auto"/>
              <w:bottom w:val="single" w:sz="8" w:color="auto"/>
              <w:right w:val="single" w:sz="8" w:color="auto"/>
            </w:tcBorders>
            <w:vMerge w:val="continue"/>
            <w:shd w:val="clear" w:color="auto" w:fill="D9D9D9"/>
          </w:tcPr>
          <w:p>
            <w:pPr>
              <w:spacing w:after="0"/>
              <w:rPr>
                <w:sz w:val="6"/>
                <w:szCs w:val="6"/>
                <w:color w:val="auto"/>
              </w:rPr>
            </w:pPr>
          </w:p>
        </w:tc>
        <w:tc>
          <w:tcPr>
            <w:tcW w:w="120" w:type="dxa"/>
            <w:vAlign w:val="bottom"/>
            <w:tcBorders>
              <w:bottom w:val="single" w:sz="8" w:color="auto"/>
            </w:tcBorders>
            <w:shd w:val="clear" w:color="auto" w:fill="F2F2F2"/>
          </w:tcPr>
          <w:p>
            <w:pPr>
              <w:spacing w:after="0"/>
              <w:rPr>
                <w:sz w:val="6"/>
                <w:szCs w:val="6"/>
                <w:color w:val="auto"/>
              </w:rPr>
            </w:pPr>
          </w:p>
        </w:tc>
        <w:tc>
          <w:tcPr>
            <w:tcW w:w="80" w:type="dxa"/>
            <w:vAlign w:val="bottom"/>
            <w:tcBorders>
              <w:bottom w:val="single" w:sz="8" w:color="auto"/>
            </w:tcBorders>
            <w:shd w:val="clear" w:color="auto" w:fill="F2F2F2"/>
          </w:tcPr>
          <w:p>
            <w:pPr>
              <w:spacing w:after="0"/>
              <w:rPr>
                <w:sz w:val="6"/>
                <w:szCs w:val="6"/>
                <w:color w:val="auto"/>
              </w:rPr>
            </w:pPr>
          </w:p>
        </w:tc>
        <w:tc>
          <w:tcPr>
            <w:tcW w:w="540" w:type="dxa"/>
            <w:vAlign w:val="bottom"/>
            <w:tcBorders>
              <w:bottom w:val="single" w:sz="8" w:color="auto"/>
              <w:right w:val="single" w:sz="8" w:color="auto"/>
            </w:tcBorders>
            <w:shd w:val="clear" w:color="auto" w:fill="F2F2F2"/>
          </w:tcPr>
          <w:p>
            <w:pPr>
              <w:spacing w:after="0"/>
              <w:rPr>
                <w:sz w:val="6"/>
                <w:szCs w:val="6"/>
                <w:color w:val="auto"/>
              </w:rPr>
            </w:pPr>
          </w:p>
        </w:tc>
        <w:tc>
          <w:tcPr>
            <w:tcW w:w="800" w:type="dxa"/>
            <w:vAlign w:val="bottom"/>
            <w:tcBorders>
              <w:bottom w:val="single" w:sz="8" w:color="auto"/>
              <w:right w:val="single" w:sz="8" w:color="auto"/>
            </w:tcBorders>
            <w:shd w:val="clear" w:color="auto" w:fill="F2F2F2"/>
          </w:tcPr>
          <w:p>
            <w:pPr>
              <w:spacing w:after="0"/>
              <w:rPr>
                <w:sz w:val="6"/>
                <w:szCs w:val="6"/>
                <w:color w:val="auto"/>
              </w:rPr>
            </w:pPr>
          </w:p>
        </w:tc>
        <w:tc>
          <w:tcPr>
            <w:tcW w:w="820" w:type="dxa"/>
            <w:vAlign w:val="bottom"/>
            <w:tcBorders>
              <w:bottom w:val="single" w:sz="8" w:color="auto"/>
              <w:right w:val="single" w:sz="8" w:color="auto"/>
            </w:tcBorders>
            <w:shd w:val="clear" w:color="auto" w:fill="F2F2F2"/>
          </w:tcPr>
          <w:p>
            <w:pPr>
              <w:spacing w:after="0"/>
              <w:rPr>
                <w:sz w:val="6"/>
                <w:szCs w:val="6"/>
                <w:color w:val="auto"/>
              </w:rPr>
            </w:pPr>
          </w:p>
        </w:tc>
        <w:tc>
          <w:tcPr>
            <w:tcW w:w="720" w:type="dxa"/>
            <w:vAlign w:val="bottom"/>
            <w:tcBorders>
              <w:bottom w:val="single" w:sz="8" w:color="auto"/>
              <w:right w:val="single" w:sz="8" w:color="auto"/>
            </w:tcBorders>
            <w:shd w:val="clear" w:color="auto" w:fill="F2F2F2"/>
          </w:tcPr>
          <w:p>
            <w:pPr>
              <w:spacing w:after="0"/>
              <w:rPr>
                <w:sz w:val="6"/>
                <w:szCs w:val="6"/>
                <w:color w:val="auto"/>
              </w:rPr>
            </w:pPr>
          </w:p>
        </w:tc>
        <w:tc>
          <w:tcPr>
            <w:tcW w:w="740" w:type="dxa"/>
            <w:vAlign w:val="bottom"/>
            <w:tcBorders>
              <w:bottom w:val="single" w:sz="8" w:color="auto"/>
              <w:right w:val="single" w:sz="8" w:color="auto"/>
            </w:tcBorders>
            <w:shd w:val="clear" w:color="auto" w:fill="F2F2F2"/>
          </w:tcPr>
          <w:p>
            <w:pPr>
              <w:spacing w:after="0"/>
              <w:rPr>
                <w:sz w:val="6"/>
                <w:szCs w:val="6"/>
                <w:color w:val="auto"/>
              </w:rPr>
            </w:pPr>
          </w:p>
        </w:tc>
        <w:tc>
          <w:tcPr>
            <w:tcW w:w="720" w:type="dxa"/>
            <w:vAlign w:val="bottom"/>
            <w:tcBorders>
              <w:bottom w:val="single" w:sz="8" w:color="auto"/>
              <w:right w:val="single" w:sz="8" w:color="auto"/>
            </w:tcBorders>
            <w:shd w:val="clear" w:color="auto" w:fill="F2F2F2"/>
          </w:tcPr>
          <w:p>
            <w:pPr>
              <w:spacing w:after="0"/>
              <w:rPr>
                <w:sz w:val="6"/>
                <w:szCs w:val="6"/>
                <w:color w:val="auto"/>
              </w:rPr>
            </w:pPr>
          </w:p>
        </w:tc>
        <w:tc>
          <w:tcPr>
            <w:tcW w:w="820" w:type="dxa"/>
            <w:vAlign w:val="bottom"/>
            <w:tcBorders>
              <w:bottom w:val="single" w:sz="8" w:color="auto"/>
              <w:right w:val="single" w:sz="8" w:color="auto"/>
            </w:tcBorders>
            <w:shd w:val="clear" w:color="auto" w:fill="D9D9D9"/>
          </w:tcPr>
          <w:p>
            <w:pPr>
              <w:spacing w:after="0"/>
              <w:rPr>
                <w:sz w:val="6"/>
                <w:szCs w:val="6"/>
                <w:color w:val="auto"/>
              </w:rPr>
            </w:pPr>
          </w:p>
        </w:tc>
        <w:tc>
          <w:tcPr>
            <w:tcW w:w="800" w:type="dxa"/>
            <w:vAlign w:val="bottom"/>
            <w:tcBorders>
              <w:bottom w:val="single" w:sz="8" w:color="auto"/>
              <w:right w:val="single" w:sz="8" w:color="auto"/>
            </w:tcBorders>
            <w:shd w:val="clear" w:color="auto" w:fill="F2F2F2"/>
          </w:tcPr>
          <w:p>
            <w:pPr>
              <w:spacing w:after="0"/>
              <w:rPr>
                <w:sz w:val="6"/>
                <w:szCs w:val="6"/>
                <w:color w:val="auto"/>
              </w:rPr>
            </w:pPr>
          </w:p>
        </w:tc>
        <w:tc>
          <w:tcPr>
            <w:tcW w:w="740" w:type="dxa"/>
            <w:vAlign w:val="bottom"/>
            <w:tcBorders>
              <w:bottom w:val="single" w:sz="8" w:color="auto"/>
              <w:right w:val="single" w:sz="8" w:color="auto"/>
            </w:tcBorders>
            <w:shd w:val="clear" w:color="auto" w:fill="F2F2F2"/>
          </w:tcPr>
          <w:p>
            <w:pPr>
              <w:spacing w:after="0"/>
              <w:rPr>
                <w:sz w:val="6"/>
                <w:szCs w:val="6"/>
                <w:color w:val="auto"/>
              </w:rPr>
            </w:pPr>
          </w:p>
        </w:tc>
        <w:tc>
          <w:tcPr>
            <w:tcW w:w="800" w:type="dxa"/>
            <w:vAlign w:val="bottom"/>
            <w:tcBorders>
              <w:bottom w:val="single" w:sz="8" w:color="auto"/>
              <w:right w:val="single" w:sz="8" w:color="auto"/>
            </w:tcBorders>
            <w:shd w:val="clear" w:color="auto" w:fill="F2F2F2"/>
          </w:tcPr>
          <w:p>
            <w:pPr>
              <w:spacing w:after="0"/>
              <w:rPr>
                <w:sz w:val="6"/>
                <w:szCs w:val="6"/>
                <w:color w:val="auto"/>
              </w:rPr>
            </w:pPr>
          </w:p>
        </w:tc>
        <w:tc>
          <w:tcPr>
            <w:tcW w:w="820" w:type="dxa"/>
            <w:vAlign w:val="bottom"/>
            <w:tcBorders>
              <w:bottom w:val="single" w:sz="8" w:color="auto"/>
              <w:right w:val="single" w:sz="8" w:color="auto"/>
            </w:tcBorders>
            <w:shd w:val="clear" w:color="auto" w:fill="F2F2F2"/>
          </w:tcPr>
          <w:p>
            <w:pPr>
              <w:spacing w:after="0"/>
              <w:rPr>
                <w:sz w:val="6"/>
                <w:szCs w:val="6"/>
                <w:color w:val="auto"/>
              </w:rPr>
            </w:pPr>
          </w:p>
        </w:tc>
        <w:tc>
          <w:tcPr>
            <w:tcW w:w="100" w:type="dxa"/>
            <w:vAlign w:val="bottom"/>
            <w:tcBorders>
              <w:bottom w:val="single" w:sz="8" w:color="auto"/>
            </w:tcBorders>
            <w:shd w:val="clear" w:color="auto" w:fill="F2F2F2"/>
          </w:tcPr>
          <w:p>
            <w:pPr>
              <w:spacing w:after="0"/>
              <w:rPr>
                <w:sz w:val="6"/>
                <w:szCs w:val="6"/>
                <w:color w:val="auto"/>
              </w:rPr>
            </w:pPr>
          </w:p>
        </w:tc>
        <w:tc>
          <w:tcPr>
            <w:tcW w:w="80" w:type="dxa"/>
            <w:vAlign w:val="bottom"/>
            <w:tcBorders>
              <w:bottom w:val="single" w:sz="8" w:color="auto"/>
            </w:tcBorders>
            <w:shd w:val="clear" w:color="auto" w:fill="F2F2F2"/>
          </w:tcPr>
          <w:p>
            <w:pPr>
              <w:spacing w:after="0"/>
              <w:rPr>
                <w:sz w:val="6"/>
                <w:szCs w:val="6"/>
                <w:color w:val="auto"/>
              </w:rPr>
            </w:pPr>
          </w:p>
        </w:tc>
        <w:tc>
          <w:tcPr>
            <w:tcW w:w="580" w:type="dxa"/>
            <w:vAlign w:val="bottom"/>
            <w:tcBorders>
              <w:bottom w:val="single" w:sz="8" w:color="auto"/>
              <w:right w:val="single" w:sz="8" w:color="auto"/>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340"/>
        <w:spacing w:after="0"/>
        <w:tabs>
          <w:tab w:leader="none" w:pos="2980" w:val="left"/>
        </w:tabs>
        <w:rPr>
          <w:sz w:val="20"/>
          <w:szCs w:val="20"/>
          <w:color w:val="auto"/>
        </w:rPr>
      </w:pPr>
      <w:r>
        <w:rPr>
          <w:rFonts w:ascii="Arial" w:cs="Arial" w:eastAsia="Arial" w:hAnsi="Arial"/>
          <w:sz w:val="25"/>
          <w:szCs w:val="25"/>
          <w:color w:val="auto"/>
        </w:rPr>
        <w:t>Performance Period:</w:t>
        <w:tab/>
        <w:t>January 1, 2022 – December 31, 2024</w:t>
      </w:r>
    </w:p>
    <w:p>
      <w:pPr>
        <w:sectPr>
          <w:pgSz w:w="11900" w:h="16838" w:orient="portrait"/>
          <w:cols w:equalWidth="0" w:num="1">
            <w:col w:w="11080"/>
          </w:cols>
          <w:pgMar w:left="320" w:top="1440" w:right="49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25"/>
          <w:szCs w:val="25"/>
          <w:color w:val="auto"/>
        </w:rPr>
        <w:t>Table of Contents</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9400" w:type="dxa"/>
            <w:vAlign w:val="bottom"/>
            <w:gridSpan w:val="3"/>
          </w:tcPr>
          <w:p>
            <w:pPr>
              <w:spacing w:after="0"/>
              <w:rPr>
                <w:sz w:val="20"/>
                <w:szCs w:val="20"/>
                <w:color w:val="auto"/>
              </w:rPr>
            </w:pPr>
            <w:r>
              <w:rPr>
                <w:rFonts w:ascii="Arial" w:cs="Arial" w:eastAsia="Arial" w:hAnsi="Arial"/>
                <w:sz w:val="22"/>
                <w:szCs w:val="22"/>
                <w:color w:val="auto"/>
              </w:rPr>
              <w:t>Section 1.  Grant of Relative Value Award</w:t>
            </w:r>
          </w:p>
        </w:tc>
        <w:tc>
          <w:tcPr>
            <w:tcW w:w="1520" w:type="dxa"/>
            <w:vAlign w:val="bottom"/>
          </w:tcPr>
          <w:p>
            <w:pPr>
              <w:ind w:left="1280"/>
              <w:spacing w:after="0"/>
              <w:rPr>
                <w:sz w:val="20"/>
                <w:szCs w:val="20"/>
                <w:color w:val="auto"/>
              </w:rPr>
            </w:pPr>
            <w:r>
              <w:rPr>
                <w:rFonts w:ascii="Arial" w:cs="Arial" w:eastAsia="Arial" w:hAnsi="Arial"/>
                <w:sz w:val="22"/>
                <w:szCs w:val="22"/>
                <w:color w:val="auto"/>
              </w:rPr>
              <w:t>3</w:t>
            </w:r>
          </w:p>
        </w:tc>
      </w:tr>
      <w:tr>
        <w:trPr>
          <w:trHeight w:val="311"/>
        </w:trPr>
        <w:tc>
          <w:tcPr>
            <w:tcW w:w="106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4"/>
                <w:szCs w:val="24"/>
                <w:color w:val="auto"/>
              </w:rPr>
            </w:pPr>
          </w:p>
        </w:tc>
        <w:tc>
          <w:tcPr>
            <w:tcW w:w="8280" w:type="dxa"/>
            <w:vAlign w:val="bottom"/>
          </w:tcPr>
          <w:p>
            <w:pPr>
              <w:ind w:left="60"/>
              <w:spacing w:after="0"/>
              <w:rPr>
                <w:sz w:val="20"/>
                <w:szCs w:val="20"/>
                <w:color w:val="auto"/>
              </w:rPr>
            </w:pPr>
            <w:r>
              <w:rPr>
                <w:rFonts w:ascii="Arial" w:cs="Arial" w:eastAsia="Arial" w:hAnsi="Arial"/>
                <w:sz w:val="22"/>
                <w:szCs w:val="22"/>
                <w:color w:val="auto"/>
              </w:rPr>
              <w:t>Vesting</w:t>
            </w:r>
          </w:p>
        </w:tc>
        <w:tc>
          <w:tcPr>
            <w:tcW w:w="1520" w:type="dxa"/>
            <w:vAlign w:val="bottom"/>
          </w:tcPr>
          <w:p>
            <w:pPr>
              <w:ind w:left="1280"/>
              <w:spacing w:after="0"/>
              <w:rPr>
                <w:sz w:val="20"/>
                <w:szCs w:val="20"/>
                <w:color w:val="auto"/>
              </w:rPr>
            </w:pPr>
            <w:r>
              <w:rPr>
                <w:rFonts w:ascii="Arial" w:cs="Arial" w:eastAsia="Arial" w:hAnsi="Arial"/>
                <w:sz w:val="22"/>
                <w:szCs w:val="22"/>
                <w:color w:val="auto"/>
              </w:rPr>
              <w:t>3</w:t>
            </w:r>
          </w:p>
        </w:tc>
      </w:tr>
      <w:tr>
        <w:trPr>
          <w:trHeight w:val="310"/>
        </w:trPr>
        <w:tc>
          <w:tcPr>
            <w:tcW w:w="9400" w:type="dxa"/>
            <w:vAlign w:val="bottom"/>
            <w:gridSpan w:val="3"/>
          </w:tcPr>
          <w:p>
            <w:pPr>
              <w:spacing w:after="0"/>
              <w:rPr>
                <w:sz w:val="20"/>
                <w:szCs w:val="20"/>
                <w:color w:val="auto"/>
              </w:rPr>
            </w:pPr>
            <w:r>
              <w:rPr>
                <w:rFonts w:ascii="Arial" w:cs="Arial" w:eastAsia="Arial" w:hAnsi="Arial"/>
                <w:sz w:val="22"/>
                <w:szCs w:val="22"/>
                <w:color w:val="auto"/>
              </w:rPr>
              <w:t>Section 3.  Impact of Certain Employment Status Changes</w:t>
            </w:r>
          </w:p>
        </w:tc>
        <w:tc>
          <w:tcPr>
            <w:tcW w:w="1520" w:type="dxa"/>
            <w:vAlign w:val="bottom"/>
          </w:tcPr>
          <w:p>
            <w:pPr>
              <w:ind w:left="1280"/>
              <w:spacing w:after="0"/>
              <w:rPr>
                <w:sz w:val="20"/>
                <w:szCs w:val="20"/>
                <w:color w:val="auto"/>
              </w:rPr>
            </w:pPr>
            <w:r>
              <w:rPr>
                <w:rFonts w:ascii="Arial" w:cs="Arial" w:eastAsia="Arial" w:hAnsi="Arial"/>
                <w:sz w:val="22"/>
                <w:szCs w:val="22"/>
                <w:color w:val="auto"/>
              </w:rPr>
              <w:t>4</w:t>
            </w:r>
          </w:p>
        </w:tc>
      </w:tr>
      <w:tr>
        <w:trPr>
          <w:trHeight w:val="311"/>
        </w:trPr>
        <w:tc>
          <w:tcPr>
            <w:tcW w:w="9400" w:type="dxa"/>
            <w:vAlign w:val="bottom"/>
            <w:gridSpan w:val="3"/>
          </w:tcPr>
          <w:p>
            <w:pPr>
              <w:spacing w:after="0"/>
              <w:rPr>
                <w:sz w:val="20"/>
                <w:szCs w:val="20"/>
                <w:color w:val="auto"/>
              </w:rPr>
            </w:pPr>
            <w:r>
              <w:rPr>
                <w:rFonts w:ascii="Arial" w:cs="Arial" w:eastAsia="Arial" w:hAnsi="Arial"/>
                <w:sz w:val="22"/>
                <w:szCs w:val="22"/>
                <w:color w:val="auto"/>
              </w:rPr>
              <w:t>Section 4.  Change in Control</w:t>
            </w:r>
          </w:p>
        </w:tc>
        <w:tc>
          <w:tcPr>
            <w:tcW w:w="1520" w:type="dxa"/>
            <w:vAlign w:val="bottom"/>
          </w:tcPr>
          <w:p>
            <w:pPr>
              <w:ind w:left="1280"/>
              <w:spacing w:after="0"/>
              <w:rPr>
                <w:sz w:val="20"/>
                <w:szCs w:val="20"/>
                <w:color w:val="auto"/>
              </w:rPr>
            </w:pPr>
            <w:r>
              <w:rPr>
                <w:rFonts w:ascii="Arial" w:cs="Arial" w:eastAsia="Arial" w:hAnsi="Arial"/>
                <w:sz w:val="22"/>
                <w:szCs w:val="22"/>
                <w:color w:val="auto"/>
              </w:rPr>
              <w:t>5</w:t>
            </w:r>
          </w:p>
        </w:tc>
      </w:tr>
      <w:tr>
        <w:trPr>
          <w:trHeight w:val="310"/>
        </w:trPr>
        <w:tc>
          <w:tcPr>
            <w:tcW w:w="106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4"/>
                <w:szCs w:val="24"/>
                <w:color w:val="auto"/>
              </w:rPr>
            </w:pPr>
          </w:p>
        </w:tc>
        <w:tc>
          <w:tcPr>
            <w:tcW w:w="828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1520" w:type="dxa"/>
            <w:vAlign w:val="bottom"/>
          </w:tcPr>
          <w:p>
            <w:pPr>
              <w:ind w:left="1280"/>
              <w:spacing w:after="0"/>
              <w:rPr>
                <w:sz w:val="20"/>
                <w:szCs w:val="20"/>
                <w:color w:val="auto"/>
              </w:rPr>
            </w:pPr>
            <w:r>
              <w:rPr>
                <w:rFonts w:ascii="Arial" w:cs="Arial" w:eastAsia="Arial" w:hAnsi="Arial"/>
                <w:sz w:val="22"/>
                <w:szCs w:val="22"/>
                <w:color w:val="auto"/>
              </w:rPr>
              <w:t>6</w:t>
            </w:r>
          </w:p>
        </w:tc>
      </w:tr>
      <w:tr>
        <w:trPr>
          <w:trHeight w:val="311"/>
        </w:trPr>
        <w:tc>
          <w:tcPr>
            <w:tcW w:w="9400" w:type="dxa"/>
            <w:vAlign w:val="bottom"/>
            <w:gridSpan w:val="3"/>
          </w:tcPr>
          <w:p>
            <w:pPr>
              <w:spacing w:after="0"/>
              <w:rPr>
                <w:sz w:val="20"/>
                <w:szCs w:val="20"/>
                <w:color w:val="auto"/>
              </w:rPr>
            </w:pPr>
            <w:r>
              <w:rPr>
                <w:rFonts w:ascii="Arial" w:cs="Arial" w:eastAsia="Arial" w:hAnsi="Arial"/>
                <w:sz w:val="22"/>
                <w:szCs w:val="22"/>
                <w:color w:val="auto"/>
              </w:rPr>
              <w:t>Section 6.  Rights of the Grantee</w:t>
            </w:r>
          </w:p>
        </w:tc>
        <w:tc>
          <w:tcPr>
            <w:tcW w:w="1520" w:type="dxa"/>
            <w:vAlign w:val="bottom"/>
          </w:tcPr>
          <w:p>
            <w:pPr>
              <w:ind w:left="1280"/>
              <w:spacing w:after="0"/>
              <w:rPr>
                <w:sz w:val="20"/>
                <w:szCs w:val="20"/>
                <w:color w:val="auto"/>
              </w:rPr>
            </w:pPr>
            <w:r>
              <w:rPr>
                <w:rFonts w:ascii="Arial" w:cs="Arial" w:eastAsia="Arial" w:hAnsi="Arial"/>
                <w:sz w:val="22"/>
                <w:szCs w:val="22"/>
                <w:color w:val="auto"/>
              </w:rPr>
              <w:t>7</w:t>
            </w:r>
          </w:p>
        </w:tc>
      </w:tr>
      <w:tr>
        <w:trPr>
          <w:trHeight w:val="311"/>
        </w:trPr>
        <w:tc>
          <w:tcPr>
            <w:tcW w:w="9400" w:type="dxa"/>
            <w:vAlign w:val="bottom"/>
            <w:gridSpan w:val="3"/>
          </w:tcPr>
          <w:p>
            <w:pPr>
              <w:spacing w:after="0"/>
              <w:rPr>
                <w:sz w:val="20"/>
                <w:szCs w:val="20"/>
                <w:color w:val="auto"/>
              </w:rPr>
            </w:pPr>
            <w:r>
              <w:rPr>
                <w:rFonts w:ascii="Arial" w:cs="Arial" w:eastAsia="Arial" w:hAnsi="Arial"/>
                <w:sz w:val="22"/>
                <w:szCs w:val="22"/>
                <w:color w:val="auto"/>
              </w:rPr>
              <w:t>Section 7.  Prohibition Against Transfer</w:t>
            </w:r>
          </w:p>
        </w:tc>
        <w:tc>
          <w:tcPr>
            <w:tcW w:w="1520" w:type="dxa"/>
            <w:vAlign w:val="bottom"/>
          </w:tcPr>
          <w:p>
            <w:pPr>
              <w:ind w:left="1280"/>
              <w:spacing w:after="0"/>
              <w:rPr>
                <w:sz w:val="20"/>
                <w:szCs w:val="20"/>
                <w:color w:val="auto"/>
              </w:rPr>
            </w:pPr>
            <w:r>
              <w:rPr>
                <w:rFonts w:ascii="Arial" w:cs="Arial" w:eastAsia="Arial" w:hAnsi="Arial"/>
                <w:sz w:val="22"/>
                <w:szCs w:val="22"/>
                <w:color w:val="auto"/>
              </w:rPr>
              <w:t>7</w:t>
            </w:r>
          </w:p>
        </w:tc>
      </w:tr>
      <w:tr>
        <w:trPr>
          <w:trHeight w:val="310"/>
        </w:trPr>
        <w:tc>
          <w:tcPr>
            <w:tcW w:w="1060" w:type="dxa"/>
            <w:vAlign w:val="bottom"/>
          </w:tcPr>
          <w:p>
            <w:pPr>
              <w:spacing w:after="0"/>
              <w:rPr>
                <w:sz w:val="20"/>
                <w:szCs w:val="20"/>
                <w:color w:val="auto"/>
              </w:rPr>
            </w:pPr>
            <w:r>
              <w:rPr>
                <w:rFonts w:ascii="Arial" w:cs="Arial" w:eastAsia="Arial" w:hAnsi="Arial"/>
                <w:sz w:val="22"/>
                <w:szCs w:val="22"/>
                <w:color w:val="auto"/>
              </w:rPr>
              <w:t>Section 8.</w:t>
            </w:r>
          </w:p>
        </w:tc>
        <w:tc>
          <w:tcPr>
            <w:tcW w:w="8340" w:type="dxa"/>
            <w:vAlign w:val="bottom"/>
            <w:gridSpan w:val="2"/>
          </w:tcPr>
          <w:p>
            <w:pPr>
              <w:ind w:left="120"/>
              <w:spacing w:after="0"/>
              <w:rPr>
                <w:sz w:val="20"/>
                <w:szCs w:val="20"/>
                <w:color w:val="auto"/>
              </w:rPr>
            </w:pPr>
            <w:r>
              <w:rPr>
                <w:rFonts w:ascii="Arial" w:cs="Arial" w:eastAsia="Arial" w:hAnsi="Arial"/>
                <w:sz w:val="22"/>
                <w:szCs w:val="22"/>
                <w:color w:val="auto"/>
              </w:rPr>
              <w:t>Responsibility for Taxes</w:t>
            </w:r>
          </w:p>
        </w:tc>
        <w:tc>
          <w:tcPr>
            <w:tcW w:w="1520" w:type="dxa"/>
            <w:vAlign w:val="bottom"/>
          </w:tcPr>
          <w:p>
            <w:pPr>
              <w:ind w:left="1280"/>
              <w:spacing w:after="0"/>
              <w:rPr>
                <w:sz w:val="20"/>
                <w:szCs w:val="20"/>
                <w:color w:val="auto"/>
              </w:rPr>
            </w:pPr>
            <w:r>
              <w:rPr>
                <w:rFonts w:ascii="Arial" w:cs="Arial" w:eastAsia="Arial" w:hAnsi="Arial"/>
                <w:sz w:val="22"/>
                <w:szCs w:val="22"/>
                <w:color w:val="auto"/>
              </w:rPr>
              <w:t>7</w:t>
            </w:r>
          </w:p>
        </w:tc>
      </w:tr>
      <w:tr>
        <w:trPr>
          <w:trHeight w:val="311"/>
        </w:trPr>
        <w:tc>
          <w:tcPr>
            <w:tcW w:w="1060" w:type="dxa"/>
            <w:vAlign w:val="bottom"/>
          </w:tcPr>
          <w:p>
            <w:pPr>
              <w:spacing w:after="0"/>
              <w:rPr>
                <w:sz w:val="20"/>
                <w:szCs w:val="20"/>
                <w:color w:val="auto"/>
              </w:rPr>
            </w:pPr>
            <w:r>
              <w:rPr>
                <w:rFonts w:ascii="Arial" w:cs="Arial" w:eastAsia="Arial" w:hAnsi="Arial"/>
                <w:sz w:val="22"/>
                <w:szCs w:val="22"/>
                <w:color w:val="auto"/>
              </w:rPr>
              <w:t>Section 9.</w:t>
            </w:r>
          </w:p>
        </w:tc>
        <w:tc>
          <w:tcPr>
            <w:tcW w:w="834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1520" w:type="dxa"/>
            <w:vAlign w:val="bottom"/>
          </w:tcPr>
          <w:p>
            <w:pPr>
              <w:ind w:left="1280"/>
              <w:spacing w:after="0"/>
              <w:rPr>
                <w:sz w:val="20"/>
                <w:szCs w:val="20"/>
                <w:color w:val="auto"/>
              </w:rPr>
            </w:pPr>
            <w:r>
              <w:rPr>
                <w:rFonts w:ascii="Arial" w:cs="Arial" w:eastAsia="Arial" w:hAnsi="Arial"/>
                <w:sz w:val="22"/>
                <w:szCs w:val="22"/>
                <w:color w:val="auto"/>
              </w:rPr>
              <w:t>9</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10.</w:t>
            </w:r>
          </w:p>
        </w:tc>
        <w:tc>
          <w:tcPr>
            <w:tcW w:w="8280" w:type="dxa"/>
            <w:vAlign w:val="bottom"/>
          </w:tcPr>
          <w:p>
            <w:pPr>
              <w:ind w:left="180"/>
              <w:spacing w:after="0"/>
              <w:rPr>
                <w:sz w:val="20"/>
                <w:szCs w:val="20"/>
                <w:color w:val="auto"/>
              </w:rPr>
            </w:pPr>
            <w:r>
              <w:rPr>
                <w:rFonts w:ascii="Arial" w:cs="Arial" w:eastAsia="Arial" w:hAnsi="Arial"/>
                <w:sz w:val="22"/>
                <w:szCs w:val="22"/>
                <w:color w:val="auto"/>
              </w:rPr>
              <w:t>Grantee’s Acknowledgment</w:t>
            </w:r>
          </w:p>
        </w:tc>
        <w:tc>
          <w:tcPr>
            <w:tcW w:w="1520" w:type="dxa"/>
            <w:vAlign w:val="bottom"/>
          </w:tcPr>
          <w:p>
            <w:pPr>
              <w:ind w:left="1280"/>
              <w:spacing w:after="0"/>
              <w:rPr>
                <w:sz w:val="20"/>
                <w:szCs w:val="20"/>
                <w:color w:val="auto"/>
              </w:rPr>
            </w:pPr>
            <w:r>
              <w:rPr>
                <w:rFonts w:ascii="Arial" w:cs="Arial" w:eastAsia="Arial" w:hAnsi="Arial"/>
                <w:sz w:val="22"/>
                <w:szCs w:val="22"/>
                <w:color w:val="auto"/>
              </w:rPr>
              <w:t>9</w:t>
            </w:r>
          </w:p>
        </w:tc>
      </w:tr>
      <w:tr>
        <w:trPr>
          <w:trHeight w:val="311"/>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11.</w:t>
            </w:r>
          </w:p>
        </w:tc>
        <w:tc>
          <w:tcPr>
            <w:tcW w:w="828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1520" w:type="dxa"/>
            <w:vAlign w:val="bottom"/>
          </w:tcPr>
          <w:p>
            <w:pPr>
              <w:ind w:left="1280"/>
              <w:spacing w:after="0"/>
              <w:rPr>
                <w:sz w:val="20"/>
                <w:szCs w:val="20"/>
                <w:color w:val="auto"/>
              </w:rPr>
            </w:pPr>
            <w:r>
              <w:rPr>
                <w:rFonts w:ascii="Arial" w:cs="Arial" w:eastAsia="Arial" w:hAnsi="Arial"/>
                <w:sz w:val="22"/>
                <w:szCs w:val="22"/>
                <w:color w:val="auto"/>
                <w:w w:val="89"/>
              </w:rPr>
              <w:t>10</w:t>
            </w:r>
          </w:p>
        </w:tc>
      </w:tr>
      <w:tr>
        <w:trPr>
          <w:trHeight w:val="310"/>
        </w:trPr>
        <w:tc>
          <w:tcPr>
            <w:tcW w:w="9400" w:type="dxa"/>
            <w:vAlign w:val="bottom"/>
            <w:gridSpan w:val="3"/>
          </w:tcPr>
          <w:p>
            <w:pPr>
              <w:spacing w:after="0"/>
              <w:rPr>
                <w:sz w:val="20"/>
                <w:szCs w:val="20"/>
                <w:color w:val="auto"/>
              </w:rPr>
            </w:pPr>
            <w:r>
              <w:rPr>
                <w:rFonts w:ascii="Arial" w:cs="Arial" w:eastAsia="Arial" w:hAnsi="Arial"/>
                <w:sz w:val="22"/>
                <w:szCs w:val="22"/>
                <w:color w:val="auto"/>
              </w:rPr>
              <w:t>Section 12.  Restrictive Covenants, Remedies, and Additional Terms and Conditions</w:t>
            </w:r>
          </w:p>
        </w:tc>
        <w:tc>
          <w:tcPr>
            <w:tcW w:w="1520" w:type="dxa"/>
            <w:vAlign w:val="bottom"/>
          </w:tcPr>
          <w:p>
            <w:pPr>
              <w:ind w:left="1280"/>
              <w:spacing w:after="0"/>
              <w:rPr>
                <w:sz w:val="20"/>
                <w:szCs w:val="20"/>
                <w:color w:val="auto"/>
              </w:rPr>
            </w:pPr>
            <w:r>
              <w:rPr>
                <w:rFonts w:ascii="Arial" w:cs="Arial" w:eastAsia="Arial" w:hAnsi="Arial"/>
                <w:sz w:val="22"/>
                <w:szCs w:val="22"/>
                <w:color w:val="auto"/>
                <w:w w:val="89"/>
              </w:rPr>
              <w:t>11</w:t>
            </w:r>
          </w:p>
        </w:tc>
      </w:tr>
      <w:tr>
        <w:trPr>
          <w:trHeight w:val="310"/>
        </w:trPr>
        <w:tc>
          <w:tcPr>
            <w:tcW w:w="9400" w:type="dxa"/>
            <w:vAlign w:val="bottom"/>
            <w:gridSpan w:val="3"/>
          </w:tcPr>
          <w:p>
            <w:pPr>
              <w:spacing w:after="0"/>
              <w:rPr>
                <w:sz w:val="20"/>
                <w:szCs w:val="20"/>
                <w:color w:val="auto"/>
              </w:rPr>
            </w:pPr>
            <w:r>
              <w:rPr>
                <w:rFonts w:ascii="Arial" w:cs="Arial" w:eastAsia="Arial" w:hAnsi="Arial"/>
                <w:sz w:val="22"/>
                <w:szCs w:val="22"/>
                <w:color w:val="auto"/>
              </w:rPr>
              <w:t>Section 13.  Governing Law and Choice of Venue</w:t>
            </w:r>
          </w:p>
        </w:tc>
        <w:tc>
          <w:tcPr>
            <w:tcW w:w="1520" w:type="dxa"/>
            <w:vAlign w:val="bottom"/>
          </w:tcPr>
          <w:p>
            <w:pPr>
              <w:ind w:left="1280"/>
              <w:spacing w:after="0"/>
              <w:rPr>
                <w:sz w:val="20"/>
                <w:szCs w:val="20"/>
                <w:color w:val="auto"/>
              </w:rPr>
            </w:pPr>
            <w:r>
              <w:rPr>
                <w:rFonts w:ascii="Arial" w:cs="Arial" w:eastAsia="Arial" w:hAnsi="Arial"/>
                <w:sz w:val="22"/>
                <w:szCs w:val="22"/>
                <w:color w:val="auto"/>
                <w:w w:val="89"/>
              </w:rPr>
              <w:t>14</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14.</w:t>
            </w:r>
          </w:p>
        </w:tc>
        <w:tc>
          <w:tcPr>
            <w:tcW w:w="828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1520" w:type="dxa"/>
            <w:vAlign w:val="bottom"/>
          </w:tcPr>
          <w:p>
            <w:pPr>
              <w:ind w:left="1280"/>
              <w:spacing w:after="0"/>
              <w:rPr>
                <w:sz w:val="20"/>
                <w:szCs w:val="20"/>
                <w:color w:val="auto"/>
              </w:rPr>
            </w:pPr>
            <w:r>
              <w:rPr>
                <w:rFonts w:ascii="Arial" w:cs="Arial" w:eastAsia="Arial" w:hAnsi="Arial"/>
                <w:sz w:val="22"/>
                <w:szCs w:val="22"/>
                <w:color w:val="auto"/>
                <w:w w:val="89"/>
              </w:rPr>
              <w:t>14</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15.</w:t>
            </w:r>
          </w:p>
        </w:tc>
        <w:tc>
          <w:tcPr>
            <w:tcW w:w="8280" w:type="dxa"/>
            <w:vAlign w:val="bottom"/>
          </w:tcPr>
          <w:p>
            <w:pPr>
              <w:ind w:left="180"/>
              <w:spacing w:after="0"/>
              <w:rPr>
                <w:sz w:val="20"/>
                <w:szCs w:val="20"/>
                <w:color w:val="auto"/>
              </w:rPr>
            </w:pPr>
            <w:r>
              <w:rPr>
                <w:rFonts w:ascii="Arial" w:cs="Arial" w:eastAsia="Arial" w:hAnsi="Arial"/>
                <w:sz w:val="22"/>
                <w:szCs w:val="22"/>
                <w:color w:val="auto"/>
              </w:rPr>
              <w:t>Compensation Recovery</w:t>
            </w:r>
          </w:p>
        </w:tc>
        <w:tc>
          <w:tcPr>
            <w:tcW w:w="1520" w:type="dxa"/>
            <w:vAlign w:val="bottom"/>
          </w:tcPr>
          <w:p>
            <w:pPr>
              <w:ind w:left="1280"/>
              <w:spacing w:after="0"/>
              <w:rPr>
                <w:sz w:val="20"/>
                <w:szCs w:val="20"/>
                <w:color w:val="auto"/>
              </w:rPr>
            </w:pPr>
            <w:r>
              <w:rPr>
                <w:rFonts w:ascii="Arial" w:cs="Arial" w:eastAsia="Arial" w:hAnsi="Arial"/>
                <w:sz w:val="22"/>
                <w:szCs w:val="22"/>
                <w:color w:val="auto"/>
                <w:w w:val="89"/>
              </w:rPr>
              <w:t>15</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16.</w:t>
            </w:r>
          </w:p>
        </w:tc>
        <w:tc>
          <w:tcPr>
            <w:tcW w:w="8280" w:type="dxa"/>
            <w:vAlign w:val="bottom"/>
          </w:tcPr>
          <w:p>
            <w:pPr>
              <w:ind w:left="180"/>
              <w:spacing w:after="0"/>
              <w:rPr>
                <w:sz w:val="20"/>
                <w:szCs w:val="20"/>
                <w:color w:val="auto"/>
              </w:rPr>
            </w:pPr>
            <w:r>
              <w:rPr>
                <w:rFonts w:ascii="Arial" w:cs="Arial" w:eastAsia="Arial" w:hAnsi="Arial"/>
                <w:sz w:val="22"/>
                <w:szCs w:val="22"/>
                <w:color w:val="auto"/>
              </w:rPr>
              <w:t>Award Subject to Acknowledgement of Acceptance</w:t>
            </w:r>
          </w:p>
        </w:tc>
        <w:tc>
          <w:tcPr>
            <w:tcW w:w="1520" w:type="dxa"/>
            <w:vAlign w:val="bottom"/>
          </w:tcPr>
          <w:p>
            <w:pPr>
              <w:ind w:left="1280"/>
              <w:spacing w:after="0"/>
              <w:rPr>
                <w:sz w:val="20"/>
                <w:szCs w:val="20"/>
                <w:color w:val="auto"/>
              </w:rPr>
            </w:pPr>
            <w:r>
              <w:rPr>
                <w:rFonts w:ascii="Arial" w:cs="Arial" w:eastAsia="Arial" w:hAnsi="Arial"/>
                <w:sz w:val="22"/>
                <w:szCs w:val="22"/>
                <w:color w:val="auto"/>
                <w:w w:val="89"/>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Page 2</w:t>
      </w:r>
    </w:p>
    <w:p>
      <w:pPr>
        <w:sectPr>
          <w:pgSz w:w="11900" w:h="16838" w:orient="portrait"/>
          <w:cols w:equalWidth="0" w:num="1">
            <w:col w:w="11000"/>
          </w:cols>
          <w:pgMar w:left="320" w:top="363" w:right="57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Eli Lilly and Company Relative Value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1.</w:t>
        <w:tab/>
        <w:t>Grant of Relative Value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auto"/>
        </w:rPr>
        <w:t>http://myequity.lilly.com</w:t>
      </w:r>
      <w:r>
        <w:rPr>
          <w:rFonts w:ascii="Arial" w:cs="Arial" w:eastAsia="Arial" w:hAnsi="Arial"/>
          <w:sz w:val="22"/>
          <w:szCs w:val="22"/>
          <w:color w:val="auto"/>
        </w:rPr>
        <w:t>. (the "Target Number of Shares").</w:t>
      </w:r>
    </w:p>
    <w:p>
      <w:pPr>
        <w:spacing w:after="0" w:line="65"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 except with respect to the provisions described in Section 12 below (in which case, the terms of the Award Agreement shall govern).</w:t>
      </w:r>
    </w:p>
    <w:p>
      <w:pPr>
        <w:spacing w:after="0" w:line="205" w:lineRule="exact"/>
        <w:rPr>
          <w:sz w:val="20"/>
          <w:szCs w:val="20"/>
          <w:color w:val="auto"/>
        </w:rPr>
      </w:pPr>
    </w:p>
    <w:p>
      <w:pPr>
        <w:jc w:val="both"/>
        <w:ind w:left="42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22"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67" w:lineRule="exact"/>
        <w:rPr>
          <w:sz w:val="20"/>
          <w:szCs w:val="20"/>
          <w:color w:val="auto"/>
        </w:rPr>
      </w:pPr>
    </w:p>
    <w:p>
      <w:pPr>
        <w:jc w:val="both"/>
        <w:ind w:left="1300" w:right="640" w:hanging="644"/>
        <w:spacing w:after="0" w:line="215" w:lineRule="auto"/>
        <w:tabs>
          <w:tab w:leader="none" w:pos="1291" w:val="left"/>
        </w:tabs>
        <w:numPr>
          <w:ilvl w:val="0"/>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Payout Multiple</w:t>
      </w:r>
      <w:r>
        <w:rPr>
          <w:rFonts w:ascii="Arial" w:cs="Arial" w:eastAsia="Arial" w:hAnsi="Arial"/>
          <w:sz w:val="22"/>
          <w:szCs w:val="22"/>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65" w:lineRule="exact"/>
        <w:rPr>
          <w:rFonts w:ascii="Arial" w:cs="Arial" w:eastAsia="Arial" w:hAnsi="Arial"/>
          <w:sz w:val="22"/>
          <w:szCs w:val="22"/>
          <w:color w:val="auto"/>
        </w:rPr>
      </w:pPr>
    </w:p>
    <w:p>
      <w:pPr>
        <w:jc w:val="both"/>
        <w:ind w:left="1300" w:right="640" w:hanging="644"/>
        <w:spacing w:after="0" w:line="218" w:lineRule="auto"/>
        <w:tabs>
          <w:tab w:leader="none" w:pos="1291" w:val="left"/>
        </w:tabs>
        <w:numPr>
          <w:ilvl w:val="0"/>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66" w:lineRule="exact"/>
        <w:rPr>
          <w:rFonts w:ascii="Arial" w:cs="Arial" w:eastAsia="Arial" w:hAnsi="Arial"/>
          <w:sz w:val="22"/>
          <w:szCs w:val="22"/>
          <w:color w:val="auto"/>
        </w:rPr>
      </w:pPr>
    </w:p>
    <w:p>
      <w:pPr>
        <w:jc w:val="both"/>
        <w:ind w:left="1300" w:right="640" w:hanging="644"/>
        <w:spacing w:after="0" w:line="225" w:lineRule="auto"/>
        <w:tabs>
          <w:tab w:leader="none" w:pos="1292" w:val="left"/>
        </w:tabs>
        <w:numPr>
          <w:ilvl w:val="0"/>
          <w:numId w:val="2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Shareholder Return</w:t>
      </w:r>
      <w:r>
        <w:rPr>
          <w:rFonts w:ascii="Arial" w:cs="Arial" w:eastAsia="Arial" w:hAnsi="Arial"/>
          <w:sz w:val="21"/>
          <w:szCs w:val="21"/>
          <w:color w:val="auto"/>
        </w:rPr>
        <w:t>” or “</w:t>
      </w:r>
      <w:r>
        <w:rPr>
          <w:rFonts w:ascii="Arial" w:cs="Arial" w:eastAsia="Arial" w:hAnsi="Arial"/>
          <w:sz w:val="21"/>
          <w:szCs w:val="21"/>
          <w:u w:val="single" w:color="auto"/>
          <w:color w:val="auto"/>
        </w:rPr>
        <w:t>TSR</w:t>
      </w:r>
      <w:r>
        <w:rPr>
          <w:rFonts w:ascii="Arial" w:cs="Arial" w:eastAsia="Arial" w:hAnsi="Arial"/>
          <w:sz w:val="21"/>
          <w:szCs w:val="21"/>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66" w:lineRule="exact"/>
        <w:rPr>
          <w:rFonts w:ascii="Arial" w:cs="Arial" w:eastAsia="Arial" w:hAnsi="Arial"/>
          <w:sz w:val="21"/>
          <w:szCs w:val="21"/>
          <w:color w:val="auto"/>
        </w:rPr>
      </w:pPr>
    </w:p>
    <w:p>
      <w:pPr>
        <w:jc w:val="both"/>
        <w:ind w:left="1300" w:right="1300"/>
        <w:spacing w:after="0" w:line="215" w:lineRule="auto"/>
        <w:rPr>
          <w:rFonts w:ascii="Arial" w:cs="Arial" w:eastAsia="Arial" w:hAnsi="Arial"/>
          <w:sz w:val="21"/>
          <w:szCs w:val="21"/>
          <w:color w:val="auto"/>
        </w:rPr>
      </w:pPr>
      <w:r>
        <w:rPr>
          <w:rFonts w:ascii="Arial" w:cs="Arial" w:eastAsia="Arial" w:hAnsi="Arial"/>
          <w:sz w:val="22"/>
          <w:szCs w:val="22"/>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65" w:lineRule="exact"/>
        <w:rPr>
          <w:rFonts w:ascii="Arial" w:cs="Arial" w:eastAsia="Arial" w:hAnsi="Arial"/>
          <w:sz w:val="21"/>
          <w:szCs w:val="21"/>
          <w:color w:val="auto"/>
        </w:rPr>
      </w:pPr>
    </w:p>
    <w:p>
      <w:pPr>
        <w:jc w:val="both"/>
        <w:ind w:left="1300" w:right="1300" w:hanging="644"/>
        <w:spacing w:after="0" w:line="215" w:lineRule="auto"/>
        <w:tabs>
          <w:tab w:leader="none" w:pos="1291" w:val="left"/>
        </w:tabs>
        <w:numPr>
          <w:ilvl w:val="0"/>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Relative 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rTSR</w:t>
      </w:r>
      <w:r>
        <w:rPr>
          <w:rFonts w:ascii="Arial" w:cs="Arial" w:eastAsia="Arial" w:hAnsi="Arial"/>
          <w:sz w:val="22"/>
          <w:szCs w:val="22"/>
          <w:color w:val="auto"/>
        </w:rPr>
        <w:t>” shall mean the comparison between Lilly’s TSR and the TSR of the Peer Group over the Performance Period, measured as the absolute percentage point difference in the performance of the Company’s TSR compared to the Peer Group’s median TSR.</w:t>
      </w:r>
    </w:p>
    <w:p>
      <w:pPr>
        <w:spacing w:after="0" w:line="65" w:lineRule="exact"/>
        <w:rPr>
          <w:rFonts w:ascii="Arial" w:cs="Arial" w:eastAsia="Arial" w:hAnsi="Arial"/>
          <w:sz w:val="22"/>
          <w:szCs w:val="22"/>
          <w:color w:val="auto"/>
        </w:rPr>
      </w:pPr>
    </w:p>
    <w:p>
      <w:pPr>
        <w:jc w:val="both"/>
        <w:ind w:left="1300" w:right="1300" w:hanging="644"/>
        <w:spacing w:after="0" w:line="218" w:lineRule="auto"/>
        <w:tabs>
          <w:tab w:leader="none" w:pos="1291" w:val="left"/>
        </w:tabs>
        <w:numPr>
          <w:ilvl w:val="0"/>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Common Stock on the New York Stock Exchange or a share of each Peer Group company’s stock, as applicable, for each</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w:t>
      </w:r>
    </w:p>
    <w:p>
      <w:pPr>
        <w:sectPr>
          <w:pgSz w:w="11900" w:h="16838" w:orient="portrait"/>
          <w:cols w:equalWidth="0" w:num="1">
            <w:col w:w="11240"/>
          </w:cols>
          <w:pgMar w:left="320" w:top="363" w:right="33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right="1300"/>
        <w:spacing w:after="0" w:line="225" w:lineRule="auto"/>
        <w:rPr>
          <w:sz w:val="20"/>
          <w:szCs w:val="20"/>
          <w:color w:val="auto"/>
        </w:rPr>
      </w:pPr>
      <w:r>
        <w:rPr>
          <w:rFonts w:ascii="Arial" w:cs="Arial" w:eastAsia="Arial" w:hAnsi="Arial"/>
          <w:sz w:val="22"/>
          <w:szCs w:val="22"/>
          <w:color w:val="auto"/>
        </w:rPr>
        <w:t>trading day in the two month period immediately preceding the Performance Period, rounded to the nearest cent.</w:t>
      </w:r>
    </w:p>
    <w:p>
      <w:pPr>
        <w:spacing w:after="0" w:line="66" w:lineRule="exact"/>
        <w:rPr>
          <w:sz w:val="20"/>
          <w:szCs w:val="20"/>
          <w:color w:val="auto"/>
        </w:rPr>
      </w:pPr>
    </w:p>
    <w:p>
      <w:pPr>
        <w:jc w:val="both"/>
        <w:ind w:left="1300" w:right="1300" w:hanging="644"/>
        <w:spacing w:after="0" w:line="215" w:lineRule="auto"/>
        <w:tabs>
          <w:tab w:leader="none" w:pos="1299"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Peer Stock Price</w:t>
      </w:r>
      <w:r>
        <w:rPr>
          <w:rFonts w:ascii="Arial" w:cs="Arial" w:eastAsia="Arial" w:hAnsi="Arial"/>
          <w:sz w:val="22"/>
          <w:szCs w:val="22"/>
          <w:color w:val="auto"/>
        </w:rPr>
        <w:t>” shall mean the average of the closing price of a share of each Peer Group company’s stock, on Nasdaq, the New York Stock Exchange, or other market where an independent share price can be determined, for each trading day in the last two months of the Performance Period, rounded to the nearest cent.</w:t>
      </w:r>
    </w:p>
    <w:p>
      <w:pPr>
        <w:spacing w:after="0" w:line="65" w:lineRule="exact"/>
        <w:rPr>
          <w:rFonts w:ascii="Arial" w:cs="Arial" w:eastAsia="Arial" w:hAnsi="Arial"/>
          <w:sz w:val="22"/>
          <w:szCs w:val="22"/>
          <w:color w:val="auto"/>
        </w:rPr>
      </w:pPr>
    </w:p>
    <w:p>
      <w:pPr>
        <w:ind w:left="1300" w:right="1300" w:hanging="644"/>
        <w:spacing w:after="0" w:line="225" w:lineRule="auto"/>
        <w:tabs>
          <w:tab w:leader="none" w:pos="1291"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Performance Period.</w:t>
      </w:r>
    </w:p>
    <w:p>
      <w:pPr>
        <w:spacing w:after="0" w:line="65" w:lineRule="exact"/>
        <w:rPr>
          <w:rFonts w:ascii="Arial" w:cs="Arial" w:eastAsia="Arial" w:hAnsi="Arial"/>
          <w:sz w:val="22"/>
          <w:szCs w:val="22"/>
          <w:color w:val="auto"/>
        </w:rPr>
      </w:pPr>
    </w:p>
    <w:p>
      <w:pPr>
        <w:jc w:val="both"/>
        <w:ind w:left="1300" w:right="1300" w:hanging="644"/>
        <w:spacing w:after="0" w:line="213" w:lineRule="auto"/>
        <w:tabs>
          <w:tab w:leader="none" w:pos="1291" w:val="left"/>
        </w:tabs>
        <w:numPr>
          <w:ilvl w:val="0"/>
          <w:numId w:val="2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65" w:lineRule="exact"/>
        <w:rPr>
          <w:sz w:val="20"/>
          <w:szCs w:val="20"/>
          <w:color w:val="auto"/>
        </w:rPr>
      </w:pPr>
    </w:p>
    <w:p>
      <w:pPr>
        <w:jc w:val="both"/>
        <w:ind w:left="420" w:right="20"/>
        <w:spacing w:after="0" w:line="225"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76"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in employment status of the Grantee during the Performance Period will be as follows:</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hanging="644"/>
        <w:spacing w:after="0" w:line="211" w:lineRule="auto"/>
        <w:tabs>
          <w:tab w:leader="none" w:pos="1291"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Retirement; Death; Disability</w:t>
      </w:r>
      <w:r>
        <w:rPr>
          <w:rFonts w:ascii="Arial" w:cs="Arial" w:eastAsia="Arial" w:hAnsi="Arial"/>
          <w:sz w:val="22"/>
          <w:szCs w:val="22"/>
          <w:color w:val="auto"/>
        </w:rPr>
        <w:t>. Except as otherwise provided below (including Section 12), in the event the Grantee’s Service is terminated (i) on or following the Retirement Vesting Date due to the Grantee’s Retirement, (ii) due to the Grantee’s death, or (iii)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69" w:lineRule="exact"/>
        <w:rPr>
          <w:rFonts w:ascii="Arial" w:cs="Arial" w:eastAsia="Arial" w:hAnsi="Arial"/>
          <w:sz w:val="22"/>
          <w:szCs w:val="22"/>
          <w:color w:val="auto"/>
        </w:rPr>
      </w:pPr>
    </w:p>
    <w:p>
      <w:pPr>
        <w:jc w:val="both"/>
        <w:ind w:left="1300"/>
        <w:spacing w:after="0" w:line="214" w:lineRule="auto"/>
        <w:rPr>
          <w:rFonts w:ascii="Arial" w:cs="Arial" w:eastAsia="Arial" w:hAnsi="Arial"/>
          <w:sz w:val="22"/>
          <w:szCs w:val="22"/>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(E) otherwise determined to be a retired employee in the sole discretion of the Company.</w:t>
      </w:r>
    </w:p>
    <w:p>
      <w:pPr>
        <w:spacing w:after="0" w:line="71"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“Retirement Vesting Date” means the date that is on or following December 31 immediately following the commencement of the Performance Period.</w:t>
      </w:r>
    </w:p>
    <w:p>
      <w:pPr>
        <w:spacing w:after="0" w:line="66"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w:t>
      </w:r>
    </w:p>
    <w:p>
      <w:pPr>
        <w:sectPr>
          <w:pgSz w:w="11900" w:h="16838" w:orient="portrait"/>
          <w:cols w:equalWidth="0" w:num="1">
            <w:col w:w="11240"/>
          </w:cols>
          <w:pgMar w:left="320" w:top="363" w:right="3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5" w:lineRule="exact"/>
        <w:rPr>
          <w:sz w:val="20"/>
          <w:szCs w:val="20"/>
          <w:color w:val="auto"/>
        </w:rPr>
      </w:pPr>
    </w:p>
    <w:p>
      <w:pPr>
        <w:jc w:val="both"/>
        <w:ind w:left="1300" w:hanging="644"/>
        <w:spacing w:after="0" w:line="215" w:lineRule="auto"/>
        <w:tabs>
          <w:tab w:leader="none" w:pos="1292"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Shares eligible to vest shall be the number determined in accordance with Section 2 above, reduced proportionally for the portion of the total days during the Performance Period in which the Grantee was not in active Service.</w:t>
      </w:r>
    </w:p>
    <w:p>
      <w:pPr>
        <w:spacing w:after="0" w:line="65" w:lineRule="exact"/>
        <w:rPr>
          <w:rFonts w:ascii="Arial" w:cs="Arial" w:eastAsia="Arial" w:hAnsi="Arial"/>
          <w:sz w:val="22"/>
          <w:szCs w:val="22"/>
          <w:color w:val="auto"/>
        </w:rPr>
      </w:pPr>
    </w:p>
    <w:p>
      <w:pPr>
        <w:ind w:left="1300" w:right="20"/>
        <w:spacing w:after="0" w:line="225" w:lineRule="auto"/>
        <w:rPr>
          <w:rFonts w:ascii="Arial" w:cs="Arial" w:eastAsia="Arial" w:hAnsi="Arial"/>
          <w:sz w:val="22"/>
          <w:szCs w:val="22"/>
          <w:color w:val="auto"/>
        </w:rPr>
      </w:pPr>
      <w:r>
        <w:rPr>
          <w:rFonts w:ascii="Arial" w:cs="Arial" w:eastAsia="Arial" w:hAnsi="Arial"/>
          <w:sz w:val="22"/>
          <w:szCs w:val="22"/>
          <w:color w:val="auto"/>
        </w:rPr>
        <w:t>For purposes of this Award Agreement, a “Qualifying Termination” means the termination of the Grantee's Service under any one of the following circumstances:</w:t>
      </w:r>
    </w:p>
    <w:p>
      <w:pPr>
        <w:spacing w:after="0" w:line="65" w:lineRule="exact"/>
        <w:rPr>
          <w:rFonts w:ascii="Arial" w:cs="Arial" w:eastAsia="Arial" w:hAnsi="Arial"/>
          <w:sz w:val="22"/>
          <w:szCs w:val="22"/>
          <w:color w:val="auto"/>
        </w:rPr>
      </w:pPr>
    </w:p>
    <w:p>
      <w:pPr>
        <w:ind w:left="1960" w:hanging="332"/>
        <w:spacing w:after="0"/>
        <w:tabs>
          <w:tab w:leader="none" w:pos="196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18" w:lineRule="auto"/>
        <w:tabs>
          <w:tab w:leader="none" w:pos="1954" w:val="left"/>
        </w:tabs>
        <w:numPr>
          <w:ilvl w:val="1"/>
          <w:numId w:val="238"/>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1300" w:right="76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300" w:right="10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65" w:lineRule="exact"/>
        <w:rPr>
          <w:sz w:val="20"/>
          <w:szCs w:val="20"/>
          <w:color w:val="auto"/>
        </w:rPr>
      </w:pPr>
    </w:p>
    <w:p>
      <w:pPr>
        <w:jc w:val="both"/>
        <w:ind w:left="1300" w:hanging="644"/>
        <w:spacing w:after="0" w:line="210" w:lineRule="auto"/>
        <w:tabs>
          <w:tab w:leader="none" w:pos="1291"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5" w:lineRule="exact"/>
        <w:rPr>
          <w:sz w:val="20"/>
          <w:szCs w:val="20"/>
          <w:color w:val="auto"/>
        </w:rPr>
      </w:pPr>
    </w:p>
    <w:p>
      <w:pPr>
        <w:jc w:val="both"/>
        <w:ind w:left="420"/>
        <w:spacing w:after="0" w:line="211" w:lineRule="auto"/>
        <w:rPr>
          <w:sz w:val="20"/>
          <w:szCs w:val="20"/>
          <w:color w:val="auto"/>
        </w:rPr>
      </w:pPr>
      <w:r>
        <w:rPr>
          <w:rFonts w:ascii="Arial" w:cs="Arial" w:eastAsia="Arial" w:hAnsi="Arial"/>
          <w:sz w:val="22"/>
          <w:szCs w:val="22"/>
          <w:color w:val="auto"/>
        </w:rPr>
        <w:t>The Committee’s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result a direct result of either a plant closing or a reduction in force and (4) the Grantee’s Service has been terminated of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4.</w:t>
        <w:tab/>
        <w:t>Change in Control</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jc w:val="both"/>
        <w:ind w:left="1300" w:hanging="644"/>
        <w:spacing w:after="0" w:line="218" w:lineRule="auto"/>
        <w:tabs>
          <w:tab w:leader="none" w:pos="1291"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66"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w:t>
      </w:r>
    </w:p>
    <w:p>
      <w:pPr>
        <w:sectPr>
          <w:pgSz w:w="11900" w:h="16838" w:orient="portrait"/>
          <w:cols w:equalWidth="0" w:num="1">
            <w:col w:w="11240"/>
          </w:cols>
          <w:pgMar w:left="320" w:top="363" w:right="3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 on the last day of the Performance Period, subject to the Grantee’s continued Service through the last day of the Performance Period, except as provided below:</w:t>
      </w:r>
    </w:p>
    <w:p>
      <w:pPr>
        <w:spacing w:after="0" w:line="69" w:lineRule="exact"/>
        <w:rPr>
          <w:sz w:val="20"/>
          <w:szCs w:val="20"/>
          <w:color w:val="auto"/>
        </w:rPr>
      </w:pPr>
    </w:p>
    <w:p>
      <w:pPr>
        <w:jc w:val="both"/>
        <w:ind w:left="1960" w:hanging="332"/>
        <w:spacing w:after="0" w:line="215" w:lineRule="auto"/>
        <w:tabs>
          <w:tab w:leader="none" w:pos="19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54" w:val="left"/>
        </w:tabs>
        <w:numPr>
          <w:ilvl w:val="0"/>
          <w:numId w:val="241"/>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65"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79" w:lineRule="exact"/>
        <w:rPr>
          <w:sz w:val="20"/>
          <w:szCs w:val="20"/>
          <w:color w:val="auto"/>
        </w:rPr>
      </w:pPr>
    </w:p>
    <w:p>
      <w:pPr>
        <w:jc w:val="both"/>
        <w:ind w:left="1300" w:hanging="644"/>
        <w:spacing w:after="0" w:line="212" w:lineRule="auto"/>
        <w:tabs>
          <w:tab w:leader="none" w:pos="1293" w:val="left"/>
        </w:tabs>
        <w:numPr>
          <w:ilvl w:val="0"/>
          <w:numId w:val="242"/>
        </w:numPr>
        <w:rPr>
          <w:rFonts w:ascii="Arial" w:cs="Arial" w:eastAsia="Arial" w:hAnsi="Arial"/>
          <w:sz w:val="23"/>
          <w:szCs w:val="23"/>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5.</w:t>
        <w:tab/>
        <w:t>Settlement</w:t>
      </w:r>
    </w:p>
    <w:p>
      <w:pPr>
        <w:spacing w:after="0" w:line="76" w:lineRule="exact"/>
        <w:rPr>
          <w:sz w:val="20"/>
          <w:szCs w:val="20"/>
          <w:color w:val="auto"/>
        </w:rPr>
      </w:pPr>
    </w:p>
    <w:p>
      <w:pPr>
        <w:ind w:left="1300" w:hanging="644"/>
        <w:spacing w:after="0" w:line="225" w:lineRule="auto"/>
        <w:tabs>
          <w:tab w:leader="none" w:pos="1291" w:val="left"/>
        </w:tabs>
        <w:numPr>
          <w:ilvl w:val="0"/>
          <w:numId w:val="243"/>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65" w:lineRule="exact"/>
        <w:rPr>
          <w:rFonts w:ascii="Arial" w:cs="Arial" w:eastAsia="Arial" w:hAnsi="Arial"/>
          <w:sz w:val="22"/>
          <w:szCs w:val="22"/>
          <w:color w:val="auto"/>
        </w:rPr>
      </w:pPr>
    </w:p>
    <w:p>
      <w:pPr>
        <w:jc w:val="both"/>
        <w:ind w:left="1300" w:hanging="644"/>
        <w:spacing w:after="0" w:line="208" w:lineRule="auto"/>
        <w:tabs>
          <w:tab w:leader="none" w:pos="1291" w:val="left"/>
        </w:tabs>
        <w:numPr>
          <w:ilvl w:val="0"/>
          <w:numId w:val="243"/>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w:t>
      </w:r>
    </w:p>
    <w:p>
      <w:pPr>
        <w:sectPr>
          <w:pgSz w:w="11900" w:h="16838" w:orient="portrait"/>
          <w:cols w:equalWidth="0" w:num="1">
            <w:col w:w="11240"/>
          </w:cols>
          <w:pgMar w:left="320" w:top="363" w:right="33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hanging="644"/>
        <w:spacing w:after="0" w:line="204" w:lineRule="auto"/>
        <w:tabs>
          <w:tab w:leader="none" w:pos="1292"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w:t>
      </w:r>
    </w:p>
    <w:p>
      <w:pPr>
        <w:spacing w:after="0" w:line="3" w:lineRule="exact"/>
        <w:rPr>
          <w:rFonts w:ascii="Arial" w:cs="Arial" w:eastAsia="Arial" w:hAnsi="Arial"/>
          <w:sz w:val="22"/>
          <w:szCs w:val="22"/>
          <w:color w:val="auto"/>
        </w:rPr>
      </w:pPr>
    </w:p>
    <w:p>
      <w:pPr>
        <w:jc w:val="both"/>
        <w:ind w:left="1300" w:firstLine="4"/>
        <w:spacing w:after="0" w:line="218" w:lineRule="auto"/>
        <w:tabs>
          <w:tab w:leader="none" w:pos="1619" w:val="left"/>
        </w:tabs>
        <w:numPr>
          <w:ilvl w:val="1"/>
          <w:numId w:val="244"/>
        </w:numPr>
        <w:rPr>
          <w:rFonts w:ascii="Arial" w:cs="Arial" w:eastAsia="Arial" w:hAnsi="Arial"/>
          <w:sz w:val="22"/>
          <w:szCs w:val="22"/>
          <w:color w:val="auto"/>
        </w:rPr>
      </w:pPr>
      <w:r>
        <w:rPr>
          <w:rFonts w:ascii="Arial" w:cs="Arial" w:eastAsia="Arial" w:hAnsi="Arial"/>
          <w:sz w:val="22"/>
          <w:szCs w:val="22"/>
          <w:color w:val="auto"/>
        </w:rPr>
        <w:t>if the Grantee is a “specified employee” within the meaning of Section 409A of the Code as of the payment date, the Award shall instead be paid on the earliest of (1) the first day following the six (6) month anniversary of the Grantee’s Section 409A Separation and (2) the date of the Grantee’s death.</w:t>
      </w:r>
    </w:p>
    <w:p>
      <w:pPr>
        <w:spacing w:after="0" w:line="66" w:lineRule="exact"/>
        <w:rPr>
          <w:rFonts w:ascii="Arial" w:cs="Arial" w:eastAsia="Arial" w:hAnsi="Arial"/>
          <w:sz w:val="22"/>
          <w:szCs w:val="22"/>
          <w:color w:val="auto"/>
        </w:rPr>
      </w:pPr>
    </w:p>
    <w:p>
      <w:pPr>
        <w:jc w:val="both"/>
        <w:ind w:left="1300" w:hanging="644"/>
        <w:spacing w:after="0" w:line="229" w:lineRule="auto"/>
        <w:tabs>
          <w:tab w:leader="none" w:pos="1291" w:val="left"/>
        </w:tabs>
        <w:numPr>
          <w:ilvl w:val="0"/>
          <w:numId w:val="244"/>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64" w:lineRule="exact"/>
        <w:rPr>
          <w:rFonts w:ascii="Arial" w:cs="Arial" w:eastAsia="Arial" w:hAnsi="Arial"/>
          <w:sz w:val="21"/>
          <w:szCs w:val="21"/>
          <w:color w:val="auto"/>
        </w:rPr>
      </w:pPr>
    </w:p>
    <w:p>
      <w:pPr>
        <w:jc w:val="both"/>
        <w:ind w:left="1300" w:hanging="644"/>
        <w:spacing w:after="0" w:line="223" w:lineRule="auto"/>
        <w:tabs>
          <w:tab w:leader="none" w:pos="1291" w:val="left"/>
        </w:tabs>
        <w:numPr>
          <w:ilvl w:val="0"/>
          <w:numId w:val="244"/>
        </w:numPr>
        <w:rPr>
          <w:rFonts w:ascii="Arial" w:cs="Arial" w:eastAsia="Arial" w:hAnsi="Arial"/>
          <w:sz w:val="21"/>
          <w:szCs w:val="21"/>
          <w:color w:val="auto"/>
        </w:rPr>
      </w:pPr>
      <w:r>
        <w:rPr>
          <w:rFonts w:ascii="Arial" w:cs="Arial" w:eastAsia="Arial" w:hAnsi="Arial"/>
          <w:sz w:val="21"/>
          <w:szCs w:val="21"/>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21"/>
          <w:szCs w:val="21"/>
          <w:color w:val="auto"/>
        </w:rPr>
      </w:pPr>
    </w:p>
    <w:p>
      <w:pPr>
        <w:ind w:left="1300" w:right="20" w:hanging="644"/>
        <w:spacing w:after="0" w:line="225" w:lineRule="auto"/>
        <w:tabs>
          <w:tab w:leader="none" w:pos="1299" w:val="left"/>
        </w:tabs>
        <w:numPr>
          <w:ilvl w:val="0"/>
          <w:numId w:val="244"/>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6.</w:t>
        <w:tab/>
        <w:t>Rights of the Grantee</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Relative Value Award does not entitle the Grantee to any rights of a shareholder of Lilly until such time as the Relative Value Award is settled and Shares are issued or transferred to the Grantee.</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7.</w:t>
        <w:tab/>
        <w:t>Prohibition Against Transfer</w:t>
      </w:r>
    </w:p>
    <w:p>
      <w:pPr>
        <w:spacing w:after="0" w:line="76"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8.</w:t>
        <w:tab/>
        <w:t>Responsibility for Taxes</w:t>
      </w:r>
    </w:p>
    <w:p>
      <w:pPr>
        <w:spacing w:after="0" w:line="76" w:lineRule="exact"/>
        <w:rPr>
          <w:sz w:val="20"/>
          <w:szCs w:val="20"/>
          <w:color w:val="auto"/>
        </w:rPr>
      </w:pPr>
    </w:p>
    <w:p>
      <w:pPr>
        <w:jc w:val="both"/>
        <w:ind w:left="1300" w:hanging="644"/>
        <w:spacing w:after="0" w:line="214" w:lineRule="auto"/>
        <w:tabs>
          <w:tab w:leader="none" w:pos="1291" w:val="left"/>
        </w:tabs>
        <w:numPr>
          <w:ilvl w:val="0"/>
          <w:numId w:val="246"/>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4"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(i) make no representations 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w:t>
      </w:r>
    </w:p>
    <w:p>
      <w:pPr>
        <w:sectPr>
          <w:pgSz w:w="11900" w:h="16838" w:orient="portrait"/>
          <w:cols w:equalWidth="0" w:num="1">
            <w:col w:w="11240"/>
          </w:cols>
          <w:pgMar w:left="320" w:top="363" w:right="3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undertakings regarding the treatment of any Tax Related Items in connection with any aspect of the Award, including the grant of the Relative Value Award, the vesting of the Relative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9" w:lineRule="exact"/>
        <w:rPr>
          <w:sz w:val="20"/>
          <w:szCs w:val="20"/>
          <w:color w:val="auto"/>
        </w:rPr>
      </w:pPr>
    </w:p>
    <w:p>
      <w:pPr>
        <w:ind w:left="1300" w:right="20" w:hanging="644"/>
        <w:spacing w:after="0" w:line="225" w:lineRule="auto"/>
        <w:tabs>
          <w:tab w:leader="none" w:pos="1291" w:val="left"/>
        </w:tabs>
        <w:numPr>
          <w:ilvl w:val="0"/>
          <w:numId w:val="247"/>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rFonts w:ascii="Arial" w:cs="Arial" w:eastAsia="Arial" w:hAnsi="Arial"/>
          <w:sz w:val="22"/>
          <w:szCs w:val="22"/>
          <w:color w:val="auto"/>
        </w:rPr>
      </w:pPr>
    </w:p>
    <w:p>
      <w:pPr>
        <w:jc w:val="both"/>
        <w:ind w:left="1960" w:hanging="332"/>
        <w:spacing w:after="0" w:line="214" w:lineRule="auto"/>
        <w:tabs>
          <w:tab w:leader="none" w:pos="1954" w:val="left"/>
        </w:tabs>
        <w:numPr>
          <w:ilvl w:val="1"/>
          <w:numId w:val="247"/>
        </w:numPr>
        <w:rPr>
          <w:rFonts w:ascii="Arial" w:cs="Arial" w:eastAsia="Arial" w:hAnsi="Arial"/>
          <w:sz w:val="21"/>
          <w:szCs w:val="21"/>
          <w:color w:val="auto"/>
        </w:rPr>
      </w:pPr>
      <w:r>
        <w:rPr>
          <w:rFonts w:ascii="Arial" w:cs="Arial" w:eastAsia="Arial" w:hAnsi="Arial"/>
          <w:sz w:val="21"/>
          <w:szCs w:val="21"/>
          <w:color w:val="auto"/>
        </w:rPr>
        <w:t>If the Relative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w:t>
      </w:r>
    </w:p>
    <w:p>
      <w:pPr>
        <w:spacing w:after="0" w:line="2" w:lineRule="exact"/>
        <w:rPr>
          <w:rFonts w:ascii="Arial" w:cs="Arial" w:eastAsia="Arial" w:hAnsi="Arial"/>
          <w:sz w:val="21"/>
          <w:szCs w:val="21"/>
          <w:color w:val="auto"/>
        </w:rPr>
      </w:pPr>
    </w:p>
    <w:p>
      <w:pPr>
        <w:jc w:val="both"/>
        <w:ind w:left="1960"/>
        <w:spacing w:after="0" w:line="210" w:lineRule="auto"/>
        <w:rPr>
          <w:rFonts w:ascii="Arial" w:cs="Arial" w:eastAsia="Arial" w:hAnsi="Arial"/>
          <w:sz w:val="21"/>
          <w:szCs w:val="21"/>
          <w:color w:val="auto"/>
        </w:rPr>
      </w:pPr>
      <w:r>
        <w:rPr>
          <w:rFonts w:ascii="Arial" w:cs="Arial" w:eastAsia="Arial" w:hAnsi="Arial"/>
          <w:sz w:val="22"/>
          <w:szCs w:val="22"/>
          <w:color w:val="auto"/>
        </w:rPr>
        <w:t>(B)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0" w:lineRule="exact"/>
        <w:rPr>
          <w:rFonts w:ascii="Arial" w:cs="Arial" w:eastAsia="Arial" w:hAnsi="Arial"/>
          <w:sz w:val="21"/>
          <w:szCs w:val="21"/>
          <w:color w:val="auto"/>
        </w:rPr>
      </w:pPr>
    </w:p>
    <w:p>
      <w:pPr>
        <w:jc w:val="both"/>
        <w:ind w:left="1960" w:hanging="332"/>
        <w:spacing w:after="0" w:line="211" w:lineRule="auto"/>
        <w:tabs>
          <w:tab w:leader="none" w:pos="1948" w:val="left"/>
        </w:tabs>
        <w:numPr>
          <w:ilvl w:val="1"/>
          <w:numId w:val="247"/>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9" w:lineRule="exact"/>
        <w:rPr>
          <w:rFonts w:ascii="Arial" w:cs="Arial" w:eastAsia="Arial" w:hAnsi="Arial"/>
          <w:sz w:val="22"/>
          <w:szCs w:val="22"/>
          <w:color w:val="auto"/>
        </w:rPr>
      </w:pPr>
    </w:p>
    <w:p>
      <w:pPr>
        <w:jc w:val="both"/>
        <w:ind w:left="1300" w:hanging="644"/>
        <w:spacing w:after="0" w:line="210" w:lineRule="auto"/>
        <w:tabs>
          <w:tab w:leader="none" w:pos="1292" w:val="left"/>
        </w:tabs>
        <w:numPr>
          <w:ilvl w:val="0"/>
          <w:numId w:val="247"/>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w:t>
      </w:r>
    </w:p>
    <w:p>
      <w:pPr>
        <w:sectPr>
          <w:pgSz w:w="11900" w:h="16838" w:orient="portrait"/>
          <w:cols w:equalWidth="0" w:num="1">
            <w:col w:w="11240"/>
          </w:cols>
          <w:pgMar w:left="320" w:top="363" w:right="33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hanging="644"/>
        <w:spacing w:after="0" w:line="225" w:lineRule="auto"/>
        <w:tabs>
          <w:tab w:leader="none" w:pos="1291" w:val="left"/>
        </w:tabs>
        <w:numPr>
          <w:ilvl w:val="0"/>
          <w:numId w:val="248"/>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9.</w:t>
        <w:tab/>
        <w:t>Section 409A Compliance</w:t>
      </w:r>
    </w:p>
    <w:p>
      <w:pPr>
        <w:spacing w:after="0" w:line="22"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10. Grantee’s Acknowledgment</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14" w:lineRule="exact"/>
        <w:rPr>
          <w:sz w:val="20"/>
          <w:szCs w:val="20"/>
          <w:color w:val="auto"/>
        </w:rPr>
      </w:pPr>
    </w:p>
    <w:p>
      <w:pPr>
        <w:ind w:left="1300" w:hanging="644"/>
        <w:spacing w:after="0" w:line="225" w:lineRule="auto"/>
        <w:tabs>
          <w:tab w:leader="none" w:pos="1291"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249"/>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300" w:hanging="644"/>
        <w:spacing w:after="0"/>
        <w:tabs>
          <w:tab w:leader="none" w:pos="130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49"/>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66" w:lineRule="exact"/>
        <w:rPr>
          <w:rFonts w:ascii="Arial" w:cs="Arial" w:eastAsia="Arial" w:hAnsi="Arial"/>
          <w:sz w:val="22"/>
          <w:szCs w:val="22"/>
          <w:color w:val="auto"/>
        </w:rPr>
      </w:pPr>
    </w:p>
    <w:p>
      <w:pPr>
        <w:jc w:val="both"/>
        <w:ind w:left="1300" w:hanging="644"/>
        <w:spacing w:after="0" w:line="225" w:lineRule="auto"/>
        <w:tabs>
          <w:tab w:leader="none" w:pos="1291" w:val="left"/>
        </w:tabs>
        <w:numPr>
          <w:ilvl w:val="0"/>
          <w:numId w:val="249"/>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6" w:lineRule="exact"/>
        <w:rPr>
          <w:rFonts w:ascii="Arial" w:cs="Arial" w:eastAsia="Arial" w:hAnsi="Arial"/>
          <w:sz w:val="21"/>
          <w:szCs w:val="21"/>
          <w:color w:val="auto"/>
        </w:rPr>
      </w:pPr>
    </w:p>
    <w:p>
      <w:pPr>
        <w:ind w:left="1300" w:hanging="644"/>
        <w:spacing w:after="0" w:line="225" w:lineRule="auto"/>
        <w:tabs>
          <w:tab w:leader="none" w:pos="130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2" w:val="left"/>
        </w:tabs>
        <w:numPr>
          <w:ilvl w:val="0"/>
          <w:numId w:val="249"/>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w:t>
      </w:r>
    </w:p>
    <w:p>
      <w:pPr>
        <w:sectPr>
          <w:pgSz w:w="11900" w:h="16838" w:orient="portrait"/>
          <w:cols w:equalWidth="0" w:num="1">
            <w:col w:w="11240"/>
          </w:cols>
          <w:pgMar w:left="320" w:top="363" w:right="339" w:bottom="1440" w:gutter="0" w:footer="0" w:header="0"/>
          <w:type w:val="continuous"/>
        </w:sectPr>
      </w:pPr>
    </w:p>
    <w:bookmarkStart w:id="257" w:name="page258"/>
    <w:bookmarkEnd w:id="257"/>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300"/>
        <w:spacing w:after="0" w:line="229" w:lineRule="auto"/>
        <w:rPr>
          <w:sz w:val="20"/>
          <w:szCs w:val="20"/>
          <w:color w:val="auto"/>
        </w:rPr>
      </w:pPr>
      <w:r>
        <w:rPr>
          <w:rFonts w:ascii="Arial" w:cs="Arial" w:eastAsia="Arial" w:hAnsi="Arial"/>
          <w:sz w:val="22"/>
          <w:szCs w:val="22"/>
          <w:color w:val="auto"/>
        </w:rPr>
        <w:t>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70" w:lineRule="exact"/>
        <w:rPr>
          <w:sz w:val="20"/>
          <w:szCs w:val="20"/>
          <w:color w:val="auto"/>
        </w:rPr>
      </w:pPr>
    </w:p>
    <w:p>
      <w:pPr>
        <w:jc w:val="both"/>
        <w:ind w:left="1300" w:hanging="644"/>
        <w:spacing w:after="0" w:line="215" w:lineRule="auto"/>
        <w:tabs>
          <w:tab w:leader="none" w:pos="130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5" w:lineRule="exact"/>
        <w:rPr>
          <w:rFonts w:ascii="Arial" w:cs="Arial" w:eastAsia="Arial" w:hAnsi="Arial"/>
          <w:sz w:val="22"/>
          <w:szCs w:val="22"/>
          <w:color w:val="auto"/>
        </w:rPr>
      </w:pPr>
    </w:p>
    <w:p>
      <w:pPr>
        <w:ind w:left="1300" w:hanging="644"/>
        <w:spacing w:after="0" w:line="225" w:lineRule="auto"/>
        <w:tabs>
          <w:tab w:leader="none" w:pos="1297"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50"/>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11. Data Privacy</w:t>
      </w:r>
    </w:p>
    <w:p>
      <w:pPr>
        <w:spacing w:after="0" w:line="54" w:lineRule="exact"/>
        <w:rPr>
          <w:sz w:val="20"/>
          <w:szCs w:val="20"/>
          <w:color w:val="auto"/>
        </w:rPr>
      </w:pPr>
    </w:p>
    <w:p>
      <w:pPr>
        <w:jc w:val="both"/>
        <w:ind w:left="1300" w:hanging="644"/>
        <w:spacing w:after="0" w:line="210" w:lineRule="auto"/>
        <w:tabs>
          <w:tab w:leader="none" w:pos="1291" w:val="left"/>
        </w:tabs>
        <w:numPr>
          <w:ilvl w:val="0"/>
          <w:numId w:val="251"/>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3" w:lineRule="exact"/>
        <w:rPr>
          <w:rFonts w:ascii="Arial" w:cs="Arial" w:eastAsia="Arial" w:hAnsi="Arial"/>
          <w:sz w:val="22"/>
          <w:szCs w:val="22"/>
          <w:i w:val="1"/>
          <w:iCs w:val="1"/>
          <w:color w:val="auto"/>
        </w:rPr>
      </w:pPr>
    </w:p>
    <w:p>
      <w:pPr>
        <w:jc w:val="both"/>
        <w:ind w:left="1300" w:hanging="644"/>
        <w:spacing w:after="0" w:line="222" w:lineRule="auto"/>
        <w:tabs>
          <w:tab w:leader="none" w:pos="1291" w:val="left"/>
        </w:tabs>
        <w:numPr>
          <w:ilvl w:val="0"/>
          <w:numId w:val="251"/>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Stock Plan Administration Service Providers</w:t>
      </w:r>
      <w:r>
        <w:rPr>
          <w:rFonts w:ascii="Arial" w:cs="Arial" w:eastAsia="Arial" w:hAnsi="Arial"/>
          <w:sz w:val="21"/>
          <w:szCs w:val="21"/>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10</w:t>
      </w:r>
    </w:p>
    <w:p>
      <w:pPr>
        <w:sectPr>
          <w:pgSz w:w="11900" w:h="16838" w:orient="portrait"/>
          <w:cols w:equalWidth="0" w:num="1">
            <w:col w:w="11240"/>
          </w:cols>
          <w:pgMar w:left="320" w:top="363" w:right="3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line="235" w:lineRule="auto"/>
        <w:rPr>
          <w:sz w:val="20"/>
          <w:szCs w:val="20"/>
          <w:color w:val="auto"/>
        </w:rPr>
      </w:pPr>
      <w:r>
        <w:rPr>
          <w:rFonts w:ascii="Arial" w:cs="Arial" w:eastAsia="Arial" w:hAnsi="Arial"/>
          <w:sz w:val="22"/>
          <w:szCs w:val="22"/>
          <w:i w:val="1"/>
          <w:iCs w:val="1"/>
          <w:color w:val="auto"/>
        </w:rPr>
        <w:t>and management of the Plan. In the future, the Company may select a different service provider and share Data with such other provider serving in a similar manner.</w:t>
      </w:r>
    </w:p>
    <w:p>
      <w:pPr>
        <w:spacing w:after="0" w:line="45" w:lineRule="exact"/>
        <w:rPr>
          <w:sz w:val="20"/>
          <w:szCs w:val="20"/>
          <w:color w:val="auto"/>
        </w:rPr>
      </w:pPr>
    </w:p>
    <w:p>
      <w:pPr>
        <w:jc w:val="both"/>
        <w:ind w:left="1300" w:hanging="644"/>
        <w:spacing w:after="0" w:line="236" w:lineRule="auto"/>
        <w:tabs>
          <w:tab w:leader="none" w:pos="1292" w:val="left"/>
        </w:tabs>
        <w:numPr>
          <w:ilvl w:val="0"/>
          <w:numId w:val="252"/>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3" w:lineRule="exact"/>
        <w:rPr>
          <w:rFonts w:ascii="Arial" w:cs="Arial" w:eastAsia="Arial" w:hAnsi="Arial"/>
          <w:sz w:val="21"/>
          <w:szCs w:val="21"/>
          <w:i w:val="1"/>
          <w:iCs w:val="1"/>
          <w:color w:val="auto"/>
        </w:rPr>
      </w:pPr>
    </w:p>
    <w:p>
      <w:pPr>
        <w:jc w:val="both"/>
        <w:ind w:left="1300" w:hanging="644"/>
        <w:spacing w:after="0" w:line="225" w:lineRule="auto"/>
        <w:tabs>
          <w:tab w:leader="none" w:pos="1291" w:val="left"/>
        </w:tabs>
        <w:numPr>
          <w:ilvl w:val="0"/>
          <w:numId w:val="25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4"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25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jc w:val="both"/>
        <w:ind w:left="1300" w:hanging="644"/>
        <w:spacing w:after="0" w:line="208" w:lineRule="auto"/>
        <w:tabs>
          <w:tab w:leader="none" w:pos="1299" w:val="left"/>
        </w:tabs>
        <w:numPr>
          <w:ilvl w:val="0"/>
          <w:numId w:val="25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252"/>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12. Restrictive Covenants, Remedies, and Additional Terms and Conditions</w:t>
      </w:r>
    </w:p>
    <w:p>
      <w:pPr>
        <w:spacing w:after="0" w:line="22" w:lineRule="exact"/>
        <w:rPr>
          <w:sz w:val="20"/>
          <w:szCs w:val="20"/>
          <w:color w:val="auto"/>
        </w:rPr>
      </w:pPr>
    </w:p>
    <w:p>
      <w:pPr>
        <w:jc w:val="both"/>
        <w:ind w:left="1300" w:hanging="644"/>
        <w:spacing w:after="0" w:line="215" w:lineRule="auto"/>
        <w:tabs>
          <w:tab w:leader="none" w:pos="1291" w:val="left"/>
        </w:tabs>
        <w:numPr>
          <w:ilvl w:val="0"/>
          <w:numId w:val="253"/>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consideration of the Grantee’s receipt of the Award from Lilly, the Grantee agrees that during the Grantee’s employment with Lilly or an Affiliate that the Grantee provided services to or had access to confidential information concerning (“Covered Affiliate”) and for twelve (12) months immediately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w:t>
      </w:r>
    </w:p>
    <w:p>
      <w:pPr>
        <w:sectPr>
          <w:pgSz w:w="11900" w:h="16838" w:orient="portrait"/>
          <w:cols w:equalWidth="0" w:num="1">
            <w:col w:w="11240"/>
          </w:cols>
          <w:pgMar w:left="320" w:top="363" w:right="33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right="20"/>
        <w:spacing w:after="0" w:line="225" w:lineRule="auto"/>
        <w:rPr>
          <w:sz w:val="20"/>
          <w:szCs w:val="20"/>
          <w:color w:val="auto"/>
        </w:rPr>
      </w:pPr>
      <w:r>
        <w:rPr>
          <w:rFonts w:ascii="Arial" w:cs="Arial" w:eastAsia="Arial" w:hAnsi="Arial"/>
          <w:sz w:val="22"/>
          <w:szCs w:val="22"/>
          <w:color w:val="auto"/>
        </w:rPr>
        <w:t>following the end of the Grantee’s employment (regardless of reason), the Grantee will not directly or indirectly, on a worldwide basis, engage in any of the following activities:</w:t>
      </w:r>
    </w:p>
    <w:p>
      <w:pPr>
        <w:spacing w:after="0" w:line="66" w:lineRule="exact"/>
        <w:rPr>
          <w:sz w:val="20"/>
          <w:szCs w:val="20"/>
          <w:color w:val="auto"/>
        </w:rPr>
      </w:pPr>
    </w:p>
    <w:p>
      <w:pPr>
        <w:jc w:val="both"/>
        <w:ind w:left="1960" w:hanging="332"/>
        <w:spacing w:after="0" w:line="211" w:lineRule="auto"/>
        <w:tabs>
          <w:tab w:leader="none" w:pos="196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Work for, advise, manage, act as an agent, employee or consultant for, or otherwise provide any services, in a Competitively-Sensitive Capacity, to: (a) any person or entity engaged in research, development, production, sale, or distribution of a product or service competitive with or substantially similar to any product or service in research, development or design, or manufactured, produced, sold, or distributed by Lilly or a Covered Affiliate; or (b) any person or entity that otherwise competes or intends to compete with Lilly or a Covered Affiliate.</w:t>
      </w:r>
    </w:p>
    <w:p>
      <w:pPr>
        <w:spacing w:after="0" w:line="69" w:lineRule="exact"/>
        <w:rPr>
          <w:rFonts w:ascii="Arial" w:cs="Arial" w:eastAsia="Arial" w:hAnsi="Arial"/>
          <w:sz w:val="22"/>
          <w:szCs w:val="22"/>
          <w:color w:val="auto"/>
        </w:rPr>
      </w:pPr>
    </w:p>
    <w:p>
      <w:pPr>
        <w:jc w:val="both"/>
        <w:ind w:left="1960" w:hanging="332"/>
        <w:spacing w:after="0" w:line="220" w:lineRule="auto"/>
        <w:tabs>
          <w:tab w:leader="none" w:pos="1954" w:val="left"/>
        </w:tabs>
        <w:numPr>
          <w:ilvl w:val="0"/>
          <w:numId w:val="254"/>
        </w:numPr>
        <w:rPr>
          <w:rFonts w:ascii="Arial" w:cs="Arial" w:eastAsia="Arial" w:hAnsi="Arial"/>
          <w:sz w:val="21"/>
          <w:szCs w:val="21"/>
          <w:color w:val="auto"/>
        </w:rPr>
      </w:pPr>
      <w:r>
        <w:rPr>
          <w:rFonts w:ascii="Arial" w:cs="Arial" w:eastAsia="Arial" w:hAnsi="Arial"/>
          <w:sz w:val="21"/>
          <w:szCs w:val="21"/>
          <w:color w:val="auto"/>
        </w:rPr>
        <w:t>Directly or indirectly solicit, urge, divert, induce, or seek to induce any of Lilly’s (or Covered Affiliate’s) independent contractors, subcontractors, business partners, distributors, brokers, consultants, sales representatives, customers, vendors, suppliers or any other person with whom Lilly or Covered Affiliate has a business relationship and with whom the Grantee interacted during the Grantee’s employment with Lilly or Covered Affiliate to terminate their relationship with, or representation of, Lilly or Covered Affiliate or to cancel, withdraw, reduce, limit or in any manner modify any such person's business with, or representation of, Lilly or a Covered Affiliate.</w:t>
      </w:r>
    </w:p>
    <w:p>
      <w:pPr>
        <w:spacing w:after="0" w:line="70"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The Grantee acknowledges and agrees that any Lilly Affiliate is an intended third-party beneficiary of this Award Agreement, which may be enforced by Lilly or any such Affiliate, either singularly or jointly.</w:t>
      </w:r>
    </w:p>
    <w:p>
      <w:pPr>
        <w:spacing w:after="0" w:line="66" w:lineRule="exact"/>
        <w:rPr>
          <w:sz w:val="20"/>
          <w:szCs w:val="20"/>
          <w:color w:val="auto"/>
        </w:rPr>
      </w:pPr>
    </w:p>
    <w:p>
      <w:pPr>
        <w:jc w:val="both"/>
        <w:ind w:left="1300"/>
        <w:spacing w:after="0" w:line="207" w:lineRule="auto"/>
        <w:rPr>
          <w:sz w:val="20"/>
          <w:szCs w:val="20"/>
          <w:color w:val="auto"/>
        </w:rPr>
      </w:pPr>
      <w:r>
        <w:rPr>
          <w:rFonts w:ascii="Arial" w:cs="Arial" w:eastAsia="Arial" w:hAnsi="Arial"/>
          <w:sz w:val="22"/>
          <w:szCs w:val="22"/>
          <w:color w:val="auto"/>
        </w:rPr>
        <w:t>For purposes of this Award Agreement, “Competively-Sensitive Capacity” means: (A) the same or similar capacity or function in which the Grantee worked for Lilly or a Covered Affiliate at any time during the two (2) years immediately preceding the end of the Grantee’s employment; (B) any officer, director, executive or senior management capacity or function; (C) any research and development capacity or function; (D) any sales management or business development management capacity or function; (E) any ownership capacity (except the Grantee may own as a passive investment up to 2% of any publicly traded securities); and/or (F) any other capacity or function in which there is a material risk that the Grantee likely would inevitably use or disclose trade secrets and/or confidential information Lilly or a Covered Affiliate. For purposes of clarity, if a competing business has multiple divisions, lines or segments, some of which are not competitive with the business of Lilly, including its Covered Affiliates, nothing in this Award Agreement will prohibit the Grantee from being employed by, working for or assisting only that division, line or segment of such competing business that is not competitive with the business of Lilly or a Covered Affiliate, provided the Grantee is not involved in a Competitively-Sensitive Capacity in the research, development, manufacture, provision or sale of any products that compete with any products of Lilly or a Covered Affiliate.</w:t>
      </w:r>
    </w:p>
    <w:p>
      <w:pPr>
        <w:spacing w:after="0" w:line="75"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The Grantee and Lilly acknowledge and agree that the worldwide geographic scope of the foregoing covenants is reasonable and necessary given, among other things, that: (a) absent the restrictions, the Grantee could utilize Lilly’s (or its Affiliates) trade secrets and/or confidential information and compete with Lilly or Affiliate from virtually anywhere; and (b) such scope is the only way for Lilly and its Affiliates to protect their trade secrets and confidential information. In the event the Grantee violates any of the restrictive covenants contained herein, their duration will automatically be extended by the length of time during which the Grantee was in violation of any of the restrictive covenants.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12</w:t>
      </w:r>
    </w:p>
    <w:p>
      <w:pPr>
        <w:sectPr>
          <w:pgSz w:w="11900" w:h="16838" w:orient="portrait"/>
          <w:cols w:equalWidth="0" w:num="1">
            <w:col w:w="11240"/>
          </w:cols>
          <w:pgMar w:left="320" w:top="363" w:right="33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300"/>
        <w:spacing w:after="0" w:line="207" w:lineRule="auto"/>
        <w:rPr>
          <w:sz w:val="20"/>
          <w:szCs w:val="20"/>
          <w:color w:val="auto"/>
        </w:rPr>
      </w:pPr>
      <w:r>
        <w:rPr>
          <w:rFonts w:ascii="Arial" w:cs="Arial" w:eastAsia="Arial" w:hAnsi="Arial"/>
          <w:sz w:val="22"/>
          <w:szCs w:val="22"/>
          <w:color w:val="auto"/>
        </w:rPr>
        <w:t>The Grantee acknowledges and agrees that during the course of the Grantee’s employment with Lilly or a Covered Affiliate, the Grantee will become intimately familiar with confidential information and trade secrets key to its unique competitive advantage. The Grantee also acknowledges and agrees that Lilly’s (and Covered Affiliate’s) confidential information and trade secrets will retain continuing vitality throughout and beyond the one-year restricted period. And the Grantee acknowledges and agrees that, should the Grantee leave Lilly or Covered Affiliate and, near the Grantee’s departure from Lilly or Covered Affiliate, work with another person or entity that engages in business activities similar to those of Lilly and/or Covered Affiliate, it would be highly likely, if not inevitable, that the Grantee would rely on confidential information of Lilly and/or Covered Affiliate in the course of the Grantee’s work, either consciously or subconsciously, harming Lilly and any Covered Affiliates. For these and other reasons, the Grantee agrees that the restrictions above are reasonably necessary to protect Lilly’s and its Covered Affiliate’s legitimate business interests, and do so by creating a specific amount of time after the Grantee’s employment ends during which the Grantee will not be able to engage or prepare to engage in the activities above.</w:t>
      </w:r>
    </w:p>
    <w:p>
      <w:pPr>
        <w:spacing w:after="0" w:line="77"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The Grantee and Lilly further acknowledge and agree that if any particular covenant or provision is determined to be unreasonable or unenforceable for any reason, including, without limitation, the time period, geographic area, and/or scope of activity covered by any restrictive covenant, such covenant or provision will automatically be deemed reformed so that the contested covenant or provision will have the closest effect permitted by applicable law to the original form and will be given effect and enforced as so reformed to whatever extent would be reasonable and enforceable under applicable law. Any court interpreting any restrictive covenant provision of this Award Agreement will, if necessary, reform any such provision to make it enforceable under applicable law.</w:t>
      </w:r>
    </w:p>
    <w:p>
      <w:pPr>
        <w:spacing w:after="0" w:line="65"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This Award Agreement is intended, among other things, to supplement (and not supersede) all applicable statutes protecting trade secrets and the duties the Grantee owes to Lilly and/or Covered Affiliates under the common law, as well as any other non-competition, non-solicitation, or confidentiality provisions that the Grantee agreed to in the past, including those in the Grantee’s Employee Confidentiality and Invention Agreement, each of which remains in full force and effect, or that the Grantee agrees to in the future.</w:t>
      </w:r>
    </w:p>
    <w:p>
      <w:pPr>
        <w:spacing w:after="0" w:line="70"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The Grantee acknowledges that a breach by the Grantee of this Award Agreement will give rise to irreparable injury to Lilly and Covered Affiliates and money damages will not be adequate relief for such injury. As a result, the Grantee agrees that Lilly (including any third party beneficiary) will be entitled to obtain equitable or injunctive relief without having to post any bond or other security to restrain or prohibit any such breach or threatened breach, in addition to any other remedies which may be available, including the recovery of monetary damages from the Grantee.</w:t>
      </w:r>
    </w:p>
    <w:p>
      <w:pPr>
        <w:spacing w:after="0" w:line="70" w:lineRule="exact"/>
        <w:rPr>
          <w:sz w:val="20"/>
          <w:szCs w:val="20"/>
          <w:color w:val="auto"/>
        </w:rPr>
      </w:pPr>
    </w:p>
    <w:p>
      <w:pPr>
        <w:jc w:val="both"/>
        <w:ind w:left="1300" w:hanging="644"/>
        <w:spacing w:after="0" w:line="210" w:lineRule="auto"/>
        <w:tabs>
          <w:tab w:leader="none" w:pos="1291"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If the Company determines that the Grantee has violated any applicable provisions of this Section 12, in addition to injunctive relief and damages, the Grantee agrees and covenants that: (i) the Award shall be immediately rescinded; (ii) the Grantee shall automatically forfeit any rights the Grantee may have with respect to the Award as of the date of such determination, including the rights to continue to be eligible to vest or receive a payment under the Award; and (iii) the foregoing remedies set forth in this Section 12 shall not be Lilly’s exclusive remedies. Lilly reserves all other rights and remedies available to it at law or in equity.</w:t>
      </w:r>
    </w:p>
    <w:p>
      <w:pPr>
        <w:spacing w:after="0" w:line="70" w:lineRule="exact"/>
        <w:rPr>
          <w:rFonts w:ascii="Arial" w:cs="Arial" w:eastAsia="Arial" w:hAnsi="Arial"/>
          <w:sz w:val="22"/>
          <w:szCs w:val="22"/>
          <w:color w:val="auto"/>
        </w:rPr>
      </w:pPr>
    </w:p>
    <w:p>
      <w:pPr>
        <w:ind w:left="1300" w:hanging="644"/>
        <w:spacing w:after="0" w:line="225" w:lineRule="auto"/>
        <w:tabs>
          <w:tab w:leader="none" w:pos="1292"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Country-Specific Conditions</w:t>
      </w:r>
      <w:r>
        <w:rPr>
          <w:rFonts w:ascii="Arial" w:cs="Arial" w:eastAsia="Arial" w:hAnsi="Arial"/>
          <w:sz w:val="22"/>
          <w:szCs w:val="22"/>
          <w:color w:val="auto"/>
        </w:rPr>
        <w:t>. In addition, the Award shall be subject to any special terms and conditions set forth in any Appendix to this Award Agreement for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13</w:t>
      </w:r>
    </w:p>
    <w:p>
      <w:pPr>
        <w:sectPr>
          <w:pgSz w:w="11900" w:h="16838" w:orient="portrait"/>
          <w:cols w:equalWidth="0" w:num="1">
            <w:col w:w="11240"/>
          </w:cols>
          <w:pgMar w:left="320" w:top="363" w:right="33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Award Agreement.</w:t>
      </w:r>
    </w:p>
    <w:p>
      <w:pPr>
        <w:spacing w:after="0" w:line="66" w:lineRule="exact"/>
        <w:rPr>
          <w:sz w:val="20"/>
          <w:szCs w:val="20"/>
          <w:color w:val="auto"/>
        </w:rPr>
      </w:pPr>
    </w:p>
    <w:p>
      <w:pPr>
        <w:jc w:val="both"/>
        <w:ind w:left="1300" w:hanging="644"/>
        <w:spacing w:after="0" w:line="208" w:lineRule="auto"/>
        <w:tabs>
          <w:tab w:leader="none" w:pos="1291"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Relative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72"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13. Governing Law and Choice of Venue</w:t>
      </w:r>
    </w:p>
    <w:p>
      <w:pPr>
        <w:spacing w:after="0" w:line="76" w:lineRule="exact"/>
        <w:rPr>
          <w:sz w:val="20"/>
          <w:szCs w:val="20"/>
          <w:color w:val="auto"/>
        </w:rPr>
      </w:pPr>
    </w:p>
    <w:p>
      <w:pPr>
        <w:jc w:val="both"/>
        <w:ind w:left="40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14. Miscellaneous Provisions</w:t>
      </w:r>
    </w:p>
    <w:p>
      <w:pPr>
        <w:spacing w:after="0" w:line="76" w:lineRule="exact"/>
        <w:rPr>
          <w:sz w:val="20"/>
          <w:szCs w:val="20"/>
          <w:color w:val="auto"/>
        </w:rPr>
      </w:pPr>
    </w:p>
    <w:p>
      <w:pPr>
        <w:jc w:val="both"/>
        <w:ind w:left="1300" w:hanging="644"/>
        <w:spacing w:after="0" w:line="219" w:lineRule="auto"/>
        <w:tabs>
          <w:tab w:leader="none" w:pos="1291" w:val="left"/>
        </w:tabs>
        <w:numPr>
          <w:ilvl w:val="0"/>
          <w:numId w:val="257"/>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14</w:t>
      </w:r>
    </w:p>
    <w:p>
      <w:pPr>
        <w:sectPr>
          <w:pgSz w:w="11900" w:h="16838" w:orient="portrait"/>
          <w:cols w:equalWidth="0" w:num="1">
            <w:col w:w="11240"/>
          </w:cols>
          <w:pgMar w:left="320" w:top="363" w:right="33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receive such documents by electronic delivery and agrees to participate in the Plan through an on-line or electronic system established and maintained by Lilly or a third party designated by Lilly.</w:t>
      </w:r>
    </w:p>
    <w:p>
      <w:pPr>
        <w:spacing w:after="0" w:line="66" w:lineRule="exact"/>
        <w:rPr>
          <w:sz w:val="20"/>
          <w:szCs w:val="20"/>
          <w:color w:val="auto"/>
        </w:rPr>
      </w:pPr>
    </w:p>
    <w:p>
      <w:pPr>
        <w:jc w:val="both"/>
        <w:ind w:left="1300" w:hanging="644"/>
        <w:spacing w:after="0" w:line="211" w:lineRule="auto"/>
        <w:tabs>
          <w:tab w:leader="none" w:pos="1291"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83" w:lineRule="exact"/>
        <w:rPr>
          <w:rFonts w:ascii="Arial" w:cs="Arial" w:eastAsia="Arial" w:hAnsi="Arial"/>
          <w:sz w:val="22"/>
          <w:szCs w:val="22"/>
          <w:color w:val="auto"/>
        </w:rPr>
      </w:pPr>
    </w:p>
    <w:p>
      <w:pPr>
        <w:jc w:val="both"/>
        <w:ind w:left="1300" w:hanging="644"/>
        <w:spacing w:after="0" w:line="218" w:lineRule="auto"/>
        <w:tabs>
          <w:tab w:leader="none" w:pos="1292"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80" w:lineRule="exact"/>
        <w:rPr>
          <w:rFonts w:ascii="Arial" w:cs="Arial" w:eastAsia="Arial" w:hAnsi="Arial"/>
          <w:sz w:val="22"/>
          <w:szCs w:val="22"/>
          <w:color w:val="auto"/>
        </w:rPr>
      </w:pPr>
    </w:p>
    <w:p>
      <w:pPr>
        <w:jc w:val="both"/>
        <w:ind w:left="1300" w:hanging="644"/>
        <w:spacing w:after="0" w:line="209" w:lineRule="auto"/>
        <w:tabs>
          <w:tab w:leader="none" w:pos="1292" w:val="left"/>
        </w:tabs>
        <w:numPr>
          <w:ilvl w:val="0"/>
          <w:numId w:val="258"/>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7" w:lineRule="exact"/>
        <w:rPr>
          <w:rFonts w:ascii="Arial" w:cs="Arial" w:eastAsia="Arial" w:hAnsi="Arial"/>
          <w:sz w:val="23"/>
          <w:szCs w:val="23"/>
          <w:color w:val="auto"/>
        </w:rPr>
      </w:pPr>
    </w:p>
    <w:p>
      <w:pPr>
        <w:ind w:left="1300"/>
        <w:spacing w:after="0" w:line="225" w:lineRule="auto"/>
        <w:rPr>
          <w:rFonts w:ascii="Arial" w:cs="Arial" w:eastAsia="Arial" w:hAnsi="Arial"/>
          <w:sz w:val="23"/>
          <w:szCs w:val="23"/>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79" w:lineRule="exact"/>
        <w:rPr>
          <w:rFonts w:ascii="Arial" w:cs="Arial" w:eastAsia="Arial" w:hAnsi="Arial"/>
          <w:sz w:val="23"/>
          <w:szCs w:val="23"/>
          <w:color w:val="auto"/>
        </w:rPr>
      </w:pPr>
    </w:p>
    <w:p>
      <w:pPr>
        <w:jc w:val="both"/>
        <w:ind w:left="1300" w:hanging="644"/>
        <w:spacing w:after="0" w:line="211" w:lineRule="auto"/>
        <w:tabs>
          <w:tab w:leader="none" w:pos="1292" w:val="left"/>
        </w:tabs>
        <w:numPr>
          <w:ilvl w:val="0"/>
          <w:numId w:val="258"/>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15. Compensation Recovery</w:t>
      </w:r>
    </w:p>
    <w:p>
      <w:pPr>
        <w:spacing w:after="0" w:line="76"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66" w:lineRule="exact"/>
        <w:rPr>
          <w:sz w:val="20"/>
          <w:szCs w:val="20"/>
          <w:color w:val="auto"/>
        </w:rPr>
      </w:pPr>
    </w:p>
    <w:p>
      <w:pPr>
        <w:jc w:val="both"/>
        <w:ind w:left="1300" w:hanging="644"/>
        <w:spacing w:after="0" w:line="210" w:lineRule="auto"/>
        <w:tabs>
          <w:tab w:leader="none" w:pos="1291" w:val="left"/>
        </w:tabs>
        <w:numPr>
          <w:ilvl w:val="0"/>
          <w:numId w:val="259"/>
        </w:numPr>
        <w:rPr>
          <w:rFonts w:ascii="Arial" w:cs="Arial" w:eastAsia="Arial" w:hAnsi="Arial"/>
          <w:sz w:val="22"/>
          <w:szCs w:val="22"/>
          <w:color w:val="auto"/>
        </w:rPr>
      </w:pPr>
      <w:r>
        <w:rPr>
          <w:rFonts w:ascii="Arial" w:cs="Arial" w:eastAsia="Arial" w:hAnsi="Arial"/>
          <w:sz w:val="22"/>
          <w:szCs w:val="22"/>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70"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15</w:t>
      </w:r>
    </w:p>
    <w:p>
      <w:pPr>
        <w:sectPr>
          <w:pgSz w:w="11900" w:h="16838" w:orient="portrait"/>
          <w:cols w:equalWidth="0" w:num="1">
            <w:col w:w="11240"/>
          </w:cols>
          <w:pgMar w:left="320" w:top="363" w:right="339"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employee who has committed a material violation of law or Company policy whereby, in either case, such misconduct causes significant harm to the company.</w:t>
      </w:r>
    </w:p>
    <w:p>
      <w:pPr>
        <w:spacing w:after="0" w:line="66" w:lineRule="exact"/>
        <w:rPr>
          <w:sz w:val="20"/>
          <w:szCs w:val="20"/>
          <w:color w:val="auto"/>
        </w:rPr>
      </w:pPr>
    </w:p>
    <w:p>
      <w:pPr>
        <w:jc w:val="both"/>
        <w:ind w:left="420"/>
        <w:spacing w:after="0" w:line="210"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5"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16. Award Subject to Acknowledgement of Acceptance</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44"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16</w:t>
      </w:r>
    </w:p>
    <w:p>
      <w:pPr>
        <w:sectPr>
          <w:pgSz w:w="11900" w:h="16838" w:orient="portrait"/>
          <w:cols w:equalWidth="0" w:num="1">
            <w:col w:w="11240"/>
          </w:cols>
          <w:pgMar w:left="320" w:top="363" w:right="339" w:bottom="1440" w:gutter="0" w:footer="0" w:header="0"/>
        </w:sectPr>
      </w:pPr>
    </w:p>
    <w:bookmarkStart w:id="264" w:name="page265"/>
    <w:bookmarkEnd w:id="264"/>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10.10 Form of Relative Value Award under the 2002 Lilly Stock Plan (non-executive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line="224" w:lineRule="auto"/>
        <w:rPr>
          <w:sz w:val="20"/>
          <w:szCs w:val="20"/>
          <w:color w:val="auto"/>
        </w:rPr>
      </w:pPr>
      <w:r>
        <w:rPr>
          <w:rFonts w:ascii="Arial" w:cs="Arial" w:eastAsia="Arial" w:hAnsi="Arial"/>
          <w:sz w:val="43"/>
          <w:szCs w:val="43"/>
          <w:color w:val="auto"/>
        </w:rPr>
        <w:t>Eli Lilly and Company Relative Value Award Agreement (for Executives)</w:t>
      </w:r>
    </w:p>
    <w:p>
      <w:pPr>
        <w:spacing w:after="0" w:line="163" w:lineRule="exact"/>
        <w:rPr>
          <w:sz w:val="20"/>
          <w:szCs w:val="20"/>
          <w:color w:val="auto"/>
        </w:rPr>
      </w:pPr>
    </w:p>
    <w:p>
      <w:pPr>
        <w:jc w:val="both"/>
        <w:ind w:left="340"/>
        <w:spacing w:after="0" w:line="218" w:lineRule="auto"/>
        <w:rPr>
          <w:sz w:val="20"/>
          <w:szCs w:val="20"/>
          <w:color w:val="auto"/>
        </w:rPr>
      </w:pPr>
      <w:r>
        <w:rPr>
          <w:rFonts w:ascii="Arial" w:cs="Arial" w:eastAsia="Arial" w:hAnsi="Arial"/>
          <w:sz w:val="22"/>
          <w:szCs w:val="22"/>
          <w:color w:val="auto"/>
        </w:rPr>
        <w:t>This Relative Value Award has been granted on [•] (“Grant Date”) by Eli Lilly and Company, an Indiana corporation, with its principal offices in Indianapolis, Indiana (“Lilly” or the “Company”), to the Eligible Individual who has received this Relative Value Award Agreement (the “Grantee”).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5"/>
          <w:szCs w:val="25"/>
          <w:color w:val="auto"/>
        </w:rPr>
        <w:t>Lilly Relative Total Shareholder Return Performance Levels:</w:t>
      </w:r>
    </w:p>
    <w:p>
      <w:pPr>
        <w:spacing w:after="0" w:line="231" w:lineRule="exact"/>
        <w:rPr>
          <w:sz w:val="20"/>
          <w:szCs w:val="20"/>
          <w:color w:val="auto"/>
        </w:rPr>
      </w:pPr>
    </w:p>
    <w:tbl>
      <w:tblPr>
        <w:tblLayout w:type="fixed"/>
        <w:tblInd w:w="330" w:type="dxa"/>
        <w:tblCellMar>
          <w:top w:w="0" w:type="dxa"/>
          <w:left w:w="0" w:type="dxa"/>
          <w:bottom w:w="0" w:type="dxa"/>
          <w:right w:w="0" w:type="dxa"/>
        </w:tblCellMar>
      </w:tblPr>
      <w:tr>
        <w:trPr>
          <w:trHeight w:val="175"/>
        </w:trPr>
        <w:tc>
          <w:tcPr>
            <w:tcW w:w="1320" w:type="dxa"/>
            <w:vAlign w:val="bottom"/>
            <w:tcBorders>
              <w:top w:val="single" w:sz="8" w:color="auto"/>
              <w:left w:val="single" w:sz="8" w:color="auto"/>
              <w:right w:val="single" w:sz="8" w:color="auto"/>
            </w:tcBorders>
            <w:shd w:val="clear" w:color="auto" w:fill="D9D9D9"/>
          </w:tcPr>
          <w:p>
            <w:pPr>
              <w:ind w:left="60"/>
              <w:spacing w:after="0" w:line="175" w:lineRule="exact"/>
              <w:rPr>
                <w:sz w:val="20"/>
                <w:szCs w:val="20"/>
                <w:color w:val="auto"/>
              </w:rPr>
            </w:pPr>
            <w:r>
              <w:rPr>
                <w:rFonts w:ascii="Arial" w:cs="Arial" w:eastAsia="Arial" w:hAnsi="Arial"/>
                <w:sz w:val="16"/>
                <w:szCs w:val="16"/>
                <w:b w:val="1"/>
                <w:bCs w:val="1"/>
                <w:color w:val="auto"/>
              </w:rPr>
              <w:t>Absolute</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Peer</w:t>
            </w:r>
          </w:p>
        </w:tc>
        <w:tc>
          <w:tcPr>
            <w:tcW w:w="86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tcBorders>
              <w:left w:val="single" w:sz="8" w:color="auto"/>
              <w:right w:val="single" w:sz="8" w:color="auto"/>
            </w:tcBorders>
            <w:shd w:val="clear" w:color="auto" w:fill="D9D9D9"/>
          </w:tcPr>
          <w:p>
            <w:pPr>
              <w:ind w:left="60"/>
              <w:spacing w:after="0" w:line="162" w:lineRule="exact"/>
              <w:rPr>
                <w:sz w:val="20"/>
                <w:szCs w:val="20"/>
                <w:color w:val="auto"/>
              </w:rPr>
            </w:pPr>
            <w:r>
              <w:rPr>
                <w:rFonts w:ascii="Arial" w:cs="Arial" w:eastAsia="Arial" w:hAnsi="Arial"/>
                <w:sz w:val="16"/>
                <w:szCs w:val="16"/>
                <w:b w:val="1"/>
                <w:bCs w:val="1"/>
                <w:color w:val="auto"/>
              </w:rPr>
              <w:t>Percentage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-24.0 pp</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 pp</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-12.0 pp</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 pp</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-0.01 pp</w:t>
            </w:r>
          </w:p>
        </w:tc>
        <w:tc>
          <w:tcPr>
            <w:tcW w:w="840" w:type="dxa"/>
            <w:vAlign w:val="bottom"/>
            <w:tcBorders>
              <w:right w:val="single" w:sz="8" w:color="auto"/>
            </w:tcBorders>
            <w:vMerge w:val="continue"/>
            <w:shd w:val="clear" w:color="auto" w:fill="D9D9D9"/>
          </w:tcPr>
          <w:p>
            <w:pPr>
              <w:spacing w:after="0"/>
              <w:rPr>
                <w:sz w:val="14"/>
                <w:szCs w:val="1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 pp</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+12.0 pp</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 pp</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+24.0 pp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320" w:type="dxa"/>
            <w:vAlign w:val="bottom"/>
            <w:tcBorders>
              <w:left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6"/>
                <w:szCs w:val="16"/>
                <w:b w:val="1"/>
                <w:bCs w:val="1"/>
                <w:color w:val="auto"/>
              </w:rPr>
              <w:t>Point (pp)</w:t>
            </w:r>
          </w:p>
        </w:tc>
        <w:tc>
          <w:tcPr>
            <w:tcW w:w="74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&lt; -30pp</w:t>
            </w:r>
          </w:p>
        </w:tc>
        <w:tc>
          <w:tcPr>
            <w:tcW w:w="8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Median</w:t>
            </w:r>
          </w:p>
        </w:tc>
        <w:tc>
          <w:tcPr>
            <w:tcW w:w="8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4"/>
                <w:szCs w:val="14"/>
                <w:color w:val="auto"/>
              </w:rPr>
              <w:t>&gt; +30 pp</w:t>
            </w:r>
          </w:p>
        </w:tc>
        <w:tc>
          <w:tcPr>
            <w:tcW w:w="0" w:type="dxa"/>
            <w:vAlign w:val="bottom"/>
          </w:tcPr>
          <w:p>
            <w:pPr>
              <w:spacing w:after="0"/>
              <w:rPr>
                <w:sz w:val="1"/>
                <w:szCs w:val="1"/>
                <w:color w:val="auto"/>
              </w:rPr>
            </w:pPr>
          </w:p>
        </w:tc>
      </w:tr>
      <w:tr>
        <w:trPr>
          <w:trHeight w:val="137"/>
        </w:trPr>
        <w:tc>
          <w:tcPr>
            <w:tcW w:w="132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740" w:type="dxa"/>
            <w:vAlign w:val="bottom"/>
            <w:tcBorders>
              <w:right w:val="single" w:sz="8" w:color="auto"/>
            </w:tcBorders>
            <w:gridSpan w:val="3"/>
            <w:vMerge w:val="continue"/>
          </w:tcPr>
          <w:p>
            <w:pPr>
              <w:spacing w:after="0"/>
              <w:rPr>
                <w:sz w:val="11"/>
                <w:szCs w:val="11"/>
                <w:color w:val="auto"/>
              </w:rPr>
            </w:pPr>
          </w:p>
        </w:tc>
        <w:tc>
          <w:tcPr>
            <w:tcW w:w="8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40" w:type="dxa"/>
            <w:vAlign w:val="bottom"/>
            <w:tcBorders>
              <w:right w:val="single" w:sz="8" w:color="auto"/>
            </w:tcBorders>
            <w:vMerge w:val="continue"/>
            <w:shd w:val="clear" w:color="auto" w:fill="D9D9D9"/>
          </w:tcPr>
          <w:p>
            <w:pPr>
              <w:spacing w:after="0"/>
              <w:rPr>
                <w:sz w:val="11"/>
                <w:szCs w:val="11"/>
                <w:color w:val="auto"/>
              </w:rPr>
            </w:pPr>
          </w:p>
        </w:tc>
        <w:tc>
          <w:tcPr>
            <w:tcW w:w="8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86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color w:val="auto"/>
              </w:rPr>
              <w:t>to</w:t>
            </w:r>
          </w:p>
        </w:tc>
        <w:tc>
          <w:tcPr>
            <w:tcW w:w="74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20" w:type="dxa"/>
            <w:vAlign w:val="bottom"/>
            <w:tcBorders>
              <w:top w:val="single" w:sz="8" w:color="D9D9D9"/>
              <w:left w:val="single" w:sz="8" w:color="auto"/>
              <w:right w:val="single" w:sz="8" w:color="auto"/>
            </w:tcBorders>
            <w:shd w:val="clear" w:color="auto" w:fill="D9D9D9"/>
          </w:tcPr>
          <w:p>
            <w:pPr>
              <w:ind w:left="60"/>
              <w:spacing w:after="0" w:line="108" w:lineRule="exact"/>
              <w:rPr>
                <w:sz w:val="20"/>
                <w:szCs w:val="20"/>
                <w:color w:val="auto"/>
              </w:rPr>
            </w:pPr>
            <w:r>
              <w:rPr>
                <w:rFonts w:ascii="Arial" w:cs="Arial" w:eastAsia="Arial" w:hAnsi="Arial"/>
                <w:sz w:val="12"/>
                <w:szCs w:val="12"/>
                <w:b w:val="1"/>
                <w:bCs w:val="1"/>
                <w:color w:val="auto"/>
              </w:rPr>
              <w:t>Difference from</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-29.9 pp</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-23.9 pp</w:t>
            </w:r>
          </w:p>
        </w:tc>
        <w:tc>
          <w:tcPr>
            <w:tcW w:w="7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-17.9 pp</w:t>
            </w:r>
          </w:p>
        </w:tc>
        <w:tc>
          <w:tcPr>
            <w:tcW w:w="7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-11.9 pp</w:t>
            </w:r>
          </w:p>
        </w:tc>
        <w:tc>
          <w:tcPr>
            <w:tcW w:w="7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-5.9 pp</w:t>
            </w:r>
          </w:p>
        </w:tc>
        <w:tc>
          <w:tcPr>
            <w:tcW w:w="840" w:type="dxa"/>
            <w:vAlign w:val="bottom"/>
            <w:tcBorders>
              <w:top w:val="single" w:sz="8" w:color="D9D9D9"/>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to</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+11.9 pp</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+17.9 pp</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+23.9 pp</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color w:val="auto"/>
              </w:rPr>
              <w:t>+29.9 pp</w:t>
            </w: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right w:val="single" w:sz="8" w:color="auto"/>
            </w:tcBorders>
            <w:shd w:val="clear" w:color="auto" w:fill="D9D9D9"/>
          </w:tcPr>
          <w:p>
            <w:pPr>
              <w:ind w:left="60"/>
              <w:spacing w:after="0" w:line="108" w:lineRule="exact"/>
              <w:rPr>
                <w:sz w:val="20"/>
                <w:szCs w:val="20"/>
                <w:color w:val="auto"/>
              </w:rPr>
            </w:pPr>
            <w:r>
              <w:rPr>
                <w:rFonts w:ascii="Arial" w:cs="Arial" w:eastAsia="Arial" w:hAnsi="Arial"/>
                <w:sz w:val="12"/>
                <w:szCs w:val="12"/>
                <w:b w:val="1"/>
                <w:bCs w:val="1"/>
                <w:color w:val="auto"/>
              </w:rPr>
              <w:t>Peer Median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+5.9 pp</w:t>
            </w:r>
          </w:p>
        </w:tc>
        <w:tc>
          <w:tcPr>
            <w:tcW w:w="8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320" w:type="dxa"/>
            <w:vAlign w:val="bottom"/>
            <w:tcBorders>
              <w:left w:val="single" w:sz="8" w:color="auto"/>
              <w:bottom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6"/>
                <w:szCs w:val="16"/>
                <w:b w:val="1"/>
                <w:bCs w:val="1"/>
                <w:color w:val="auto"/>
              </w:rPr>
              <w:t>TSR</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shd w:val="clear" w:color="auto" w:fill="D9D9D9"/>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20" w:type="dxa"/>
            <w:vAlign w:val="bottom"/>
            <w:tcBorders>
              <w:left w:val="single" w:sz="8" w:color="auto"/>
              <w:right w:val="single" w:sz="8" w:color="auto"/>
            </w:tcBorders>
            <w:shd w:val="clear" w:color="auto" w:fill="D9D9D9"/>
          </w:tcPr>
          <w:p>
            <w:pPr>
              <w:ind w:left="60"/>
              <w:spacing w:after="0" w:line="170" w:lineRule="exact"/>
              <w:rPr>
                <w:sz w:val="20"/>
                <w:szCs w:val="20"/>
                <w:color w:val="auto"/>
              </w:rPr>
            </w:pPr>
            <w:r>
              <w:rPr>
                <w:rFonts w:ascii="Arial" w:cs="Arial" w:eastAsia="Arial" w:hAnsi="Arial"/>
                <w:sz w:val="18"/>
                <w:szCs w:val="18"/>
                <w:b w:val="1"/>
                <w:bCs w:val="1"/>
                <w:color w:val="auto"/>
              </w:rPr>
              <w:t>Payout</w:t>
            </w:r>
          </w:p>
        </w:tc>
        <w:tc>
          <w:tcPr>
            <w:tcW w:w="740" w:type="dxa"/>
            <w:vAlign w:val="bottom"/>
            <w:tcBorders>
              <w:right w:val="single" w:sz="8" w:color="auto"/>
            </w:tcBorders>
            <w:gridSpan w:val="3"/>
            <w:vMerge w:val="restart"/>
            <w:shd w:val="clear" w:color="auto" w:fill="F2F2F2"/>
          </w:tcPr>
          <w:p>
            <w:pPr>
              <w:jc w:val="right"/>
              <w:ind w:right="240"/>
              <w:spacing w:after="0"/>
              <w:rPr>
                <w:sz w:val="20"/>
                <w:szCs w:val="20"/>
                <w:color w:val="auto"/>
              </w:rPr>
            </w:pPr>
            <w:r>
              <w:rPr>
                <w:rFonts w:ascii="Arial" w:cs="Arial" w:eastAsia="Arial" w:hAnsi="Arial"/>
                <w:sz w:val="20"/>
                <w:szCs w:val="20"/>
                <w:b w:val="1"/>
                <w:bCs w:val="1"/>
                <w:color w:val="auto"/>
              </w:rPr>
              <w:t>0.0</w:t>
            </w:r>
          </w:p>
        </w:tc>
        <w:tc>
          <w:tcPr>
            <w:tcW w:w="8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0.25</w:t>
            </w:r>
          </w:p>
        </w:tc>
        <w:tc>
          <w:tcPr>
            <w:tcW w:w="8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0.40</w:t>
            </w:r>
          </w:p>
        </w:tc>
        <w:tc>
          <w:tcPr>
            <w:tcW w:w="7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0.55</w:t>
            </w:r>
          </w:p>
        </w:tc>
        <w:tc>
          <w:tcPr>
            <w:tcW w:w="7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0.70</w:t>
            </w:r>
          </w:p>
        </w:tc>
        <w:tc>
          <w:tcPr>
            <w:tcW w:w="7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0.85</w:t>
            </w:r>
          </w:p>
        </w:tc>
        <w:tc>
          <w:tcPr>
            <w:tcW w:w="8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7"/>
              </w:rPr>
              <w:t>1.00</w:t>
            </w:r>
          </w:p>
        </w:tc>
        <w:tc>
          <w:tcPr>
            <w:tcW w:w="8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rPr>
              <w:t>1.15</w:t>
            </w:r>
          </w:p>
        </w:tc>
        <w:tc>
          <w:tcPr>
            <w:tcW w:w="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1.30</w:t>
            </w:r>
          </w:p>
        </w:tc>
        <w:tc>
          <w:tcPr>
            <w:tcW w:w="8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w w:val="97"/>
              </w:rPr>
              <w:t>1.45</w:t>
            </w:r>
          </w:p>
        </w:tc>
        <w:tc>
          <w:tcPr>
            <w:tcW w:w="86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20"/>
                <w:szCs w:val="20"/>
                <w:b w:val="1"/>
                <w:bCs w:val="1"/>
                <w:color w:val="auto"/>
              </w:rPr>
              <w:t>1.60</w:t>
            </w:r>
          </w:p>
        </w:tc>
        <w:tc>
          <w:tcPr>
            <w:tcW w:w="740" w:type="dxa"/>
            <w:vAlign w:val="bottom"/>
            <w:tcBorders>
              <w:right w:val="single" w:sz="8" w:color="auto"/>
            </w:tcBorders>
            <w:gridSpan w:val="3"/>
            <w:vMerge w:val="restart"/>
            <w:shd w:val="clear" w:color="auto" w:fill="F2F2F2"/>
          </w:tcPr>
          <w:p>
            <w:pPr>
              <w:jc w:val="right"/>
              <w:ind w:right="180"/>
              <w:spacing w:after="0"/>
              <w:rPr>
                <w:sz w:val="20"/>
                <w:szCs w:val="20"/>
                <w:color w:val="auto"/>
              </w:rPr>
            </w:pPr>
            <w:r>
              <w:rPr>
                <w:rFonts w:ascii="Arial" w:cs="Arial" w:eastAsia="Arial" w:hAnsi="Arial"/>
                <w:sz w:val="20"/>
                <w:szCs w:val="20"/>
                <w:b w:val="1"/>
                <w:bCs w:val="1"/>
                <w:color w:val="auto"/>
              </w:rPr>
              <w:t>1.75</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righ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b w:val="1"/>
                <w:bCs w:val="1"/>
                <w:color w:val="auto"/>
              </w:rPr>
              <w:t>Multiple</w:t>
            </w:r>
          </w:p>
        </w:tc>
        <w:tc>
          <w:tcPr>
            <w:tcW w:w="740" w:type="dxa"/>
            <w:vAlign w:val="bottom"/>
            <w:tcBorders>
              <w:right w:val="single" w:sz="8" w:color="auto"/>
            </w:tcBorders>
            <w:gridSpan w:val="3"/>
            <w:vMerge w:val="continue"/>
            <w:shd w:val="clear" w:color="auto" w:fill="F2F2F2"/>
          </w:tcPr>
          <w:p>
            <w:pPr>
              <w:spacing w:after="0"/>
              <w:rPr>
                <w:sz w:val="13"/>
                <w:szCs w:val="13"/>
                <w:color w:val="auto"/>
              </w:rPr>
            </w:pPr>
          </w:p>
        </w:tc>
        <w:tc>
          <w:tcPr>
            <w:tcW w:w="840" w:type="dxa"/>
            <w:vAlign w:val="bottom"/>
            <w:tcBorders>
              <w:right w:val="single" w:sz="8" w:color="auto"/>
            </w:tcBorders>
            <w:vMerge w:val="continue"/>
            <w:shd w:val="clear" w:color="auto" w:fill="F2F2F2"/>
          </w:tcPr>
          <w:p>
            <w:pPr>
              <w:spacing w:after="0"/>
              <w:rPr>
                <w:sz w:val="13"/>
                <w:szCs w:val="13"/>
                <w:color w:val="auto"/>
              </w:rPr>
            </w:pPr>
          </w:p>
        </w:tc>
        <w:tc>
          <w:tcPr>
            <w:tcW w:w="840" w:type="dxa"/>
            <w:vAlign w:val="bottom"/>
            <w:tcBorders>
              <w:right w:val="single" w:sz="8" w:color="auto"/>
            </w:tcBorders>
            <w:vMerge w:val="continue"/>
            <w:shd w:val="clear" w:color="auto" w:fill="F2F2F2"/>
          </w:tcPr>
          <w:p>
            <w:pPr>
              <w:spacing w:after="0"/>
              <w:rPr>
                <w:sz w:val="13"/>
                <w:szCs w:val="13"/>
                <w:color w:val="auto"/>
              </w:rPr>
            </w:pPr>
          </w:p>
        </w:tc>
        <w:tc>
          <w:tcPr>
            <w:tcW w:w="760" w:type="dxa"/>
            <w:vAlign w:val="bottom"/>
            <w:tcBorders>
              <w:right w:val="single" w:sz="8" w:color="auto"/>
            </w:tcBorders>
            <w:vMerge w:val="continue"/>
            <w:shd w:val="clear" w:color="auto" w:fill="F2F2F2"/>
          </w:tcPr>
          <w:p>
            <w:pPr>
              <w:spacing w:after="0"/>
              <w:rPr>
                <w:sz w:val="13"/>
                <w:szCs w:val="13"/>
                <w:color w:val="auto"/>
              </w:rPr>
            </w:pPr>
          </w:p>
        </w:tc>
        <w:tc>
          <w:tcPr>
            <w:tcW w:w="760" w:type="dxa"/>
            <w:vAlign w:val="bottom"/>
            <w:tcBorders>
              <w:right w:val="single" w:sz="8" w:color="auto"/>
            </w:tcBorders>
            <w:vMerge w:val="continue"/>
            <w:shd w:val="clear" w:color="auto" w:fill="F2F2F2"/>
          </w:tcPr>
          <w:p>
            <w:pPr>
              <w:spacing w:after="0"/>
              <w:rPr>
                <w:sz w:val="13"/>
                <w:szCs w:val="13"/>
                <w:color w:val="auto"/>
              </w:rPr>
            </w:pPr>
          </w:p>
        </w:tc>
        <w:tc>
          <w:tcPr>
            <w:tcW w:w="760" w:type="dxa"/>
            <w:vAlign w:val="bottom"/>
            <w:tcBorders>
              <w:right w:val="single" w:sz="8" w:color="auto"/>
            </w:tcBorders>
            <w:vMerge w:val="continue"/>
            <w:shd w:val="clear" w:color="auto" w:fill="F2F2F2"/>
          </w:tcPr>
          <w:p>
            <w:pPr>
              <w:spacing w:after="0"/>
              <w:rPr>
                <w:sz w:val="13"/>
                <w:szCs w:val="13"/>
                <w:color w:val="auto"/>
              </w:rPr>
            </w:pPr>
          </w:p>
        </w:tc>
        <w:tc>
          <w:tcPr>
            <w:tcW w:w="840" w:type="dxa"/>
            <w:vAlign w:val="bottom"/>
            <w:tcBorders>
              <w:right w:val="single" w:sz="8" w:color="auto"/>
            </w:tcBorders>
            <w:vMerge w:val="continue"/>
            <w:shd w:val="clear" w:color="auto" w:fill="D9D9D9"/>
          </w:tcPr>
          <w:p>
            <w:pPr>
              <w:spacing w:after="0"/>
              <w:rPr>
                <w:sz w:val="13"/>
                <w:szCs w:val="13"/>
                <w:color w:val="auto"/>
              </w:rPr>
            </w:pPr>
          </w:p>
        </w:tc>
        <w:tc>
          <w:tcPr>
            <w:tcW w:w="860" w:type="dxa"/>
            <w:vAlign w:val="bottom"/>
            <w:tcBorders>
              <w:right w:val="single" w:sz="8" w:color="auto"/>
            </w:tcBorders>
            <w:vMerge w:val="continue"/>
            <w:shd w:val="clear" w:color="auto" w:fill="F2F2F2"/>
          </w:tcPr>
          <w:p>
            <w:pPr>
              <w:spacing w:after="0"/>
              <w:rPr>
                <w:sz w:val="13"/>
                <w:szCs w:val="13"/>
                <w:color w:val="auto"/>
              </w:rPr>
            </w:pPr>
          </w:p>
        </w:tc>
        <w:tc>
          <w:tcPr>
            <w:tcW w:w="740" w:type="dxa"/>
            <w:vAlign w:val="bottom"/>
            <w:tcBorders>
              <w:right w:val="single" w:sz="8" w:color="auto"/>
            </w:tcBorders>
            <w:vMerge w:val="continue"/>
            <w:shd w:val="clear" w:color="auto" w:fill="F2F2F2"/>
          </w:tcPr>
          <w:p>
            <w:pPr>
              <w:spacing w:after="0"/>
              <w:rPr>
                <w:sz w:val="13"/>
                <w:szCs w:val="13"/>
                <w:color w:val="auto"/>
              </w:rPr>
            </w:pPr>
          </w:p>
        </w:tc>
        <w:tc>
          <w:tcPr>
            <w:tcW w:w="860" w:type="dxa"/>
            <w:vAlign w:val="bottom"/>
            <w:tcBorders>
              <w:right w:val="single" w:sz="8" w:color="auto"/>
            </w:tcBorders>
            <w:vMerge w:val="continue"/>
            <w:shd w:val="clear" w:color="auto" w:fill="F2F2F2"/>
          </w:tcPr>
          <w:p>
            <w:pPr>
              <w:spacing w:after="0"/>
              <w:rPr>
                <w:sz w:val="13"/>
                <w:szCs w:val="13"/>
                <w:color w:val="auto"/>
              </w:rPr>
            </w:pPr>
          </w:p>
        </w:tc>
        <w:tc>
          <w:tcPr>
            <w:tcW w:w="860" w:type="dxa"/>
            <w:vAlign w:val="bottom"/>
            <w:tcBorders>
              <w:right w:val="single" w:sz="8" w:color="auto"/>
            </w:tcBorders>
            <w:vMerge w:val="continue"/>
            <w:shd w:val="clear" w:color="auto" w:fill="F2F2F2"/>
          </w:tcPr>
          <w:p>
            <w:pPr>
              <w:spacing w:after="0"/>
              <w:rPr>
                <w:sz w:val="13"/>
                <w:szCs w:val="13"/>
                <w:color w:val="auto"/>
              </w:rPr>
            </w:pPr>
          </w:p>
        </w:tc>
        <w:tc>
          <w:tcPr>
            <w:tcW w:w="740" w:type="dxa"/>
            <w:vAlign w:val="bottom"/>
            <w:tcBorders>
              <w:right w:val="single" w:sz="8" w:color="auto"/>
            </w:tcBorders>
            <w:gridSpan w:val="3"/>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320" w:type="dxa"/>
            <w:vAlign w:val="bottom"/>
            <w:tcBorders>
              <w:left w:val="single" w:sz="8" w:color="auto"/>
              <w:bottom w:val="single" w:sz="8" w:color="auto"/>
              <w:right w:val="single" w:sz="8" w:color="auto"/>
            </w:tcBorders>
            <w:vMerge w:val="continue"/>
            <w:shd w:val="clear" w:color="auto" w:fill="D9D9D9"/>
          </w:tcPr>
          <w:p>
            <w:pPr>
              <w:spacing w:after="0"/>
              <w:rPr>
                <w:sz w:val="6"/>
                <w:szCs w:val="6"/>
                <w:color w:val="auto"/>
              </w:rPr>
            </w:pPr>
          </w:p>
        </w:tc>
        <w:tc>
          <w:tcPr>
            <w:tcW w:w="120" w:type="dxa"/>
            <w:vAlign w:val="bottom"/>
            <w:tcBorders>
              <w:bottom w:val="single" w:sz="8" w:color="auto"/>
            </w:tcBorders>
            <w:shd w:val="clear" w:color="auto" w:fill="F2F2F2"/>
          </w:tcPr>
          <w:p>
            <w:pPr>
              <w:spacing w:after="0"/>
              <w:rPr>
                <w:sz w:val="6"/>
                <w:szCs w:val="6"/>
                <w:color w:val="auto"/>
              </w:rPr>
            </w:pPr>
          </w:p>
        </w:tc>
        <w:tc>
          <w:tcPr>
            <w:tcW w:w="80" w:type="dxa"/>
            <w:vAlign w:val="bottom"/>
            <w:tcBorders>
              <w:bottom w:val="single" w:sz="8" w:color="auto"/>
            </w:tcBorders>
            <w:shd w:val="clear" w:color="auto" w:fill="F2F2F2"/>
          </w:tcPr>
          <w:p>
            <w:pPr>
              <w:spacing w:after="0"/>
              <w:rPr>
                <w:sz w:val="6"/>
                <w:szCs w:val="6"/>
                <w:color w:val="auto"/>
              </w:rPr>
            </w:pPr>
          </w:p>
        </w:tc>
        <w:tc>
          <w:tcPr>
            <w:tcW w:w="540" w:type="dxa"/>
            <w:vAlign w:val="bottom"/>
            <w:tcBorders>
              <w:bottom w:val="single" w:sz="8" w:color="auto"/>
              <w:right w:val="single" w:sz="8" w:color="auto"/>
            </w:tcBorders>
            <w:shd w:val="clear" w:color="auto" w:fill="F2F2F2"/>
          </w:tcPr>
          <w:p>
            <w:pPr>
              <w:spacing w:after="0"/>
              <w:rPr>
                <w:sz w:val="6"/>
                <w:szCs w:val="6"/>
                <w:color w:val="auto"/>
              </w:rPr>
            </w:pPr>
          </w:p>
        </w:tc>
        <w:tc>
          <w:tcPr>
            <w:tcW w:w="840" w:type="dxa"/>
            <w:vAlign w:val="bottom"/>
            <w:tcBorders>
              <w:bottom w:val="single" w:sz="8" w:color="auto"/>
              <w:right w:val="single" w:sz="8" w:color="auto"/>
            </w:tcBorders>
            <w:shd w:val="clear" w:color="auto" w:fill="F2F2F2"/>
          </w:tcPr>
          <w:p>
            <w:pPr>
              <w:spacing w:after="0"/>
              <w:rPr>
                <w:sz w:val="6"/>
                <w:szCs w:val="6"/>
                <w:color w:val="auto"/>
              </w:rPr>
            </w:pPr>
          </w:p>
        </w:tc>
        <w:tc>
          <w:tcPr>
            <w:tcW w:w="840" w:type="dxa"/>
            <w:vAlign w:val="bottom"/>
            <w:tcBorders>
              <w:bottom w:val="single" w:sz="8" w:color="auto"/>
              <w:right w:val="single" w:sz="8" w:color="auto"/>
            </w:tcBorders>
            <w:shd w:val="clear" w:color="auto" w:fill="F2F2F2"/>
          </w:tcPr>
          <w:p>
            <w:pPr>
              <w:spacing w:after="0"/>
              <w:rPr>
                <w:sz w:val="6"/>
                <w:szCs w:val="6"/>
                <w:color w:val="auto"/>
              </w:rPr>
            </w:pPr>
          </w:p>
        </w:tc>
        <w:tc>
          <w:tcPr>
            <w:tcW w:w="760" w:type="dxa"/>
            <w:vAlign w:val="bottom"/>
            <w:tcBorders>
              <w:bottom w:val="single" w:sz="8" w:color="auto"/>
              <w:right w:val="single" w:sz="8" w:color="auto"/>
            </w:tcBorders>
            <w:shd w:val="clear" w:color="auto" w:fill="F2F2F2"/>
          </w:tcPr>
          <w:p>
            <w:pPr>
              <w:spacing w:after="0"/>
              <w:rPr>
                <w:sz w:val="6"/>
                <w:szCs w:val="6"/>
                <w:color w:val="auto"/>
              </w:rPr>
            </w:pPr>
          </w:p>
        </w:tc>
        <w:tc>
          <w:tcPr>
            <w:tcW w:w="760" w:type="dxa"/>
            <w:vAlign w:val="bottom"/>
            <w:tcBorders>
              <w:bottom w:val="single" w:sz="8" w:color="auto"/>
              <w:right w:val="single" w:sz="8" w:color="auto"/>
            </w:tcBorders>
            <w:shd w:val="clear" w:color="auto" w:fill="F2F2F2"/>
          </w:tcPr>
          <w:p>
            <w:pPr>
              <w:spacing w:after="0"/>
              <w:rPr>
                <w:sz w:val="6"/>
                <w:szCs w:val="6"/>
                <w:color w:val="auto"/>
              </w:rPr>
            </w:pPr>
          </w:p>
        </w:tc>
        <w:tc>
          <w:tcPr>
            <w:tcW w:w="760" w:type="dxa"/>
            <w:vAlign w:val="bottom"/>
            <w:tcBorders>
              <w:bottom w:val="single" w:sz="8" w:color="auto"/>
              <w:right w:val="single" w:sz="8" w:color="auto"/>
            </w:tcBorders>
            <w:shd w:val="clear" w:color="auto" w:fill="F2F2F2"/>
          </w:tcPr>
          <w:p>
            <w:pPr>
              <w:spacing w:after="0"/>
              <w:rPr>
                <w:sz w:val="6"/>
                <w:szCs w:val="6"/>
                <w:color w:val="auto"/>
              </w:rPr>
            </w:pPr>
          </w:p>
        </w:tc>
        <w:tc>
          <w:tcPr>
            <w:tcW w:w="840" w:type="dxa"/>
            <w:vAlign w:val="bottom"/>
            <w:tcBorders>
              <w:bottom w:val="single" w:sz="8" w:color="auto"/>
              <w:right w:val="single" w:sz="8" w:color="auto"/>
            </w:tcBorders>
            <w:shd w:val="clear" w:color="auto" w:fill="D9D9D9"/>
          </w:tcPr>
          <w:p>
            <w:pPr>
              <w:spacing w:after="0"/>
              <w:rPr>
                <w:sz w:val="6"/>
                <w:szCs w:val="6"/>
                <w:color w:val="auto"/>
              </w:rPr>
            </w:pPr>
          </w:p>
        </w:tc>
        <w:tc>
          <w:tcPr>
            <w:tcW w:w="860" w:type="dxa"/>
            <w:vAlign w:val="bottom"/>
            <w:tcBorders>
              <w:bottom w:val="single" w:sz="8" w:color="auto"/>
              <w:right w:val="single" w:sz="8" w:color="auto"/>
            </w:tcBorders>
            <w:shd w:val="clear" w:color="auto" w:fill="F2F2F2"/>
          </w:tcPr>
          <w:p>
            <w:pPr>
              <w:spacing w:after="0"/>
              <w:rPr>
                <w:sz w:val="6"/>
                <w:szCs w:val="6"/>
                <w:color w:val="auto"/>
              </w:rPr>
            </w:pPr>
          </w:p>
        </w:tc>
        <w:tc>
          <w:tcPr>
            <w:tcW w:w="740" w:type="dxa"/>
            <w:vAlign w:val="bottom"/>
            <w:tcBorders>
              <w:bottom w:val="single" w:sz="8" w:color="auto"/>
              <w:right w:val="single" w:sz="8" w:color="auto"/>
            </w:tcBorders>
            <w:shd w:val="clear" w:color="auto" w:fill="F2F2F2"/>
          </w:tcPr>
          <w:p>
            <w:pPr>
              <w:spacing w:after="0"/>
              <w:rPr>
                <w:sz w:val="6"/>
                <w:szCs w:val="6"/>
                <w:color w:val="auto"/>
              </w:rPr>
            </w:pPr>
          </w:p>
        </w:tc>
        <w:tc>
          <w:tcPr>
            <w:tcW w:w="860" w:type="dxa"/>
            <w:vAlign w:val="bottom"/>
            <w:tcBorders>
              <w:bottom w:val="single" w:sz="8" w:color="auto"/>
              <w:right w:val="single" w:sz="8" w:color="auto"/>
            </w:tcBorders>
            <w:shd w:val="clear" w:color="auto" w:fill="F2F2F2"/>
          </w:tcPr>
          <w:p>
            <w:pPr>
              <w:spacing w:after="0"/>
              <w:rPr>
                <w:sz w:val="6"/>
                <w:szCs w:val="6"/>
                <w:color w:val="auto"/>
              </w:rPr>
            </w:pPr>
          </w:p>
        </w:tc>
        <w:tc>
          <w:tcPr>
            <w:tcW w:w="860" w:type="dxa"/>
            <w:vAlign w:val="bottom"/>
            <w:tcBorders>
              <w:bottom w:val="single" w:sz="8" w:color="auto"/>
              <w:right w:val="single" w:sz="8" w:color="auto"/>
            </w:tcBorders>
            <w:shd w:val="clear" w:color="auto" w:fill="F2F2F2"/>
          </w:tcPr>
          <w:p>
            <w:pPr>
              <w:spacing w:after="0"/>
              <w:rPr>
                <w:sz w:val="6"/>
                <w:szCs w:val="6"/>
                <w:color w:val="auto"/>
              </w:rPr>
            </w:pPr>
          </w:p>
        </w:tc>
        <w:tc>
          <w:tcPr>
            <w:tcW w:w="80" w:type="dxa"/>
            <w:vAlign w:val="bottom"/>
            <w:tcBorders>
              <w:bottom w:val="single" w:sz="8" w:color="auto"/>
            </w:tcBorders>
            <w:shd w:val="clear" w:color="auto" w:fill="F2F2F2"/>
          </w:tcPr>
          <w:p>
            <w:pPr>
              <w:spacing w:after="0"/>
              <w:rPr>
                <w:sz w:val="6"/>
                <w:szCs w:val="6"/>
                <w:color w:val="auto"/>
              </w:rPr>
            </w:pPr>
          </w:p>
        </w:tc>
        <w:tc>
          <w:tcPr>
            <w:tcW w:w="80" w:type="dxa"/>
            <w:vAlign w:val="bottom"/>
            <w:tcBorders>
              <w:bottom w:val="single" w:sz="8" w:color="auto"/>
            </w:tcBorders>
            <w:shd w:val="clear" w:color="auto" w:fill="F2F2F2"/>
          </w:tcPr>
          <w:p>
            <w:pPr>
              <w:spacing w:after="0"/>
              <w:rPr>
                <w:sz w:val="6"/>
                <w:szCs w:val="6"/>
                <w:color w:val="auto"/>
              </w:rPr>
            </w:pPr>
          </w:p>
        </w:tc>
        <w:tc>
          <w:tcPr>
            <w:tcW w:w="580" w:type="dxa"/>
            <w:vAlign w:val="bottom"/>
            <w:tcBorders>
              <w:bottom w:val="single" w:sz="8" w:color="auto"/>
              <w:right w:val="single" w:sz="8" w:color="auto"/>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340"/>
        <w:spacing w:after="0"/>
        <w:tabs>
          <w:tab w:leader="none" w:pos="2980" w:val="left"/>
        </w:tabs>
        <w:rPr>
          <w:sz w:val="20"/>
          <w:szCs w:val="20"/>
          <w:color w:val="auto"/>
        </w:rPr>
      </w:pPr>
      <w:r>
        <w:rPr>
          <w:rFonts w:ascii="Arial" w:cs="Arial" w:eastAsia="Arial" w:hAnsi="Arial"/>
          <w:sz w:val="25"/>
          <w:szCs w:val="25"/>
          <w:color w:val="auto"/>
        </w:rPr>
        <w:t>Performance Period:</w:t>
        <w:tab/>
        <w:t>January 1, 2022 – December 31, 2024</w:t>
      </w:r>
    </w:p>
    <w:p>
      <w:pPr>
        <w:sectPr>
          <w:pgSz w:w="11900" w:h="16838" w:orient="portrait"/>
          <w:cols w:equalWidth="0" w:num="1">
            <w:col w:w="11240"/>
          </w:cols>
          <w:pgMar w:left="320" w:top="1440" w:right="33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59"/>
        <w:spacing w:after="0"/>
        <w:rPr>
          <w:sz w:val="20"/>
          <w:szCs w:val="20"/>
          <w:color w:val="auto"/>
        </w:rPr>
      </w:pPr>
      <w:r>
        <w:rPr>
          <w:rFonts w:ascii="Arial" w:cs="Arial" w:eastAsia="Arial" w:hAnsi="Arial"/>
          <w:sz w:val="25"/>
          <w:szCs w:val="25"/>
          <w:color w:val="auto"/>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6180" w:type="dxa"/>
            <w:vAlign w:val="bottom"/>
            <w:gridSpan w:val="18"/>
          </w:tcPr>
          <w:p>
            <w:pPr>
              <w:spacing w:after="0"/>
              <w:rPr>
                <w:sz w:val="20"/>
                <w:szCs w:val="20"/>
                <w:color w:val="auto"/>
              </w:rPr>
            </w:pPr>
            <w:r>
              <w:rPr>
                <w:rFonts w:ascii="Arial" w:cs="Arial" w:eastAsia="Arial" w:hAnsi="Arial"/>
                <w:sz w:val="22"/>
                <w:szCs w:val="22"/>
                <w:color w:val="auto"/>
              </w:rPr>
              <w:t>Section 1.  Grant of Relative Value Award</w:t>
            </w:r>
          </w:p>
        </w:tc>
        <w:tc>
          <w:tcPr>
            <w:tcW w:w="4520" w:type="dxa"/>
            <w:vAlign w:val="bottom"/>
          </w:tcPr>
          <w:p>
            <w:pPr>
              <w:ind w:left="4280"/>
              <w:spacing w:after="0"/>
              <w:rPr>
                <w:sz w:val="20"/>
                <w:szCs w:val="20"/>
                <w:color w:val="auto"/>
              </w:rPr>
            </w:pPr>
            <w:r>
              <w:rPr>
                <w:rFonts w:ascii="Arial" w:cs="Arial" w:eastAsia="Arial" w:hAnsi="Arial"/>
                <w:sz w:val="22"/>
                <w:szCs w:val="22"/>
                <w:color w:val="auto"/>
              </w:rPr>
              <w:t>3</w:t>
            </w:r>
          </w:p>
        </w:tc>
      </w:tr>
      <w:tr>
        <w:trPr>
          <w:trHeight w:val="290"/>
        </w:trPr>
        <w:tc>
          <w:tcPr>
            <w:tcW w:w="10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Section 2.</w:t>
            </w:r>
          </w:p>
        </w:tc>
        <w:tc>
          <w:tcPr>
            <w:tcW w:w="6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gridSpan w:val="12"/>
          </w:tcPr>
          <w:p>
            <w:pPr>
              <w:ind w:left="60"/>
              <w:spacing w:after="0"/>
              <w:rPr>
                <w:sz w:val="20"/>
                <w:szCs w:val="20"/>
                <w:color w:val="auto"/>
              </w:rPr>
            </w:pPr>
            <w:r>
              <w:rPr>
                <w:rFonts w:ascii="Arial" w:cs="Arial" w:eastAsia="Arial" w:hAnsi="Arial"/>
                <w:sz w:val="22"/>
                <w:szCs w:val="22"/>
                <w:color w:val="auto"/>
              </w:rPr>
              <w:t>Vesting</w:t>
            </w:r>
          </w:p>
        </w:tc>
        <w:tc>
          <w:tcPr>
            <w:tcW w:w="2120" w:type="dxa"/>
            <w:vAlign w:val="bottom"/>
            <w:gridSpan w:val="4"/>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rPr>
              <w:t>3</w:t>
            </w:r>
          </w:p>
        </w:tc>
      </w:tr>
      <w:tr>
        <w:trPr>
          <w:trHeight w:val="20"/>
        </w:trPr>
        <w:tc>
          <w:tcPr>
            <w:tcW w:w="188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91"/>
        </w:trPr>
        <w:tc>
          <w:tcPr>
            <w:tcW w:w="5680" w:type="dxa"/>
            <w:vAlign w:val="bottom"/>
            <w:tcBorders>
              <w:bottom w:val="single" w:sz="8" w:color="auto"/>
            </w:tcBorders>
            <w:gridSpan w:val="17"/>
          </w:tcPr>
          <w:p>
            <w:pPr>
              <w:spacing w:after="0"/>
              <w:rPr>
                <w:sz w:val="20"/>
                <w:szCs w:val="20"/>
                <w:color w:val="auto"/>
              </w:rPr>
            </w:pPr>
            <w:r>
              <w:rPr>
                <w:rFonts w:ascii="Arial" w:cs="Arial" w:eastAsia="Arial" w:hAnsi="Arial"/>
                <w:sz w:val="22"/>
                <w:szCs w:val="22"/>
                <w:color w:val="auto"/>
                <w:w w:val="99"/>
              </w:rPr>
              <w:t>Section 3.  Impact of Certain Employment Status Changes</w:t>
            </w:r>
          </w:p>
        </w:tc>
        <w:tc>
          <w:tcPr>
            <w:tcW w:w="500" w:type="dxa"/>
            <w:vAlign w:val="bottom"/>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rPr>
              <w:t>4</w:t>
            </w:r>
          </w:p>
        </w:tc>
      </w:tr>
      <w:tr>
        <w:trPr>
          <w:trHeight w:val="291"/>
        </w:trPr>
        <w:tc>
          <w:tcPr>
            <w:tcW w:w="292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rPr>
              <w:t>Section 4.  Change in Control</w:t>
            </w:r>
          </w:p>
        </w:tc>
        <w:tc>
          <w:tcPr>
            <w:tcW w:w="3260" w:type="dxa"/>
            <w:vAlign w:val="bottom"/>
            <w:gridSpan w:val="12"/>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rPr>
              <w:t>5</w:t>
            </w:r>
          </w:p>
        </w:tc>
      </w:tr>
      <w:tr>
        <w:trPr>
          <w:trHeight w:val="290"/>
        </w:trPr>
        <w:tc>
          <w:tcPr>
            <w:tcW w:w="1060" w:type="dxa"/>
            <w:vAlign w:val="bottom"/>
          </w:tcPr>
          <w:p>
            <w:pPr>
              <w:spacing w:after="0"/>
              <w:rPr>
                <w:sz w:val="20"/>
                <w:szCs w:val="20"/>
                <w:color w:val="auto"/>
              </w:rPr>
            </w:pPr>
            <w:r>
              <w:rPr>
                <w:rFonts w:ascii="Arial" w:cs="Arial" w:eastAsia="Arial" w:hAnsi="Arial"/>
                <w:sz w:val="22"/>
                <w:szCs w:val="22"/>
                <w:color w:val="auto"/>
              </w:rPr>
              <w:t>Section 5.</w:t>
            </w:r>
          </w:p>
        </w:tc>
        <w:tc>
          <w:tcPr>
            <w:tcW w:w="60" w:type="dxa"/>
            <w:vAlign w:val="bottom"/>
          </w:tcPr>
          <w:p>
            <w:pPr>
              <w:spacing w:after="0"/>
              <w:rPr>
                <w:sz w:val="24"/>
                <w:szCs w:val="24"/>
                <w:color w:val="auto"/>
              </w:rPr>
            </w:pPr>
          </w:p>
        </w:tc>
        <w:tc>
          <w:tcPr>
            <w:tcW w:w="5060" w:type="dxa"/>
            <w:vAlign w:val="bottom"/>
            <w:gridSpan w:val="16"/>
          </w:tcPr>
          <w:p>
            <w:pPr>
              <w:ind w:left="60"/>
              <w:spacing w:after="0"/>
              <w:rPr>
                <w:sz w:val="20"/>
                <w:szCs w:val="20"/>
                <w:color w:val="auto"/>
              </w:rPr>
            </w:pPr>
            <w:r>
              <w:rPr>
                <w:rFonts w:ascii="Arial" w:cs="Arial" w:eastAsia="Arial" w:hAnsi="Arial"/>
                <w:sz w:val="22"/>
                <w:szCs w:val="22"/>
                <w:color w:val="auto"/>
              </w:rPr>
              <w:t>Settlement</w:t>
            </w:r>
          </w:p>
        </w:tc>
        <w:tc>
          <w:tcPr>
            <w:tcW w:w="4520" w:type="dxa"/>
            <w:vAlign w:val="bottom"/>
          </w:tcPr>
          <w:p>
            <w:pPr>
              <w:ind w:left="4280"/>
              <w:spacing w:after="0"/>
              <w:rPr>
                <w:sz w:val="20"/>
                <w:szCs w:val="20"/>
                <w:color w:val="auto"/>
              </w:rPr>
            </w:pPr>
            <w:r>
              <w:rPr>
                <w:rFonts w:ascii="Arial" w:cs="Arial" w:eastAsia="Arial" w:hAnsi="Arial"/>
                <w:sz w:val="22"/>
                <w:szCs w:val="22"/>
                <w:color w:val="auto"/>
              </w:rPr>
              <w:t>6</w:t>
            </w:r>
          </w:p>
        </w:tc>
      </w:tr>
      <w:tr>
        <w:trPr>
          <w:trHeight w:val="20"/>
        </w:trPr>
        <w:tc>
          <w:tcPr>
            <w:tcW w:w="220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90"/>
        </w:trPr>
        <w:tc>
          <w:tcPr>
            <w:tcW w:w="6180" w:type="dxa"/>
            <w:vAlign w:val="bottom"/>
            <w:gridSpan w:val="18"/>
          </w:tcPr>
          <w:p>
            <w:pPr>
              <w:spacing w:after="0"/>
              <w:rPr>
                <w:sz w:val="20"/>
                <w:szCs w:val="20"/>
                <w:color w:val="auto"/>
              </w:rPr>
            </w:pPr>
            <w:r>
              <w:rPr>
                <w:rFonts w:ascii="Arial" w:cs="Arial" w:eastAsia="Arial" w:hAnsi="Arial"/>
                <w:sz w:val="22"/>
                <w:szCs w:val="22"/>
                <w:color w:val="auto"/>
              </w:rPr>
              <w:t>Section 6.  Rights of the Grantee</w:t>
            </w:r>
          </w:p>
        </w:tc>
        <w:tc>
          <w:tcPr>
            <w:tcW w:w="4520" w:type="dxa"/>
            <w:vAlign w:val="bottom"/>
          </w:tcPr>
          <w:p>
            <w:pPr>
              <w:ind w:left="4280"/>
              <w:spacing w:after="0"/>
              <w:rPr>
                <w:sz w:val="20"/>
                <w:szCs w:val="20"/>
                <w:color w:val="auto"/>
              </w:rPr>
            </w:pPr>
            <w:r>
              <w:rPr>
                <w:rFonts w:ascii="Arial" w:cs="Arial" w:eastAsia="Arial" w:hAnsi="Arial"/>
                <w:sz w:val="22"/>
                <w:szCs w:val="22"/>
                <w:color w:val="auto"/>
              </w:rPr>
              <w:t>7</w:t>
            </w:r>
          </w:p>
        </w:tc>
      </w:tr>
      <w:tr>
        <w:trPr>
          <w:trHeight w:val="20"/>
        </w:trPr>
        <w:tc>
          <w:tcPr>
            <w:tcW w:w="2520" w:type="dxa"/>
            <w:vAlign w:val="bottom"/>
            <w:gridSpan w:val="5"/>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91"/>
        </w:trPr>
        <w:tc>
          <w:tcPr>
            <w:tcW w:w="384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rPr>
              <w:t>Section 7.  Prohibition Against Transfer</w:t>
            </w:r>
          </w:p>
        </w:tc>
        <w:tc>
          <w:tcPr>
            <w:tcW w:w="2340" w:type="dxa"/>
            <w:vAlign w:val="bottom"/>
            <w:gridSpan w:val="6"/>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rPr>
              <w:t>7</w:t>
            </w:r>
          </w:p>
        </w:tc>
      </w:tr>
      <w:tr>
        <w:trPr>
          <w:trHeight w:val="291"/>
        </w:trPr>
        <w:tc>
          <w:tcPr>
            <w:tcW w:w="1060" w:type="dxa"/>
            <w:vAlign w:val="bottom"/>
          </w:tcPr>
          <w:p>
            <w:pPr>
              <w:spacing w:after="0"/>
              <w:rPr>
                <w:sz w:val="20"/>
                <w:szCs w:val="20"/>
                <w:color w:val="auto"/>
              </w:rPr>
            </w:pPr>
            <w:r>
              <w:rPr>
                <w:rFonts w:ascii="Arial" w:cs="Arial" w:eastAsia="Arial" w:hAnsi="Arial"/>
                <w:sz w:val="22"/>
                <w:szCs w:val="22"/>
                <w:color w:val="auto"/>
              </w:rPr>
              <w:t>Section 8.</w:t>
            </w:r>
          </w:p>
        </w:tc>
        <w:tc>
          <w:tcPr>
            <w:tcW w:w="5120" w:type="dxa"/>
            <w:vAlign w:val="bottom"/>
            <w:gridSpan w:val="17"/>
          </w:tcPr>
          <w:p>
            <w:pPr>
              <w:ind w:left="120"/>
              <w:spacing w:after="0"/>
              <w:rPr>
                <w:sz w:val="20"/>
                <w:szCs w:val="20"/>
                <w:color w:val="auto"/>
              </w:rPr>
            </w:pPr>
            <w:r>
              <w:rPr>
                <w:rFonts w:ascii="Arial" w:cs="Arial" w:eastAsia="Arial" w:hAnsi="Arial"/>
                <w:sz w:val="22"/>
                <w:szCs w:val="22"/>
                <w:color w:val="auto"/>
              </w:rPr>
              <w:t>Responsibility for Taxes</w:t>
            </w:r>
          </w:p>
        </w:tc>
        <w:tc>
          <w:tcPr>
            <w:tcW w:w="4520" w:type="dxa"/>
            <w:vAlign w:val="bottom"/>
          </w:tcPr>
          <w:p>
            <w:pPr>
              <w:ind w:left="4280"/>
              <w:spacing w:after="0"/>
              <w:rPr>
                <w:sz w:val="20"/>
                <w:szCs w:val="20"/>
                <w:color w:val="auto"/>
              </w:rPr>
            </w:pPr>
            <w:r>
              <w:rPr>
                <w:rFonts w:ascii="Arial" w:cs="Arial" w:eastAsia="Arial" w:hAnsi="Arial"/>
                <w:sz w:val="22"/>
                <w:szCs w:val="22"/>
                <w:color w:val="auto"/>
              </w:rPr>
              <w:t>7</w:t>
            </w:r>
          </w:p>
        </w:tc>
      </w:tr>
      <w:tr>
        <w:trPr>
          <w:trHeight w:val="20"/>
        </w:trPr>
        <w:tc>
          <w:tcPr>
            <w:tcW w:w="1060" w:type="dxa"/>
            <w:vAlign w:val="bottom"/>
            <w:shd w:val="clear" w:color="auto" w:fill="000000"/>
          </w:tcPr>
          <w:p>
            <w:pPr>
              <w:spacing w:after="0" w:line="20" w:lineRule="exact"/>
              <w:rPr>
                <w:sz w:val="1"/>
                <w:szCs w:val="1"/>
                <w:color w:val="auto"/>
              </w:rPr>
            </w:pPr>
          </w:p>
        </w:tc>
        <w:tc>
          <w:tcPr>
            <w:tcW w:w="1460" w:type="dxa"/>
            <w:vAlign w:val="bottom"/>
            <w:gridSpan w:val="4"/>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90"/>
        </w:trPr>
        <w:tc>
          <w:tcPr>
            <w:tcW w:w="1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Section 9.</w:t>
            </w:r>
          </w:p>
        </w:tc>
        <w:tc>
          <w:tcPr>
            <w:tcW w:w="2620" w:type="dxa"/>
            <w:vAlign w:val="bottom"/>
            <w:tcBorders>
              <w:bottom w:val="single" w:sz="8" w:color="auto"/>
            </w:tcBorders>
            <w:gridSpan w:val="9"/>
          </w:tcPr>
          <w:p>
            <w:pPr>
              <w:ind w:left="120"/>
              <w:spacing w:after="0"/>
              <w:rPr>
                <w:sz w:val="20"/>
                <w:szCs w:val="20"/>
                <w:color w:val="auto"/>
              </w:rPr>
            </w:pPr>
            <w:r>
              <w:rPr>
                <w:rFonts w:ascii="Arial" w:cs="Arial" w:eastAsia="Arial" w:hAnsi="Arial"/>
                <w:sz w:val="22"/>
                <w:szCs w:val="22"/>
                <w:color w:val="auto"/>
                <w:w w:val="97"/>
              </w:rPr>
              <w:t>Section 409A Compliance</w:t>
            </w:r>
          </w:p>
        </w:tc>
        <w:tc>
          <w:tcPr>
            <w:tcW w:w="2500" w:type="dxa"/>
            <w:vAlign w:val="bottom"/>
            <w:gridSpan w:val="8"/>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rPr>
              <w:t>9</w:t>
            </w:r>
          </w:p>
        </w:tc>
      </w:tr>
      <w:tr>
        <w:trPr>
          <w:trHeight w:val="290"/>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9"/>
              </w:rPr>
              <w:t>Section 10.</w:t>
            </w:r>
          </w:p>
        </w:tc>
        <w:tc>
          <w:tcPr>
            <w:tcW w:w="2820" w:type="dxa"/>
            <w:vAlign w:val="bottom"/>
            <w:tcBorders>
              <w:bottom w:val="single" w:sz="8" w:color="auto"/>
            </w:tcBorders>
            <w:gridSpan w:val="11"/>
          </w:tcPr>
          <w:p>
            <w:pPr>
              <w:ind w:left="180"/>
              <w:spacing w:after="0"/>
              <w:rPr>
                <w:sz w:val="20"/>
                <w:szCs w:val="20"/>
                <w:color w:val="auto"/>
              </w:rPr>
            </w:pPr>
            <w:r>
              <w:rPr>
                <w:rFonts w:ascii="Arial" w:cs="Arial" w:eastAsia="Arial" w:hAnsi="Arial"/>
                <w:sz w:val="22"/>
                <w:szCs w:val="22"/>
                <w:color w:val="auto"/>
                <w:w w:val="97"/>
              </w:rPr>
              <w:t>Grantee’s Acknowledgment</w:t>
            </w:r>
          </w:p>
        </w:tc>
        <w:tc>
          <w:tcPr>
            <w:tcW w:w="2240" w:type="dxa"/>
            <w:vAlign w:val="bottom"/>
            <w:gridSpan w:val="5"/>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rPr>
              <w:t>9</w:t>
            </w:r>
          </w:p>
        </w:tc>
      </w:tr>
      <w:tr>
        <w:trPr>
          <w:trHeight w:val="291"/>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9"/>
              </w:rPr>
              <w:t>Section 11.</w:t>
            </w:r>
          </w:p>
        </w:tc>
        <w:tc>
          <w:tcPr>
            <w:tcW w:w="140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w w:val="96"/>
              </w:rPr>
              <w:t>Data Privacy</w:t>
            </w:r>
          </w:p>
        </w:tc>
        <w:tc>
          <w:tcPr>
            <w:tcW w:w="3660" w:type="dxa"/>
            <w:vAlign w:val="bottom"/>
            <w:gridSpan w:val="13"/>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w w:val="89"/>
              </w:rPr>
              <w:t>10</w:t>
            </w:r>
          </w:p>
        </w:tc>
      </w:tr>
      <w:tr>
        <w:trPr>
          <w:trHeight w:val="291"/>
        </w:trPr>
        <w:tc>
          <w:tcPr>
            <w:tcW w:w="4400" w:type="dxa"/>
            <w:vAlign w:val="bottom"/>
            <w:tcBorders>
              <w:bottom w:val="single" w:sz="8" w:color="auto"/>
            </w:tcBorders>
            <w:gridSpan w:val="15"/>
          </w:tcPr>
          <w:p>
            <w:pPr>
              <w:spacing w:after="0"/>
              <w:rPr>
                <w:sz w:val="20"/>
                <w:szCs w:val="20"/>
                <w:color w:val="auto"/>
              </w:rPr>
            </w:pPr>
            <w:r>
              <w:rPr>
                <w:rFonts w:ascii="Arial" w:cs="Arial" w:eastAsia="Arial" w:hAnsi="Arial"/>
                <w:sz w:val="22"/>
                <w:szCs w:val="22"/>
                <w:color w:val="auto"/>
                <w:w w:val="99"/>
              </w:rPr>
              <w:t>Section 12.  Additional Terms and Conditions</w:t>
            </w:r>
          </w:p>
        </w:tc>
        <w:tc>
          <w:tcPr>
            <w:tcW w:w="1780" w:type="dxa"/>
            <w:vAlign w:val="bottom"/>
            <w:gridSpan w:val="3"/>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w w:val="89"/>
              </w:rPr>
              <w:t>11</w:t>
            </w:r>
          </w:p>
        </w:tc>
      </w:tr>
      <w:tr>
        <w:trPr>
          <w:trHeight w:val="291"/>
        </w:trPr>
        <w:tc>
          <w:tcPr>
            <w:tcW w:w="4820" w:type="dxa"/>
            <w:vAlign w:val="bottom"/>
            <w:tcBorders>
              <w:bottom w:val="single" w:sz="8" w:color="auto"/>
            </w:tcBorders>
            <w:gridSpan w:val="16"/>
          </w:tcPr>
          <w:p>
            <w:pPr>
              <w:spacing w:after="0"/>
              <w:rPr>
                <w:sz w:val="20"/>
                <w:szCs w:val="20"/>
                <w:color w:val="auto"/>
              </w:rPr>
            </w:pPr>
            <w:r>
              <w:rPr>
                <w:rFonts w:ascii="Arial" w:cs="Arial" w:eastAsia="Arial" w:hAnsi="Arial"/>
                <w:sz w:val="22"/>
                <w:szCs w:val="22"/>
                <w:color w:val="auto"/>
                <w:w w:val="99"/>
              </w:rPr>
              <w:t>Section 13.  Governing Law and Choice of Venue</w:t>
            </w:r>
          </w:p>
        </w:tc>
        <w:tc>
          <w:tcPr>
            <w:tcW w:w="1360" w:type="dxa"/>
            <w:vAlign w:val="bottom"/>
            <w:gridSpan w:val="2"/>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w w:val="89"/>
              </w:rPr>
              <w:t>12</w:t>
            </w:r>
          </w:p>
        </w:tc>
      </w:tr>
      <w:tr>
        <w:trPr>
          <w:trHeight w:val="29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14.</w:t>
            </w:r>
          </w:p>
        </w:tc>
        <w:tc>
          <w:tcPr>
            <w:tcW w:w="5060" w:type="dxa"/>
            <w:vAlign w:val="bottom"/>
            <w:gridSpan w:val="16"/>
          </w:tcPr>
          <w:p>
            <w:pPr>
              <w:ind w:left="180"/>
              <w:spacing w:after="0"/>
              <w:rPr>
                <w:sz w:val="20"/>
                <w:szCs w:val="20"/>
                <w:color w:val="auto"/>
              </w:rPr>
            </w:pPr>
            <w:r>
              <w:rPr>
                <w:rFonts w:ascii="Arial" w:cs="Arial" w:eastAsia="Arial" w:hAnsi="Arial"/>
                <w:sz w:val="22"/>
                <w:szCs w:val="22"/>
                <w:color w:val="auto"/>
              </w:rPr>
              <w:t>Miscellaneous Provisions</w:t>
            </w:r>
          </w:p>
        </w:tc>
        <w:tc>
          <w:tcPr>
            <w:tcW w:w="4520" w:type="dxa"/>
            <w:vAlign w:val="bottom"/>
          </w:tcPr>
          <w:p>
            <w:pPr>
              <w:ind w:left="4280"/>
              <w:spacing w:after="0"/>
              <w:rPr>
                <w:sz w:val="20"/>
                <w:szCs w:val="20"/>
                <w:color w:val="auto"/>
              </w:rPr>
            </w:pPr>
            <w:r>
              <w:rPr>
                <w:rFonts w:ascii="Arial" w:cs="Arial" w:eastAsia="Arial" w:hAnsi="Arial"/>
                <w:sz w:val="22"/>
                <w:szCs w:val="22"/>
                <w:color w:val="auto"/>
                <w:w w:val="89"/>
              </w:rPr>
              <w:t>12</w:t>
            </w:r>
          </w:p>
        </w:tc>
      </w:tr>
      <w:tr>
        <w:trPr>
          <w:trHeight w:val="290"/>
        </w:trPr>
        <w:tc>
          <w:tcPr>
            <w:tcW w:w="11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99"/>
              </w:rPr>
              <w:t>Section 15.</w:t>
            </w:r>
          </w:p>
        </w:tc>
        <w:tc>
          <w:tcPr>
            <w:tcW w:w="2600" w:type="dxa"/>
            <w:vAlign w:val="bottom"/>
            <w:tcBorders>
              <w:top w:val="single" w:sz="8" w:color="auto"/>
            </w:tcBorders>
            <w:gridSpan w:val="9"/>
          </w:tcPr>
          <w:p>
            <w:pPr>
              <w:ind w:left="180"/>
              <w:spacing w:after="0"/>
              <w:rPr>
                <w:sz w:val="20"/>
                <w:szCs w:val="20"/>
                <w:color w:val="auto"/>
              </w:rPr>
            </w:pPr>
            <w:r>
              <w:rPr>
                <w:rFonts w:ascii="Arial" w:cs="Arial" w:eastAsia="Arial" w:hAnsi="Arial"/>
                <w:sz w:val="22"/>
                <w:szCs w:val="22"/>
                <w:color w:val="auto"/>
                <w:w w:val="99"/>
              </w:rPr>
              <w:t>Compensation Recovery</w:t>
            </w:r>
          </w:p>
        </w:tc>
        <w:tc>
          <w:tcPr>
            <w:tcW w:w="2460" w:type="dxa"/>
            <w:vAlign w:val="bottom"/>
            <w:gridSpan w:val="7"/>
          </w:tcPr>
          <w:p>
            <w:pPr>
              <w:spacing w:after="0"/>
              <w:rPr>
                <w:sz w:val="24"/>
                <w:szCs w:val="24"/>
                <w:color w:val="auto"/>
              </w:rPr>
            </w:pPr>
          </w:p>
        </w:tc>
        <w:tc>
          <w:tcPr>
            <w:tcW w:w="4520" w:type="dxa"/>
            <w:vAlign w:val="bottom"/>
          </w:tcPr>
          <w:p>
            <w:pPr>
              <w:ind w:left="4280"/>
              <w:spacing w:after="0"/>
              <w:rPr>
                <w:sz w:val="20"/>
                <w:szCs w:val="20"/>
                <w:color w:val="auto"/>
              </w:rPr>
            </w:pPr>
            <w:r>
              <w:rPr>
                <w:rFonts w:ascii="Arial" w:cs="Arial" w:eastAsia="Arial" w:hAnsi="Arial"/>
                <w:sz w:val="22"/>
                <w:szCs w:val="22"/>
                <w:color w:val="auto"/>
                <w:w w:val="89"/>
              </w:rPr>
              <w:t>13</w:t>
            </w:r>
          </w:p>
        </w:tc>
      </w:tr>
      <w:tr>
        <w:trPr>
          <w:trHeight w:val="20"/>
        </w:trPr>
        <w:tc>
          <w:tcPr>
            <w:tcW w:w="1120" w:type="dxa"/>
            <w:vAlign w:val="bottom"/>
            <w:gridSpan w:val="2"/>
            <w:shd w:val="clear" w:color="auto" w:fill="000000"/>
          </w:tcPr>
          <w:p>
            <w:pPr>
              <w:spacing w:after="0" w:line="20" w:lineRule="exact"/>
              <w:rPr>
                <w:sz w:val="1"/>
                <w:szCs w:val="1"/>
                <w:color w:val="auto"/>
              </w:rPr>
            </w:pPr>
          </w:p>
        </w:tc>
        <w:tc>
          <w:tcPr>
            <w:tcW w:w="2540" w:type="dxa"/>
            <w:vAlign w:val="bottom"/>
            <w:gridSpan w:val="7"/>
            <w:shd w:val="clear" w:color="auto" w:fill="000000"/>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90"/>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9"/>
              </w:rPr>
              <w:t>Section 16.</w:t>
            </w:r>
          </w:p>
        </w:tc>
        <w:tc>
          <w:tcPr>
            <w:tcW w:w="5060" w:type="dxa"/>
            <w:vAlign w:val="bottom"/>
            <w:tcBorders>
              <w:bottom w:val="single" w:sz="8" w:color="auto"/>
            </w:tcBorders>
            <w:gridSpan w:val="16"/>
          </w:tcPr>
          <w:p>
            <w:pPr>
              <w:ind w:left="180"/>
              <w:spacing w:after="0"/>
              <w:rPr>
                <w:sz w:val="20"/>
                <w:szCs w:val="20"/>
                <w:color w:val="auto"/>
              </w:rPr>
            </w:pPr>
            <w:r>
              <w:rPr>
                <w:rFonts w:ascii="Arial" w:cs="Arial" w:eastAsia="Arial" w:hAnsi="Arial"/>
                <w:sz w:val="22"/>
                <w:szCs w:val="22"/>
                <w:color w:val="auto"/>
                <w:w w:val="97"/>
              </w:rPr>
              <w:t>Award Subject to Acknowledgement of Acceptance</w:t>
            </w:r>
          </w:p>
        </w:tc>
        <w:tc>
          <w:tcPr>
            <w:tcW w:w="4520" w:type="dxa"/>
            <w:vAlign w:val="bottom"/>
          </w:tcPr>
          <w:p>
            <w:pPr>
              <w:ind w:left="4280"/>
              <w:spacing w:after="0"/>
              <w:rPr>
                <w:sz w:val="20"/>
                <w:szCs w:val="20"/>
                <w:color w:val="auto"/>
              </w:rPr>
            </w:pPr>
            <w:r>
              <w:rPr>
                <w:rFonts w:ascii="Arial" w:cs="Arial" w:eastAsia="Arial" w:hAnsi="Arial"/>
                <w:sz w:val="22"/>
                <w:szCs w:val="22"/>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Page 2</w:t>
      </w:r>
    </w:p>
    <w:p>
      <w:pPr>
        <w:sectPr>
          <w:pgSz w:w="11900" w:h="16838" w:orient="portrait"/>
          <w:cols w:equalWidth="0" w:num="1">
            <w:col w:w="10780"/>
          </w:cols>
          <w:pgMar w:left="320" w:top="363" w:right="79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1.</w:t>
        <w:tab/>
        <w:t>Grant of Relative Value Award</w:t>
      </w:r>
    </w:p>
    <w:p>
      <w:pPr>
        <w:spacing w:after="0" w:line="76"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Relative Value Award Agreement (the “Grantee”) a Performance-Based Award (the “Relative Value Award” or the “Award”) with respect to the target number of shares of Lilly Common Stock (the “Shares”) that the Grantee may view by logging on to the Merrill Lynch website at </w:t>
      </w:r>
      <w:r>
        <w:rPr>
          <w:rFonts w:ascii="Arial" w:cs="Arial" w:eastAsia="Arial" w:hAnsi="Arial"/>
          <w:sz w:val="22"/>
          <w:szCs w:val="22"/>
          <w:u w:val="single" w:color="auto"/>
          <w:color w:val="auto"/>
        </w:rPr>
        <w:t>http://myequity.lilly.com</w:t>
      </w:r>
      <w:r>
        <w:rPr>
          <w:rFonts w:ascii="Arial" w:cs="Arial" w:eastAsia="Arial" w:hAnsi="Arial"/>
          <w:sz w:val="22"/>
          <w:szCs w:val="22"/>
          <w:color w:val="auto"/>
        </w:rPr>
        <w:t>. (the "Target Number of Shares").</w:t>
      </w:r>
    </w:p>
    <w:p>
      <w:pPr>
        <w:spacing w:after="0" w:line="65"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Relative Value Award Agreement, including all appendices, exhibits and addenda hereto (the “Award Agreement”). In the event of any conflict between the terms of the Plan and this Award Agreement, the terms of the Plan shall govern.</w:t>
      </w:r>
    </w:p>
    <w:p>
      <w:pPr>
        <w:spacing w:after="0" w:line="201" w:lineRule="exact"/>
        <w:rPr>
          <w:sz w:val="20"/>
          <w:szCs w:val="20"/>
          <w:color w:val="auto"/>
        </w:rPr>
      </w:pPr>
    </w:p>
    <w:p>
      <w:pPr>
        <w:jc w:val="both"/>
        <w:ind w:left="42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2.</w:t>
      </w:r>
      <w:r>
        <w:rPr>
          <w:sz w:val="20"/>
          <w:szCs w:val="20"/>
          <w:color w:val="auto"/>
        </w:rPr>
        <w:tab/>
      </w:r>
      <w:r>
        <w:rPr>
          <w:rFonts w:ascii="Arial" w:cs="Arial" w:eastAsia="Arial" w:hAnsi="Arial"/>
          <w:sz w:val="22"/>
          <w:szCs w:val="22"/>
          <w:color w:val="auto"/>
        </w:rPr>
        <w:t>Vesting</w:t>
      </w:r>
    </w:p>
    <w:p>
      <w:pPr>
        <w:spacing w:after="0" w:line="22"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As soon as reasonably practicable following the end of the Performance Period, the Committee shall determine the number of Shares that are eligible to vest which shall be equal to the product of (i) the Target Number of Shares, multiplied by (ii) the Payout Multiple, where:</w:t>
      </w:r>
    </w:p>
    <w:p>
      <w:pPr>
        <w:spacing w:after="0" w:line="67" w:lineRule="exact"/>
        <w:rPr>
          <w:sz w:val="20"/>
          <w:szCs w:val="20"/>
          <w:color w:val="auto"/>
        </w:rPr>
      </w:pPr>
    </w:p>
    <w:p>
      <w:pPr>
        <w:jc w:val="both"/>
        <w:ind w:left="1300" w:hanging="644"/>
        <w:spacing w:after="0" w:line="229" w:lineRule="auto"/>
        <w:tabs>
          <w:tab w:leader="none" w:pos="1291" w:val="left"/>
        </w:tabs>
        <w:numPr>
          <w:ilvl w:val="0"/>
          <w:numId w:val="2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Payout Multiple</w:t>
      </w:r>
      <w:r>
        <w:rPr>
          <w:rFonts w:ascii="Arial" w:cs="Arial" w:eastAsia="Arial" w:hAnsi="Arial"/>
          <w:sz w:val="21"/>
          <w:szCs w:val="21"/>
          <w:color w:val="auto"/>
        </w:rPr>
        <w:t>” shall mean the payout multiple set forth in the Lilly Relative Total Shareholder Return Performance Levels table set forth on the first page of this document, representing the attainment level of Lilly’s rTSR, measured against the performance goal attainment levels set forth in the table.</w:t>
      </w:r>
    </w:p>
    <w:p>
      <w:pPr>
        <w:spacing w:after="0" w:line="64" w:lineRule="exact"/>
        <w:rPr>
          <w:rFonts w:ascii="Arial" w:cs="Arial" w:eastAsia="Arial" w:hAnsi="Arial"/>
          <w:sz w:val="21"/>
          <w:szCs w:val="21"/>
          <w:color w:val="auto"/>
        </w:rPr>
      </w:pPr>
    </w:p>
    <w:p>
      <w:pPr>
        <w:jc w:val="both"/>
        <w:ind w:left="1300" w:hanging="644"/>
        <w:spacing w:after="0" w:line="218" w:lineRule="auto"/>
        <w:tabs>
          <w:tab w:leader="none" w:pos="1291"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Lilly Stock Price</w:t>
      </w:r>
      <w:r>
        <w:rPr>
          <w:rFonts w:ascii="Arial" w:cs="Arial" w:eastAsia="Arial" w:hAnsi="Arial"/>
          <w:sz w:val="22"/>
          <w:szCs w:val="22"/>
          <w:color w:val="auto"/>
        </w:rPr>
        <w:t>” shall mean the average of the closing price of a share of Lilly Common Stock on the New York Stock Exchange for each trading day in the last two months of the Performance Period, rounded to the nearest cent.</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TSR</w:t>
      </w:r>
      <w:r>
        <w:rPr>
          <w:rFonts w:ascii="Arial" w:cs="Arial" w:eastAsia="Arial" w:hAnsi="Arial"/>
          <w:sz w:val="22"/>
          <w:szCs w:val="22"/>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65" w:lineRule="exact"/>
        <w:rPr>
          <w:rFonts w:ascii="Arial" w:cs="Arial" w:eastAsia="Arial" w:hAnsi="Arial"/>
          <w:sz w:val="22"/>
          <w:szCs w:val="22"/>
          <w:color w:val="auto"/>
        </w:rPr>
      </w:pPr>
    </w:p>
    <w:p>
      <w:pPr>
        <w:jc w:val="both"/>
        <w:ind w:left="1300"/>
        <w:spacing w:after="0" w:line="218" w:lineRule="auto"/>
        <w:rPr>
          <w:rFonts w:ascii="Arial" w:cs="Arial" w:eastAsia="Arial" w:hAnsi="Arial"/>
          <w:sz w:val="22"/>
          <w:szCs w:val="22"/>
          <w:color w:val="auto"/>
        </w:rPr>
      </w:pPr>
      <w:r>
        <w:rPr>
          <w:rFonts w:ascii="Arial" w:cs="Arial" w:eastAsia="Arial" w:hAnsi="Arial"/>
          <w:sz w:val="22"/>
          <w:szCs w:val="22"/>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66"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Relative Total Shareholder Return</w:t>
      </w:r>
      <w:r>
        <w:rPr>
          <w:rFonts w:ascii="Arial" w:cs="Arial" w:eastAsia="Arial" w:hAnsi="Arial"/>
          <w:sz w:val="22"/>
          <w:szCs w:val="22"/>
          <w:color w:val="auto"/>
        </w:rPr>
        <w:t>” or “</w:t>
      </w:r>
      <w:r>
        <w:rPr>
          <w:rFonts w:ascii="Arial" w:cs="Arial" w:eastAsia="Arial" w:hAnsi="Arial"/>
          <w:sz w:val="22"/>
          <w:szCs w:val="22"/>
          <w:u w:val="single" w:color="auto"/>
          <w:color w:val="auto"/>
        </w:rPr>
        <w:t>rTSR</w:t>
      </w:r>
      <w:r>
        <w:rPr>
          <w:rFonts w:ascii="Arial" w:cs="Arial" w:eastAsia="Arial" w:hAnsi="Arial"/>
          <w:sz w:val="22"/>
          <w:szCs w:val="22"/>
          <w:color w:val="auto"/>
        </w:rPr>
        <w:t>” shall mean the comparison between Lilly’s TSR and the TSR of the Peer Group over the Performance Period, measured as the absolute percentage point difference in the performance of the Company’s TSR compared to the Peer Group’s median TSR.</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Common Stock on the New York Stock Exchange or a share of each Peer Group company’s stock, as applicable, for each trading day in the two month period immediately preceding the Performance Period, rounded to the nearest cent.</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9"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Peer Stock Price</w:t>
      </w:r>
      <w:r>
        <w:rPr>
          <w:rFonts w:ascii="Arial" w:cs="Arial" w:eastAsia="Arial" w:hAnsi="Arial"/>
          <w:sz w:val="22"/>
          <w:szCs w:val="22"/>
          <w:color w:val="auto"/>
        </w:rPr>
        <w:t>” shall mean the average of the closing price of a share of each Peer Group company’s stock, on Nasdaq, the New York Stock Exchange, or other market where an independent share price can be determined, for each trading day in the last two months of the Performance Period, rounded to the nearest 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w:t>
      </w:r>
    </w:p>
    <w:p>
      <w:pPr>
        <w:sectPr>
          <w:pgSz w:w="11900" w:h="16838" w:orient="portrait"/>
          <w:cols w:equalWidth="0" w:num="1">
            <w:col w:w="11240"/>
          </w:cols>
          <w:pgMar w:left="320" w:top="363" w:right="33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hanging="644"/>
        <w:spacing w:after="0" w:line="225" w:lineRule="auto"/>
        <w:tabs>
          <w:tab w:leader="none" w:pos="1291" w:val="left"/>
        </w:tabs>
        <w:numPr>
          <w:ilvl w:val="0"/>
          <w:numId w:val="2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Performance Period.</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66" w:lineRule="exact"/>
        <w:rPr>
          <w:sz w:val="20"/>
          <w:szCs w:val="20"/>
          <w:color w:val="auto"/>
        </w:rPr>
      </w:pPr>
    </w:p>
    <w:p>
      <w:pPr>
        <w:jc w:val="both"/>
        <w:ind w:left="420" w:right="20"/>
        <w:spacing w:after="0" w:line="225" w:lineRule="auto"/>
        <w:rPr>
          <w:sz w:val="20"/>
          <w:szCs w:val="20"/>
          <w:color w:val="auto"/>
        </w:rPr>
      </w:pPr>
      <w:r>
        <w:rPr>
          <w:rFonts w:ascii="Arial" w:cs="Arial" w:eastAsia="Arial" w:hAnsi="Arial"/>
          <w:sz w:val="22"/>
          <w:szCs w:val="22"/>
          <w:color w:val="auto"/>
        </w:rPr>
        <w:t>In the event the Grantee’s Service is terminated prior to the end of the Performance Period for any reason or in any circumstance other than as described in Section 3 below, the Award shall be forfeited.</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3.</w:t>
        <w:tab/>
        <w:t>Impact of Certain Employment Status Changes</w:t>
      </w:r>
    </w:p>
    <w:p>
      <w:pPr>
        <w:spacing w:after="0" w:line="76"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Unless the Committee determines, in its sole discretion, that such treatment is not advisable after consideration of Applicable Laws, the number of Shares that are eligible to vest upon a change employment status of the Grantee during the Performance Period will be as follows:</w:t>
      </w:r>
    </w:p>
    <w:p>
      <w:pPr>
        <w:spacing w:after="0" w:line="67" w:lineRule="exact"/>
        <w:rPr>
          <w:sz w:val="20"/>
          <w:szCs w:val="20"/>
          <w:color w:val="auto"/>
        </w:rPr>
      </w:pPr>
    </w:p>
    <w:p>
      <w:pPr>
        <w:jc w:val="both"/>
        <w:ind w:left="1300" w:hanging="644"/>
        <w:spacing w:after="0" w:line="218" w:lineRule="auto"/>
        <w:tabs>
          <w:tab w:leader="none" w:pos="1291"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In the event the Grantee is on an approved leave of absence during the Performance Period, the number of Shares eligible to vest shall be the number determined in accordance with Section 2 above.</w:t>
      </w:r>
    </w:p>
    <w:p>
      <w:pPr>
        <w:spacing w:after="0" w:line="66" w:lineRule="exact"/>
        <w:rPr>
          <w:rFonts w:ascii="Arial" w:cs="Arial" w:eastAsia="Arial" w:hAnsi="Arial"/>
          <w:sz w:val="22"/>
          <w:szCs w:val="22"/>
          <w:color w:val="auto"/>
        </w:rPr>
      </w:pPr>
    </w:p>
    <w:p>
      <w:pPr>
        <w:jc w:val="both"/>
        <w:ind w:left="1300" w:hanging="644"/>
        <w:spacing w:after="0" w:line="211" w:lineRule="auto"/>
        <w:tabs>
          <w:tab w:leader="none" w:pos="1291"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Retirement; Death; Disability</w:t>
      </w:r>
      <w:r>
        <w:rPr>
          <w:rFonts w:ascii="Arial" w:cs="Arial" w:eastAsia="Arial" w:hAnsi="Arial"/>
          <w:sz w:val="22"/>
          <w:szCs w:val="22"/>
          <w:color w:val="auto"/>
        </w:rPr>
        <w:t>. Except as otherwise provided below, in the event the Grantee’s Service is terminated (i) on or following the Retirement Vesting Date due to the Grantee’s Retirement, (ii) due to the Grantee’s death, or (ii) by reason of Grantee’s Disability, the number of Shares eligible to vest shall be the number determined in accordance with Section 2 above. For the avoidance of any doubt, the Award shall be forfeited in the event the Grantee’s Service is terminated prior to the Retirement Vesting Date due to the Grantee’s Retirement.</w:t>
      </w:r>
    </w:p>
    <w:p>
      <w:pPr>
        <w:spacing w:after="0" w:line="69" w:lineRule="exact"/>
        <w:rPr>
          <w:rFonts w:ascii="Arial" w:cs="Arial" w:eastAsia="Arial" w:hAnsi="Arial"/>
          <w:sz w:val="22"/>
          <w:szCs w:val="22"/>
          <w:color w:val="auto"/>
        </w:rPr>
      </w:pPr>
    </w:p>
    <w:p>
      <w:pPr>
        <w:jc w:val="both"/>
        <w:ind w:left="1300"/>
        <w:spacing w:after="0" w:line="214" w:lineRule="auto"/>
        <w:rPr>
          <w:rFonts w:ascii="Arial" w:cs="Arial" w:eastAsia="Arial" w:hAnsi="Arial"/>
          <w:sz w:val="22"/>
          <w:szCs w:val="22"/>
          <w:color w:val="auto"/>
        </w:rPr>
      </w:pPr>
      <w:r>
        <w:rPr>
          <w:rFonts w:ascii="Arial" w:cs="Arial" w:eastAsia="Arial" w:hAnsi="Arial"/>
          <w:sz w:val="21"/>
          <w:szCs w:val="21"/>
          <w:color w:val="auto"/>
        </w:rPr>
        <w:t>“Retirement” means retirement as a “retiree,” which is a person who is (A) a retired employee under The Lilly Retirement Plan; (B) a retired employee under the retirement plan or program of an Affiliate; (C) a retired employee under a retirement program specifically approved by the Committee; (D) required to retire under local law, to the extent authorized by the Company to address such local requirements or</w:t>
      </w:r>
    </w:p>
    <w:p>
      <w:pPr>
        <w:spacing w:after="0" w:line="2"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(E) otherwise determined to be a retired employee in the sole discretion of the Company.</w:t>
      </w:r>
    </w:p>
    <w:p>
      <w:pPr>
        <w:spacing w:after="0" w:line="71" w:lineRule="exact"/>
        <w:rPr>
          <w:sz w:val="20"/>
          <w:szCs w:val="20"/>
          <w:color w:val="auto"/>
        </w:rPr>
      </w:pPr>
    </w:p>
    <w:p>
      <w:pPr>
        <w:jc w:val="both"/>
        <w:ind w:left="1300"/>
        <w:spacing w:after="0" w:line="225" w:lineRule="auto"/>
        <w:rPr>
          <w:sz w:val="20"/>
          <w:szCs w:val="20"/>
          <w:color w:val="auto"/>
        </w:rPr>
      </w:pPr>
      <w:r>
        <w:rPr>
          <w:rFonts w:ascii="Arial" w:cs="Arial" w:eastAsia="Arial" w:hAnsi="Arial"/>
          <w:sz w:val="22"/>
          <w:szCs w:val="22"/>
          <w:color w:val="auto"/>
        </w:rPr>
        <w:t>“Retirement Vesting Date” means the date that is on or following July 31 immediately following the commencement of the Performance Period.</w:t>
      </w:r>
    </w:p>
    <w:p>
      <w:pPr>
        <w:spacing w:after="0" w:line="66" w:lineRule="exact"/>
        <w:rPr>
          <w:sz w:val="20"/>
          <w:szCs w:val="20"/>
          <w:color w:val="auto"/>
        </w:rPr>
      </w:pPr>
    </w:p>
    <w:p>
      <w:pPr>
        <w:jc w:val="both"/>
        <w:ind w:left="1300"/>
        <w:spacing w:after="0" w:line="209" w:lineRule="auto"/>
        <w:rPr>
          <w:sz w:val="20"/>
          <w:szCs w:val="20"/>
          <w:color w:val="auto"/>
        </w:rPr>
      </w:pPr>
      <w:r>
        <w:rPr>
          <w:rFonts w:ascii="Arial" w:cs="Arial" w:eastAsia="Arial" w:hAnsi="Arial"/>
          <w:sz w:val="22"/>
          <w:szCs w:val="22"/>
          <w:color w:val="auto"/>
        </w:rPr>
        <w:t>“Disability” for purposes of this Award Agreement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determined by the Company or Employer. The Grantee shall not be considered to have incurred a Disability unless he or she furnishes proof of such impairment sufficient to satisfy the Company as it determines in its sole discretion.</w:t>
      </w:r>
    </w:p>
    <w:p>
      <w:pPr>
        <w:spacing w:after="0" w:line="69" w:lineRule="exact"/>
        <w:rPr>
          <w:sz w:val="20"/>
          <w:szCs w:val="20"/>
          <w:color w:val="auto"/>
        </w:rPr>
      </w:pPr>
    </w:p>
    <w:p>
      <w:pPr>
        <w:ind w:left="1300" w:hanging="644"/>
        <w:spacing w:after="0" w:line="225" w:lineRule="auto"/>
        <w:tabs>
          <w:tab w:leader="none" w:pos="1292"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Shares eligible to vest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w:t>
      </w:r>
    </w:p>
    <w:p>
      <w:pPr>
        <w:sectPr>
          <w:pgSz w:w="11900" w:h="16838" w:orient="portrait"/>
          <w:cols w:equalWidth="0" w:num="1">
            <w:col w:w="11240"/>
          </w:cols>
          <w:pgMar w:left="320" w:top="363" w:right="3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be the number determined in accordance with Section 2 above, reduced proportionally for the portion of the total days during the Performance Period in which the Grantee was not in active Service.</w:t>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purposes of this Award Agreement, a “Qualifying Termination” means the termination of the</w:t>
      </w:r>
    </w:p>
    <w:p>
      <w:pPr>
        <w:ind w:left="1300"/>
        <w:spacing w:after="0"/>
        <w:rPr>
          <w:sz w:val="20"/>
          <w:szCs w:val="20"/>
          <w:color w:val="auto"/>
        </w:rPr>
      </w:pPr>
      <w:r>
        <w:rPr>
          <w:rFonts w:ascii="Arial" w:cs="Arial" w:eastAsia="Arial" w:hAnsi="Arial"/>
          <w:sz w:val="22"/>
          <w:szCs w:val="22"/>
          <w:color w:val="auto"/>
        </w:rPr>
        <w:t>Grantee's Service under any one of the following circumstances:</w:t>
      </w:r>
    </w:p>
    <w:p>
      <w:pPr>
        <w:spacing w:after="0" w:line="71" w:lineRule="exact"/>
        <w:rPr>
          <w:sz w:val="20"/>
          <w:szCs w:val="20"/>
          <w:color w:val="auto"/>
        </w:rPr>
      </w:pPr>
    </w:p>
    <w:p>
      <w:pPr>
        <w:ind w:left="1960" w:hanging="332"/>
        <w:spacing w:after="0"/>
        <w:tabs>
          <w:tab w:leader="none" w:pos="196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71" w:lineRule="exact"/>
        <w:rPr>
          <w:rFonts w:ascii="Arial" w:cs="Arial" w:eastAsia="Arial" w:hAnsi="Arial"/>
          <w:sz w:val="22"/>
          <w:szCs w:val="22"/>
          <w:color w:val="auto"/>
        </w:rPr>
      </w:pPr>
    </w:p>
    <w:p>
      <w:pPr>
        <w:jc w:val="both"/>
        <w:ind w:left="1960" w:hanging="332"/>
        <w:spacing w:after="0" w:line="218" w:lineRule="auto"/>
        <w:tabs>
          <w:tab w:leader="none" w:pos="195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66" w:lineRule="exact"/>
        <w:rPr>
          <w:sz w:val="20"/>
          <w:szCs w:val="20"/>
          <w:color w:val="auto"/>
        </w:rPr>
      </w:pPr>
    </w:p>
    <w:p>
      <w:pPr>
        <w:ind w:left="1300"/>
        <w:spacing w:after="0" w:line="236" w:lineRule="auto"/>
        <w:rPr>
          <w:sz w:val="20"/>
          <w:szCs w:val="20"/>
          <w:color w:val="auto"/>
        </w:rPr>
      </w:pPr>
      <w:r>
        <w:rPr>
          <w:rFonts w:ascii="Arial" w:cs="Arial" w:eastAsia="Arial" w:hAnsi="Arial"/>
          <w:sz w:val="21"/>
          <w:szCs w:val="21"/>
          <w:color w:val="auto"/>
        </w:rPr>
        <w:t>“Reduction in workforce” means the elimination of a work group, functional or business unit or other broadly applicable reduction in job positions that directly results in termination of the Grantee’s Service.</w:t>
      </w:r>
    </w:p>
    <w:p>
      <w:pPr>
        <w:spacing w:after="0" w:line="65" w:lineRule="exact"/>
        <w:rPr>
          <w:sz w:val="20"/>
          <w:szCs w:val="20"/>
          <w:color w:val="auto"/>
        </w:rPr>
      </w:pPr>
    </w:p>
    <w:p>
      <w:pPr>
        <w:jc w:val="both"/>
        <w:ind w:left="1300" w:hanging="644"/>
        <w:spacing w:after="0" w:line="210" w:lineRule="auto"/>
        <w:tabs>
          <w:tab w:leader="none" w:pos="1291"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in its sole discretion, cancel this Relative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65" w:lineRule="exact"/>
        <w:rPr>
          <w:sz w:val="20"/>
          <w:szCs w:val="20"/>
          <w:color w:val="auto"/>
        </w:rPr>
      </w:pPr>
    </w:p>
    <w:p>
      <w:pPr>
        <w:jc w:val="both"/>
        <w:ind w:left="420"/>
        <w:spacing w:after="0" w:line="211" w:lineRule="auto"/>
        <w:rPr>
          <w:sz w:val="20"/>
          <w:szCs w:val="20"/>
          <w:color w:val="auto"/>
        </w:rPr>
      </w:pPr>
      <w:r>
        <w:rPr>
          <w:rFonts w:ascii="Arial" w:cs="Arial" w:eastAsia="Arial" w:hAnsi="Arial"/>
          <w:sz w:val="22"/>
          <w:szCs w:val="22"/>
          <w:color w:val="auto"/>
        </w:rPr>
        <w:t>The Committee’s and/or the Compamy’s determination as to whether (1) a leave of absence or a transfer of employment between Lilly and an Affiliate or between Affiliates constitutes a termination of Service, (2) the Grantee’s Service has been terminated by reason of Disability or Retirement, (3) the Grantee’s Service has been terminated as a result a direct result of either a plant closing or a reduction in force and (4) the Grantee’s Service has been terminated of as a result of the failure to locate a position within the Company or an Affiliate following reallocation or medical reassignment shall be final and binding on the Grantee.</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4.</w:t>
        <w:tab/>
        <w:t>Change in Control</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jc w:val="both"/>
        <w:ind w:left="1300" w:hanging="644"/>
        <w:spacing w:after="0" w:line="218" w:lineRule="auto"/>
        <w:tabs>
          <w:tab w:leader="none" w:pos="1291"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4 shall be the consummation of a merger, share exchange, or consolidation of the Company, as defined in Section 2.6(c) of the Plan (a “Transaction”).</w:t>
      </w:r>
    </w:p>
    <w:p>
      <w:pPr>
        <w:spacing w:after="0" w:line="66" w:lineRule="exact"/>
        <w:rPr>
          <w:rFonts w:ascii="Arial" w:cs="Arial" w:eastAsia="Arial" w:hAnsi="Arial"/>
          <w:sz w:val="22"/>
          <w:szCs w:val="22"/>
          <w:color w:val="auto"/>
        </w:rPr>
      </w:pPr>
    </w:p>
    <w:p>
      <w:pPr>
        <w:jc w:val="both"/>
        <w:ind w:left="1300" w:hanging="644"/>
        <w:spacing w:after="0" w:line="209" w:lineRule="auto"/>
        <w:tabs>
          <w:tab w:leader="none" w:pos="1291" w:val="left"/>
        </w:tabs>
        <w:numPr>
          <w:ilvl w:val="0"/>
          <w:numId w:val="266"/>
        </w:numPr>
        <w:rPr>
          <w:rFonts w:ascii="Arial" w:cs="Arial" w:eastAsia="Arial" w:hAnsi="Arial"/>
          <w:sz w:val="22"/>
          <w:szCs w:val="22"/>
          <w:color w:val="auto"/>
        </w:rPr>
      </w:pPr>
      <w:r>
        <w:rPr>
          <w:rFonts w:ascii="Arial" w:cs="Arial" w:eastAsia="Arial" w:hAnsi="Arial"/>
          <w:sz w:val="22"/>
          <w:szCs w:val="22"/>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and the Final Peer Stock Price shall be equal to the closing price of a share of each Peer Group company’s stock, on Nasdaq, the New York Stock Exchange, or other market where an independent share price can be determined, on the date the Transaction closes (or if such day is not a trading date, the first trading date immediately preceding such date) (the “Credited RSU Award”). The Credited RSU Award shall be eligible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w:t>
      </w:r>
    </w:p>
    <w:p>
      <w:pPr>
        <w:sectPr>
          <w:pgSz w:w="11900" w:h="16838" w:orient="portrait"/>
          <w:cols w:equalWidth="0" w:num="1">
            <w:col w:w="11240"/>
          </w:cols>
          <w:pgMar w:left="320" w:top="363" w:right="33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right="20"/>
        <w:spacing w:after="0" w:line="225" w:lineRule="auto"/>
        <w:rPr>
          <w:sz w:val="20"/>
          <w:szCs w:val="20"/>
          <w:color w:val="auto"/>
        </w:rPr>
      </w:pPr>
      <w:r>
        <w:rPr>
          <w:rFonts w:ascii="Arial" w:cs="Arial" w:eastAsia="Arial" w:hAnsi="Arial"/>
          <w:sz w:val="22"/>
          <w:szCs w:val="22"/>
          <w:color w:val="auto"/>
        </w:rPr>
        <w:t>on the last day of the Performance Period, subject to the Grantee’s continued Service through the last day of the Performance Period, except as provided below:</w:t>
      </w:r>
    </w:p>
    <w:p>
      <w:pPr>
        <w:spacing w:after="0" w:line="66" w:lineRule="exact"/>
        <w:rPr>
          <w:sz w:val="20"/>
          <w:szCs w:val="20"/>
          <w:color w:val="auto"/>
        </w:rPr>
      </w:pPr>
    </w:p>
    <w:p>
      <w:pPr>
        <w:jc w:val="both"/>
        <w:ind w:left="1960" w:hanging="332"/>
        <w:spacing w:after="0" w:line="215" w:lineRule="auto"/>
        <w:tabs>
          <w:tab w:leader="none" w:pos="196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In the event that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54"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65"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For purposes of this Award Agreement, “Covered Termination” shall mean a termination of Service as described in Sections 3(b) and (c),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79" w:lineRule="exact"/>
        <w:rPr>
          <w:sz w:val="20"/>
          <w:szCs w:val="20"/>
          <w:color w:val="auto"/>
        </w:rPr>
      </w:pPr>
    </w:p>
    <w:p>
      <w:pPr>
        <w:jc w:val="both"/>
        <w:ind w:left="1300" w:hanging="644"/>
        <w:spacing w:after="0" w:line="212" w:lineRule="auto"/>
        <w:tabs>
          <w:tab w:leader="none" w:pos="1293" w:val="left"/>
        </w:tabs>
        <w:numPr>
          <w:ilvl w:val="0"/>
          <w:numId w:val="268"/>
        </w:numPr>
        <w:rPr>
          <w:rFonts w:ascii="Arial" w:cs="Arial" w:eastAsia="Arial" w:hAnsi="Arial"/>
          <w:sz w:val="23"/>
          <w:szCs w:val="23"/>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17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5.</w:t>
        <w:tab/>
        <w:t>Settlement</w:t>
      </w:r>
    </w:p>
    <w:p>
      <w:pPr>
        <w:spacing w:after="0" w:line="76" w:lineRule="exact"/>
        <w:rPr>
          <w:sz w:val="20"/>
          <w:szCs w:val="20"/>
          <w:color w:val="auto"/>
        </w:rPr>
      </w:pPr>
    </w:p>
    <w:p>
      <w:pPr>
        <w:ind w:left="1300" w:hanging="644"/>
        <w:spacing w:after="0" w:line="225" w:lineRule="auto"/>
        <w:tabs>
          <w:tab w:leader="none" w:pos="129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but in no event later than sixty (60) days, following the last day of the Performance Period.</w:t>
      </w:r>
    </w:p>
    <w:p>
      <w:pPr>
        <w:spacing w:after="0" w:line="65" w:lineRule="exact"/>
        <w:rPr>
          <w:rFonts w:ascii="Arial" w:cs="Arial" w:eastAsia="Arial" w:hAnsi="Arial"/>
          <w:sz w:val="22"/>
          <w:szCs w:val="22"/>
          <w:color w:val="auto"/>
        </w:rPr>
      </w:pPr>
    </w:p>
    <w:p>
      <w:pPr>
        <w:jc w:val="both"/>
        <w:ind w:left="1300" w:hanging="644"/>
        <w:spacing w:after="0" w:line="208" w:lineRule="auto"/>
        <w:tabs>
          <w:tab w:leader="none" w:pos="129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(i) the date that the Grantee experiences a “separation from service” within the meaning of Section 409A of the Code (a “Section 409A Separation”), provided that if the Grantee is a “specified employee” within the meaning of Section 409A of the Code as of the payment date, the Award shall instead be paid on the first day following the six (6) month anniversary of the Grantee’s Section 409A Separation, (ii) the date of the Grantee’s death and (iii) the date set forth in Section 5(a) above.</w:t>
      </w:r>
    </w:p>
    <w:p>
      <w:pPr>
        <w:spacing w:after="0" w:line="72" w:lineRule="exact"/>
        <w:rPr>
          <w:rFonts w:ascii="Arial" w:cs="Arial" w:eastAsia="Arial" w:hAnsi="Arial"/>
          <w:sz w:val="22"/>
          <w:szCs w:val="22"/>
          <w:color w:val="auto"/>
        </w:rPr>
      </w:pPr>
    </w:p>
    <w:p>
      <w:pPr>
        <w:jc w:val="both"/>
        <w:ind w:left="1300" w:hanging="644"/>
        <w:spacing w:after="0" w:line="204" w:lineRule="auto"/>
        <w:tabs>
          <w:tab w:leader="none" w:pos="1292" w:val="left"/>
        </w:tabs>
        <w:numPr>
          <w:ilvl w:val="0"/>
          <w:numId w:val="269"/>
        </w:numPr>
        <w:rPr>
          <w:rFonts w:ascii="Arial" w:cs="Arial" w:eastAsia="Arial" w:hAnsi="Arial"/>
          <w:sz w:val="22"/>
          <w:szCs w:val="22"/>
          <w:color w:val="auto"/>
        </w:rPr>
      </w:pPr>
      <w:r>
        <w:rPr>
          <w:rFonts w:ascii="Arial" w:cs="Arial" w:eastAsia="Arial" w:hAnsi="Arial"/>
          <w:sz w:val="22"/>
          <w:szCs w:val="22"/>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w:t>
      </w:r>
    </w:p>
    <w:p>
      <w:pPr>
        <w:spacing w:after="0" w:line="3" w:lineRule="exact"/>
        <w:rPr>
          <w:rFonts w:ascii="Arial" w:cs="Arial" w:eastAsia="Arial" w:hAnsi="Arial"/>
          <w:sz w:val="22"/>
          <w:szCs w:val="22"/>
          <w:color w:val="auto"/>
        </w:rPr>
      </w:pPr>
    </w:p>
    <w:p>
      <w:pPr>
        <w:ind w:left="1300" w:firstLine="4"/>
        <w:spacing w:after="0" w:line="225" w:lineRule="auto"/>
        <w:tabs>
          <w:tab w:leader="none" w:pos="1619" w:val="left"/>
        </w:tabs>
        <w:numPr>
          <w:ilvl w:val="1"/>
          <w:numId w:val="269"/>
        </w:numPr>
        <w:rPr>
          <w:rFonts w:ascii="Arial" w:cs="Arial" w:eastAsia="Arial" w:hAnsi="Arial"/>
          <w:sz w:val="22"/>
          <w:szCs w:val="22"/>
          <w:color w:val="auto"/>
        </w:rPr>
      </w:pPr>
      <w:r>
        <w:rPr>
          <w:rFonts w:ascii="Arial" w:cs="Arial" w:eastAsia="Arial" w:hAnsi="Arial"/>
          <w:sz w:val="22"/>
          <w:szCs w:val="22"/>
          <w:color w:val="auto"/>
        </w:rPr>
        <w:t>if the Grantee is a “specified employee” within the meaning of Section 409A of the Code as of the payment date, the Award shall instead be paid on the earliest of (1) the first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6</w:t>
      </w:r>
    </w:p>
    <w:p>
      <w:pPr>
        <w:sectPr>
          <w:pgSz w:w="11900" w:h="16838" w:orient="portrait"/>
          <w:cols w:equalWidth="0" w:num="1">
            <w:col w:w="11240"/>
          </w:cols>
          <w:pgMar w:left="320" w:top="363" w:right="33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following the six (6) month anniversary of the Grantee’s Section 409A Separation and (2) the date of the Grantee’s death.</w:t>
      </w:r>
    </w:p>
    <w:p>
      <w:pPr>
        <w:spacing w:after="0" w:line="66" w:lineRule="exact"/>
        <w:rPr>
          <w:sz w:val="20"/>
          <w:szCs w:val="20"/>
          <w:color w:val="auto"/>
        </w:rPr>
      </w:pPr>
    </w:p>
    <w:p>
      <w:pPr>
        <w:jc w:val="both"/>
        <w:ind w:left="1300" w:hanging="644"/>
        <w:spacing w:after="0" w:line="229" w:lineRule="auto"/>
        <w:tabs>
          <w:tab w:leader="none" w:pos="1291" w:val="left"/>
        </w:tabs>
        <w:numPr>
          <w:ilvl w:val="0"/>
          <w:numId w:val="270"/>
        </w:numPr>
        <w:rPr>
          <w:rFonts w:ascii="Arial" w:cs="Arial" w:eastAsia="Arial" w:hAnsi="Arial"/>
          <w:sz w:val="21"/>
          <w:szCs w:val="21"/>
          <w:color w:val="auto"/>
        </w:rPr>
      </w:pPr>
      <w:r>
        <w:rPr>
          <w:rFonts w:ascii="Arial" w:cs="Arial" w:eastAsia="Arial" w:hAnsi="Arial"/>
          <w:sz w:val="21"/>
          <w:szCs w:val="21"/>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64" w:lineRule="exact"/>
        <w:rPr>
          <w:rFonts w:ascii="Arial" w:cs="Arial" w:eastAsia="Arial" w:hAnsi="Arial"/>
          <w:sz w:val="21"/>
          <w:szCs w:val="21"/>
          <w:color w:val="auto"/>
        </w:rPr>
      </w:pPr>
    </w:p>
    <w:p>
      <w:pPr>
        <w:jc w:val="both"/>
        <w:ind w:left="1300" w:hanging="644"/>
        <w:spacing w:after="0" w:line="223" w:lineRule="auto"/>
        <w:tabs>
          <w:tab w:leader="none" w:pos="1291" w:val="left"/>
        </w:tabs>
        <w:numPr>
          <w:ilvl w:val="0"/>
          <w:numId w:val="270"/>
        </w:numPr>
        <w:rPr>
          <w:rFonts w:ascii="Arial" w:cs="Arial" w:eastAsia="Arial" w:hAnsi="Arial"/>
          <w:sz w:val="21"/>
          <w:szCs w:val="21"/>
          <w:color w:val="auto"/>
        </w:rPr>
      </w:pPr>
      <w:r>
        <w:rPr>
          <w:rFonts w:ascii="Arial" w:cs="Arial" w:eastAsia="Arial" w:hAnsi="Arial"/>
          <w:sz w:val="21"/>
          <w:szCs w:val="21"/>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66" w:lineRule="exact"/>
        <w:rPr>
          <w:rFonts w:ascii="Arial" w:cs="Arial" w:eastAsia="Arial" w:hAnsi="Arial"/>
          <w:sz w:val="21"/>
          <w:szCs w:val="21"/>
          <w:color w:val="auto"/>
        </w:rPr>
      </w:pPr>
    </w:p>
    <w:p>
      <w:pPr>
        <w:ind w:left="1300" w:right="20" w:hanging="644"/>
        <w:spacing w:after="0" w:line="225" w:lineRule="auto"/>
        <w:tabs>
          <w:tab w:leader="none" w:pos="1299"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6.</w:t>
        <w:tab/>
        <w:t>Rights of the Grantee</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Relative Value Award does not entitle the Grantee to any rights of a shareholder of Lilly until such time as the Relative Value Award is settled and Shares are issued or transferred to the Grantee.</w:t>
      </w:r>
    </w:p>
    <w:p>
      <w:pPr>
        <w:spacing w:after="0" w:line="66"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7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7.</w:t>
        <w:tab/>
        <w:t>Prohibition Against Transfer</w:t>
      </w:r>
    </w:p>
    <w:p>
      <w:pPr>
        <w:spacing w:after="0" w:line="76" w:lineRule="exact"/>
        <w:rPr>
          <w:sz w:val="20"/>
          <w:szCs w:val="20"/>
          <w:color w:val="auto"/>
        </w:rPr>
      </w:pPr>
    </w:p>
    <w:p>
      <w:pPr>
        <w:jc w:val="both"/>
        <w:ind w:left="4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8.</w:t>
        <w:tab/>
        <w:t>Responsibility for Taxes</w:t>
      </w:r>
    </w:p>
    <w:p>
      <w:pPr>
        <w:spacing w:after="0" w:line="76" w:lineRule="exact"/>
        <w:rPr>
          <w:sz w:val="20"/>
          <w:szCs w:val="20"/>
          <w:color w:val="auto"/>
        </w:rPr>
      </w:pPr>
    </w:p>
    <w:p>
      <w:pPr>
        <w:jc w:val="both"/>
        <w:ind w:left="1300" w:hanging="644"/>
        <w:spacing w:after="0" w:line="214" w:lineRule="auto"/>
        <w:tabs>
          <w:tab w:leader="none" w:pos="1291" w:val="left"/>
        </w:tabs>
        <w:numPr>
          <w:ilvl w:val="0"/>
          <w:numId w:val="272"/>
        </w:numPr>
        <w:rPr>
          <w:rFonts w:ascii="Arial" w:cs="Arial" w:eastAsia="Arial" w:hAnsi="Arial"/>
          <w:sz w:val="21"/>
          <w:szCs w:val="21"/>
          <w:color w:val="auto"/>
        </w:rPr>
      </w:pPr>
      <w:r>
        <w:rPr>
          <w:rFonts w:ascii="Arial" w:cs="Arial" w:eastAsia="Arial" w:hAnsi="Arial"/>
          <w:sz w:val="21"/>
          <w:szCs w:val="21"/>
          <w:color w:val="auto"/>
        </w:rPr>
        <w:t>Regardless of any action Lilly and/or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w:t>
      </w:r>
    </w:p>
    <w:p>
      <w:pPr>
        <w:spacing w:after="0" w:line="4" w:lineRule="exact"/>
        <w:rPr>
          <w:rFonts w:ascii="Arial" w:cs="Arial" w:eastAsia="Arial" w:hAnsi="Arial"/>
          <w:sz w:val="21"/>
          <w:szCs w:val="21"/>
          <w:color w:val="auto"/>
        </w:rPr>
      </w:pPr>
    </w:p>
    <w:p>
      <w:pPr>
        <w:jc w:val="both"/>
        <w:ind w:left="1300" w:firstLine="4"/>
        <w:spacing w:after="0" w:line="211" w:lineRule="auto"/>
        <w:tabs>
          <w:tab w:leader="none" w:pos="1608" w:val="left"/>
        </w:tabs>
        <w:numPr>
          <w:ilvl w:val="1"/>
          <w:numId w:val="272"/>
        </w:numPr>
        <w:rPr>
          <w:rFonts w:ascii="Arial" w:cs="Arial" w:eastAsia="Arial" w:hAnsi="Arial"/>
          <w:sz w:val="22"/>
          <w:szCs w:val="22"/>
          <w:color w:val="auto"/>
        </w:rPr>
      </w:pPr>
      <w:r>
        <w:rPr>
          <w:rFonts w:ascii="Arial" w:cs="Arial" w:eastAsia="Arial" w:hAnsi="Arial"/>
          <w:sz w:val="22"/>
          <w:szCs w:val="22"/>
          <w:color w:val="auto"/>
        </w:rPr>
        <w:t>make no representations or undertakings regarding the treatment of any Tax Related Items in connection with any aspect of the Award, including the grant of the Relative Value Award, the vesting of the Relative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7</w:t>
      </w:r>
    </w:p>
    <w:p>
      <w:pPr>
        <w:sectPr>
          <w:pgSz w:w="11900" w:h="16838" w:orient="portrait"/>
          <w:cols w:equalWidth="0" w:num="1">
            <w:col w:w="11240"/>
          </w:cols>
          <w:pgMar w:left="320" w:top="363" w:right="33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6" w:lineRule="exact"/>
        <w:rPr>
          <w:sz w:val="20"/>
          <w:szCs w:val="20"/>
          <w:color w:val="auto"/>
        </w:rPr>
      </w:pPr>
    </w:p>
    <w:p>
      <w:pPr>
        <w:ind w:left="1300" w:right="20" w:hanging="644"/>
        <w:spacing w:after="0" w:line="225" w:lineRule="auto"/>
        <w:tabs>
          <w:tab w:leader="none" w:pos="1291" w:val="left"/>
        </w:tabs>
        <w:numPr>
          <w:ilvl w:val="0"/>
          <w:numId w:val="273"/>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65" w:lineRule="exact"/>
        <w:rPr>
          <w:rFonts w:ascii="Arial" w:cs="Arial" w:eastAsia="Arial" w:hAnsi="Arial"/>
          <w:sz w:val="22"/>
          <w:szCs w:val="22"/>
          <w:color w:val="auto"/>
        </w:rPr>
      </w:pPr>
    </w:p>
    <w:p>
      <w:pPr>
        <w:jc w:val="both"/>
        <w:ind w:left="1960" w:hanging="332"/>
        <w:spacing w:after="0" w:line="213" w:lineRule="auto"/>
        <w:tabs>
          <w:tab w:leader="none" w:pos="196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65" w:lineRule="exact"/>
        <w:rPr>
          <w:rFonts w:ascii="Arial" w:cs="Arial" w:eastAsia="Arial" w:hAnsi="Arial"/>
          <w:sz w:val="22"/>
          <w:szCs w:val="22"/>
          <w:color w:val="auto"/>
        </w:rPr>
      </w:pPr>
    </w:p>
    <w:p>
      <w:pPr>
        <w:jc w:val="both"/>
        <w:ind w:left="1960" w:hanging="332"/>
        <w:spacing w:after="0" w:line="214" w:lineRule="auto"/>
        <w:tabs>
          <w:tab w:leader="none" w:pos="1954" w:val="left"/>
        </w:tabs>
        <w:numPr>
          <w:ilvl w:val="1"/>
          <w:numId w:val="273"/>
        </w:numPr>
        <w:rPr>
          <w:rFonts w:ascii="Arial" w:cs="Arial" w:eastAsia="Arial" w:hAnsi="Arial"/>
          <w:sz w:val="21"/>
          <w:szCs w:val="21"/>
          <w:color w:val="auto"/>
        </w:rPr>
      </w:pPr>
      <w:r>
        <w:rPr>
          <w:rFonts w:ascii="Arial" w:cs="Arial" w:eastAsia="Arial" w:hAnsi="Arial"/>
          <w:sz w:val="21"/>
          <w:szCs w:val="21"/>
          <w:color w:val="auto"/>
        </w:rPr>
        <w:t>If the Relative Value Award is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w:t>
      </w:r>
    </w:p>
    <w:p>
      <w:pPr>
        <w:spacing w:after="0" w:line="2" w:lineRule="exact"/>
        <w:rPr>
          <w:rFonts w:ascii="Arial" w:cs="Arial" w:eastAsia="Arial" w:hAnsi="Arial"/>
          <w:sz w:val="21"/>
          <w:szCs w:val="21"/>
          <w:color w:val="auto"/>
        </w:rPr>
      </w:pPr>
    </w:p>
    <w:p>
      <w:pPr>
        <w:jc w:val="both"/>
        <w:ind w:left="1960"/>
        <w:spacing w:after="0" w:line="210" w:lineRule="auto"/>
        <w:rPr>
          <w:rFonts w:ascii="Arial" w:cs="Arial" w:eastAsia="Arial" w:hAnsi="Arial"/>
          <w:sz w:val="21"/>
          <w:szCs w:val="21"/>
          <w:color w:val="auto"/>
        </w:rPr>
      </w:pPr>
      <w:r>
        <w:rPr>
          <w:rFonts w:ascii="Arial" w:cs="Arial" w:eastAsia="Arial" w:hAnsi="Arial"/>
          <w:sz w:val="22"/>
          <w:szCs w:val="22"/>
          <w:color w:val="auto"/>
        </w:rPr>
        <w:t>(B)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70" w:lineRule="exact"/>
        <w:rPr>
          <w:rFonts w:ascii="Arial" w:cs="Arial" w:eastAsia="Arial" w:hAnsi="Arial"/>
          <w:sz w:val="21"/>
          <w:szCs w:val="21"/>
          <w:color w:val="auto"/>
        </w:rPr>
      </w:pPr>
    </w:p>
    <w:p>
      <w:pPr>
        <w:jc w:val="both"/>
        <w:ind w:left="1960" w:hanging="332"/>
        <w:spacing w:after="0" w:line="211" w:lineRule="auto"/>
        <w:tabs>
          <w:tab w:leader="none" w:pos="1948" w:val="left"/>
        </w:tabs>
        <w:numPr>
          <w:ilvl w:val="1"/>
          <w:numId w:val="273"/>
        </w:numPr>
        <w:rPr>
          <w:rFonts w:ascii="Arial" w:cs="Arial" w:eastAsia="Arial" w:hAnsi="Arial"/>
          <w:sz w:val="22"/>
          <w:szCs w:val="22"/>
          <w:color w:val="auto"/>
        </w:rPr>
      </w:pPr>
      <w:r>
        <w:rPr>
          <w:rFonts w:ascii="Arial" w:cs="Arial" w:eastAsia="Arial" w:hAnsi="Arial"/>
          <w:sz w:val="22"/>
          <w:szCs w:val="22"/>
          <w:color w:val="auto"/>
        </w:rPr>
        <w:t>If the Relative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69" w:lineRule="exact"/>
        <w:rPr>
          <w:rFonts w:ascii="Arial" w:cs="Arial" w:eastAsia="Arial" w:hAnsi="Arial"/>
          <w:sz w:val="22"/>
          <w:szCs w:val="22"/>
          <w:color w:val="auto"/>
        </w:rPr>
      </w:pPr>
    </w:p>
    <w:p>
      <w:pPr>
        <w:jc w:val="both"/>
        <w:ind w:left="1300" w:hanging="644"/>
        <w:spacing w:after="0" w:line="210" w:lineRule="auto"/>
        <w:tabs>
          <w:tab w:leader="none" w:pos="1292" w:val="left"/>
        </w:tabs>
        <w:numPr>
          <w:ilvl w:val="0"/>
          <w:numId w:val="273"/>
        </w:numPr>
        <w:rPr>
          <w:rFonts w:ascii="Arial" w:cs="Arial" w:eastAsia="Arial" w:hAnsi="Arial"/>
          <w:sz w:val="22"/>
          <w:szCs w:val="22"/>
          <w:color w:val="auto"/>
        </w:rPr>
      </w:pPr>
      <w:r>
        <w:rPr>
          <w:rFonts w:ascii="Arial" w:cs="Arial" w:eastAsia="Arial" w:hAnsi="Arial"/>
          <w:sz w:val="22"/>
          <w:szCs w:val="22"/>
          <w:color w:val="auto"/>
        </w:rPr>
        <w:t>Depending on the withholding method, Lilly and/or the Employer may withhold or account for Tax Related Items by considering applicable statutory or other withholding rates, including minimum or maximum rates in the jurisdiction(s) applicable to the Grantee. In the event of over-withholding,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65"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73"/>
        </w:numPr>
        <w:rPr>
          <w:rFonts w:ascii="Arial" w:cs="Arial" w:eastAsia="Arial" w:hAnsi="Arial"/>
          <w:sz w:val="22"/>
          <w:szCs w:val="22"/>
          <w:color w:val="auto"/>
        </w:rPr>
      </w:pPr>
      <w:r>
        <w:rPr>
          <w:rFonts w:ascii="Arial" w:cs="Arial" w:eastAsia="Arial" w:hAnsi="Arial"/>
          <w:sz w:val="22"/>
          <w:szCs w:val="22"/>
          <w:color w:val="auto"/>
        </w:rPr>
        <w:t>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w:t>
      </w:r>
    </w:p>
    <w:p>
      <w:pPr>
        <w:sectPr>
          <w:pgSz w:w="11900" w:h="16838" w:orient="portrait"/>
          <w:cols w:equalWidth="0" w:num="1">
            <w:col w:w="11240"/>
          </w:cols>
          <w:pgMar w:left="320" w:top="363" w:right="3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3"/>
          <w:szCs w:val="23"/>
          <w:color w:val="auto"/>
        </w:rPr>
        <w:t>Section 9.</w:t>
        <w:tab/>
        <w:t>Section 409A Compliance</w:t>
      </w:r>
    </w:p>
    <w:p>
      <w:pPr>
        <w:spacing w:after="0" w:line="22"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10. Grantee’s Acknowledgment</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314" w:lineRule="exact"/>
        <w:rPr>
          <w:sz w:val="20"/>
          <w:szCs w:val="20"/>
          <w:color w:val="auto"/>
        </w:rPr>
      </w:pPr>
    </w:p>
    <w:p>
      <w:pPr>
        <w:ind w:left="1300" w:hanging="644"/>
        <w:spacing w:after="0" w:line="225" w:lineRule="auto"/>
        <w:tabs>
          <w:tab w:leader="none" w:pos="129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Performance-Based Awards, or benefits in lieu thereof, even if Performance-Based Awards have been granted in the past;</w:t>
      </w:r>
    </w:p>
    <w:p>
      <w:pPr>
        <w:spacing w:after="0" w:line="66" w:lineRule="exact"/>
        <w:rPr>
          <w:rFonts w:ascii="Arial" w:cs="Arial" w:eastAsia="Arial" w:hAnsi="Arial"/>
          <w:sz w:val="22"/>
          <w:szCs w:val="22"/>
          <w:color w:val="auto"/>
        </w:rPr>
      </w:pPr>
    </w:p>
    <w:p>
      <w:pPr>
        <w:ind w:left="1300" w:right="20" w:hanging="644"/>
        <w:spacing w:after="0" w:line="225" w:lineRule="auto"/>
        <w:tabs>
          <w:tab w:leader="none" w:pos="1292"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all decisions with respect to future Performance-Based Awards or other awards, if any, will be at the sole discretion of the Committee;</w:t>
      </w:r>
    </w:p>
    <w:p>
      <w:pPr>
        <w:spacing w:after="0" w:line="65" w:lineRule="exact"/>
        <w:rPr>
          <w:rFonts w:ascii="Arial" w:cs="Arial" w:eastAsia="Arial" w:hAnsi="Arial"/>
          <w:sz w:val="22"/>
          <w:szCs w:val="22"/>
          <w:color w:val="auto"/>
        </w:rPr>
      </w:pPr>
    </w:p>
    <w:p>
      <w:pPr>
        <w:ind w:left="1300" w:hanging="644"/>
        <w:spacing w:after="0"/>
        <w:tabs>
          <w:tab w:leader="none" w:pos="130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71"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65"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66" w:lineRule="exact"/>
        <w:rPr>
          <w:rFonts w:ascii="Arial" w:cs="Arial" w:eastAsia="Arial" w:hAnsi="Arial"/>
          <w:sz w:val="22"/>
          <w:szCs w:val="22"/>
          <w:color w:val="auto"/>
        </w:rPr>
      </w:pPr>
    </w:p>
    <w:p>
      <w:pPr>
        <w:jc w:val="both"/>
        <w:ind w:left="1300" w:hanging="644"/>
        <w:spacing w:after="0" w:line="225" w:lineRule="auto"/>
        <w:tabs>
          <w:tab w:leader="none" w:pos="1291" w:val="left"/>
        </w:tabs>
        <w:numPr>
          <w:ilvl w:val="0"/>
          <w:numId w:val="274"/>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66" w:lineRule="exact"/>
        <w:rPr>
          <w:rFonts w:ascii="Arial" w:cs="Arial" w:eastAsia="Arial" w:hAnsi="Arial"/>
          <w:sz w:val="21"/>
          <w:szCs w:val="21"/>
          <w:color w:val="auto"/>
        </w:rPr>
      </w:pPr>
    </w:p>
    <w:p>
      <w:pPr>
        <w:ind w:left="1300" w:hanging="644"/>
        <w:spacing w:after="0" w:line="225" w:lineRule="auto"/>
        <w:tabs>
          <w:tab w:leader="none" w:pos="130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65" w:lineRule="exact"/>
        <w:rPr>
          <w:rFonts w:ascii="Arial" w:cs="Arial" w:eastAsia="Arial" w:hAnsi="Arial"/>
          <w:sz w:val="22"/>
          <w:szCs w:val="22"/>
          <w:color w:val="auto"/>
        </w:rPr>
      </w:pPr>
    </w:p>
    <w:p>
      <w:pPr>
        <w:jc w:val="both"/>
        <w:ind w:left="1300" w:hanging="644"/>
        <w:spacing w:after="0" w:line="213" w:lineRule="auto"/>
        <w:tabs>
          <w:tab w:leader="none" w:pos="1292" w:val="left"/>
        </w:tabs>
        <w:numPr>
          <w:ilvl w:val="0"/>
          <w:numId w:val="274"/>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w:t>
      </w:r>
    </w:p>
    <w:p>
      <w:pPr>
        <w:sectPr>
          <w:pgSz w:w="11900" w:h="16838" w:orient="portrait"/>
          <w:cols w:equalWidth="0" w:num="1">
            <w:col w:w="11240"/>
          </w:cols>
          <w:pgMar w:left="320" w:top="363" w:right="33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color w:val="auto"/>
        </w:rPr>
        <w:t>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65" w:lineRule="exact"/>
        <w:rPr>
          <w:sz w:val="20"/>
          <w:szCs w:val="20"/>
          <w:color w:val="auto"/>
        </w:rPr>
      </w:pPr>
    </w:p>
    <w:p>
      <w:pPr>
        <w:jc w:val="both"/>
        <w:ind w:left="1300" w:hanging="644"/>
        <w:spacing w:after="0" w:line="215" w:lineRule="auto"/>
        <w:tabs>
          <w:tab w:leader="none" w:pos="130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65" w:lineRule="exact"/>
        <w:rPr>
          <w:rFonts w:ascii="Arial" w:cs="Arial" w:eastAsia="Arial" w:hAnsi="Arial"/>
          <w:sz w:val="22"/>
          <w:szCs w:val="22"/>
          <w:color w:val="auto"/>
        </w:rPr>
      </w:pPr>
    </w:p>
    <w:p>
      <w:pPr>
        <w:ind w:left="1300" w:hanging="644"/>
        <w:spacing w:after="0" w:line="225" w:lineRule="auto"/>
        <w:tabs>
          <w:tab w:leader="none" w:pos="1297" w:val="left"/>
        </w:tabs>
        <w:numPr>
          <w:ilvl w:val="0"/>
          <w:numId w:val="275"/>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Award; and</w:t>
      </w:r>
    </w:p>
    <w:p>
      <w:pPr>
        <w:spacing w:after="0" w:line="65"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75"/>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11. Data Privacy</w:t>
      </w:r>
    </w:p>
    <w:p>
      <w:pPr>
        <w:spacing w:after="0" w:line="54" w:lineRule="exact"/>
        <w:rPr>
          <w:sz w:val="20"/>
          <w:szCs w:val="20"/>
          <w:color w:val="auto"/>
        </w:rPr>
      </w:pPr>
    </w:p>
    <w:p>
      <w:pPr>
        <w:jc w:val="both"/>
        <w:ind w:left="1300" w:hanging="644"/>
        <w:spacing w:after="0" w:line="210" w:lineRule="auto"/>
        <w:tabs>
          <w:tab w:leader="none" w:pos="1291" w:val="left"/>
        </w:tabs>
        <w:numPr>
          <w:ilvl w:val="0"/>
          <w:numId w:val="27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Relative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Laws,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3" w:lineRule="exact"/>
        <w:rPr>
          <w:rFonts w:ascii="Arial" w:cs="Arial" w:eastAsia="Arial" w:hAnsi="Arial"/>
          <w:sz w:val="22"/>
          <w:szCs w:val="22"/>
          <w:i w:val="1"/>
          <w:iCs w:val="1"/>
          <w:color w:val="auto"/>
        </w:rPr>
      </w:pPr>
    </w:p>
    <w:p>
      <w:pPr>
        <w:jc w:val="both"/>
        <w:ind w:left="1300" w:hanging="644"/>
        <w:spacing w:after="0" w:line="211" w:lineRule="auto"/>
        <w:tabs>
          <w:tab w:leader="none" w:pos="1291" w:val="left"/>
        </w:tabs>
        <w:numPr>
          <w:ilvl w:val="0"/>
          <w:numId w:val="27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10</w:t>
      </w:r>
    </w:p>
    <w:p>
      <w:pPr>
        <w:sectPr>
          <w:pgSz w:w="11900" w:h="16838" w:orient="portrait"/>
          <w:cols w:equalWidth="0" w:num="1">
            <w:col w:w="11240"/>
          </w:cols>
          <w:pgMar w:left="320" w:top="363" w:right="3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300" w:hanging="644"/>
        <w:spacing w:after="0" w:line="236" w:lineRule="auto"/>
        <w:tabs>
          <w:tab w:leader="none" w:pos="1292" w:val="left"/>
        </w:tabs>
        <w:numPr>
          <w:ilvl w:val="0"/>
          <w:numId w:val="277"/>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43" w:lineRule="exact"/>
        <w:rPr>
          <w:rFonts w:ascii="Arial" w:cs="Arial" w:eastAsia="Arial" w:hAnsi="Arial"/>
          <w:sz w:val="21"/>
          <w:szCs w:val="21"/>
          <w:i w:val="1"/>
          <w:iCs w:val="1"/>
          <w:color w:val="auto"/>
        </w:rPr>
      </w:pPr>
    </w:p>
    <w:p>
      <w:pPr>
        <w:jc w:val="both"/>
        <w:ind w:left="1300" w:hanging="644"/>
        <w:spacing w:after="0" w:line="225" w:lineRule="auto"/>
        <w:tabs>
          <w:tab w:leader="none" w:pos="1291" w:val="left"/>
        </w:tabs>
        <w:numPr>
          <w:ilvl w:val="0"/>
          <w:numId w:val="27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44"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27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44" w:lineRule="exact"/>
        <w:rPr>
          <w:rFonts w:ascii="Arial" w:cs="Arial" w:eastAsia="Arial" w:hAnsi="Arial"/>
          <w:sz w:val="22"/>
          <w:szCs w:val="22"/>
          <w:i w:val="1"/>
          <w:iCs w:val="1"/>
          <w:color w:val="auto"/>
        </w:rPr>
      </w:pPr>
    </w:p>
    <w:p>
      <w:pPr>
        <w:jc w:val="both"/>
        <w:ind w:left="1300" w:hanging="644"/>
        <w:spacing w:after="0" w:line="208" w:lineRule="auto"/>
        <w:tabs>
          <w:tab w:leader="none" w:pos="1299" w:val="left"/>
        </w:tabs>
        <w:numPr>
          <w:ilvl w:val="0"/>
          <w:numId w:val="27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Subject Rights</w:t>
      </w:r>
      <w:r>
        <w:rPr>
          <w:rFonts w:ascii="Arial" w:cs="Arial" w:eastAsia="Arial" w:hAnsi="Arial"/>
          <w:sz w:val="22"/>
          <w:szCs w:val="22"/>
          <w:i w:val="1"/>
          <w:iCs w:val="1"/>
          <w:color w:val="auto"/>
        </w:rPr>
        <w:t>. The Grantee understands that data subject rights regarding the processing of Data vary depending on Applicable Laws and that, depending on where the Grantee is based and subject to the conditions set out in such Applicable Laws,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 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52"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27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12. Additional Terms and Conditions</w:t>
      </w:r>
    </w:p>
    <w:p>
      <w:pPr>
        <w:spacing w:after="0" w:line="76" w:lineRule="exact"/>
        <w:rPr>
          <w:sz w:val="20"/>
          <w:szCs w:val="20"/>
          <w:color w:val="auto"/>
        </w:rPr>
      </w:pPr>
    </w:p>
    <w:p>
      <w:pPr>
        <w:jc w:val="both"/>
        <w:ind w:left="1060" w:hanging="323"/>
        <w:spacing w:after="0" w:line="225" w:lineRule="auto"/>
        <w:tabs>
          <w:tab w:leader="none" w:pos="1051" w:val="left"/>
        </w:tabs>
        <w:numPr>
          <w:ilvl w:val="0"/>
          <w:numId w:val="278"/>
        </w:numPr>
        <w:rPr>
          <w:rFonts w:ascii="Arial" w:cs="Arial" w:eastAsia="Arial" w:hAnsi="Arial"/>
          <w:sz w:val="21"/>
          <w:szCs w:val="21"/>
          <w:color w:val="auto"/>
        </w:rPr>
      </w:pPr>
      <w:r>
        <w:rPr>
          <w:rFonts w:ascii="Arial" w:cs="Arial" w:eastAsia="Arial" w:hAnsi="Arial"/>
          <w:sz w:val="21"/>
          <w:szCs w:val="21"/>
          <w:u w:val="single" w:color="auto"/>
          <w:color w:val="auto"/>
        </w:rPr>
        <w:t>Country-Specific Conditions</w:t>
      </w:r>
      <w:r>
        <w:rPr>
          <w:rFonts w:ascii="Arial" w:cs="Arial" w:eastAsia="Arial" w:hAnsi="Arial"/>
          <w:sz w:val="21"/>
          <w:szCs w:val="21"/>
          <w:color w:val="auto"/>
        </w:rPr>
        <w:t>. The Award shall be subject to any special terms and conditions set forth in any Appendix to this Award Agreement for the Grantee’s country. Moreover, if the Grantee relocates to one of the countries included in the Appendix, the special terms and conditions for such country will apply to the Grantee, to the extent the Company determines that the application of such terms and conditions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11</w:t>
      </w:r>
    </w:p>
    <w:p>
      <w:pPr>
        <w:sectPr>
          <w:pgSz w:w="11900" w:h="16838" w:orient="portrait"/>
          <w:cols w:equalWidth="0" w:num="1">
            <w:col w:w="11240"/>
          </w:cols>
          <w:pgMar w:left="320" w:top="363" w:right="33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0"/>
        <w:spacing w:after="0" w:line="225" w:lineRule="auto"/>
        <w:rPr>
          <w:sz w:val="20"/>
          <w:szCs w:val="20"/>
          <w:color w:val="auto"/>
        </w:rPr>
      </w:pPr>
      <w:r>
        <w:rPr>
          <w:rFonts w:ascii="Arial" w:cs="Arial" w:eastAsia="Arial" w:hAnsi="Arial"/>
          <w:sz w:val="22"/>
          <w:szCs w:val="22"/>
          <w:color w:val="auto"/>
        </w:rPr>
        <w:t>necessary or advisable for legal or administrative reasons. The Appendix constitutes part of this Award Agreement.</w:t>
      </w:r>
    </w:p>
    <w:p>
      <w:pPr>
        <w:spacing w:after="0" w:line="201" w:lineRule="exact"/>
        <w:rPr>
          <w:sz w:val="20"/>
          <w:szCs w:val="20"/>
          <w:color w:val="auto"/>
        </w:rPr>
      </w:pPr>
    </w:p>
    <w:p>
      <w:pPr>
        <w:jc w:val="both"/>
        <w:ind w:left="1060" w:hanging="323"/>
        <w:spacing w:after="0" w:line="209" w:lineRule="auto"/>
        <w:tabs>
          <w:tab w:leader="none" w:pos="1051"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Insider Trading / 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rights to acquire Shares (e.g., the Relative Value Award)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0" w:lineRule="exact"/>
        <w:rPr>
          <w:rFonts w:ascii="Arial" w:cs="Arial" w:eastAsia="Arial" w:hAnsi="Arial"/>
          <w:sz w:val="22"/>
          <w:szCs w:val="22"/>
          <w:color w:val="auto"/>
        </w:rPr>
      </w:pPr>
    </w:p>
    <w:p>
      <w:pPr>
        <w:jc w:val="both"/>
        <w:ind w:left="1060" w:hanging="323"/>
        <w:spacing w:after="0" w:line="210" w:lineRule="auto"/>
        <w:tabs>
          <w:tab w:leader="none" w:pos="1052" w:val="left"/>
        </w:tabs>
        <w:numPr>
          <w:ilvl w:val="0"/>
          <w:numId w:val="279"/>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Relative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13. Governing Law and Choice of Venue</w:t>
      </w:r>
    </w:p>
    <w:p>
      <w:pPr>
        <w:spacing w:after="0" w:line="76" w:lineRule="exact"/>
        <w:rPr>
          <w:sz w:val="20"/>
          <w:szCs w:val="20"/>
          <w:color w:val="auto"/>
        </w:rPr>
      </w:pPr>
    </w:p>
    <w:p>
      <w:pPr>
        <w:jc w:val="both"/>
        <w:ind w:left="40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 and no other courts, where this Award is granted and/or to be performed.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14. Miscellaneous Provisions</w:t>
      </w:r>
    </w:p>
    <w:p>
      <w:pPr>
        <w:spacing w:after="0" w:line="76" w:lineRule="exact"/>
        <w:rPr>
          <w:sz w:val="20"/>
          <w:szCs w:val="20"/>
          <w:color w:val="auto"/>
        </w:rPr>
      </w:pPr>
    </w:p>
    <w:p>
      <w:pPr>
        <w:jc w:val="both"/>
        <w:ind w:left="1300" w:hanging="644"/>
        <w:spacing w:after="0" w:line="218" w:lineRule="auto"/>
        <w:tabs>
          <w:tab w:leader="none" w:pos="1291" w:val="left"/>
        </w:tabs>
        <w:numPr>
          <w:ilvl w:val="0"/>
          <w:numId w:val="280"/>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12</w:t>
      </w:r>
    </w:p>
    <w:p>
      <w:pPr>
        <w:sectPr>
          <w:pgSz w:w="11900" w:h="16838" w:orient="portrait"/>
          <w:cols w:equalWidth="0" w:num="1">
            <w:col w:w="11240"/>
          </w:cols>
          <w:pgMar w:left="320" w:top="363" w:right="3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through an on-line or electronic system established and maintained by Lilly or a third party designated by Lilly.</w:t>
      </w:r>
    </w:p>
    <w:p>
      <w:pPr>
        <w:spacing w:after="0" w:line="66" w:lineRule="exact"/>
        <w:rPr>
          <w:sz w:val="20"/>
          <w:szCs w:val="20"/>
          <w:color w:val="auto"/>
        </w:rPr>
      </w:pPr>
    </w:p>
    <w:p>
      <w:pPr>
        <w:jc w:val="both"/>
        <w:ind w:left="1300" w:hanging="644"/>
        <w:spacing w:after="0" w:line="211" w:lineRule="auto"/>
        <w:tabs>
          <w:tab w:leader="none" w:pos="1291"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83" w:lineRule="exact"/>
        <w:rPr>
          <w:rFonts w:ascii="Arial" w:cs="Arial" w:eastAsia="Arial" w:hAnsi="Arial"/>
          <w:sz w:val="22"/>
          <w:szCs w:val="22"/>
          <w:color w:val="auto"/>
        </w:rPr>
      </w:pPr>
    </w:p>
    <w:p>
      <w:pPr>
        <w:jc w:val="both"/>
        <w:ind w:left="1300" w:hanging="644"/>
        <w:spacing w:after="0" w:line="218" w:lineRule="auto"/>
        <w:tabs>
          <w:tab w:leader="none" w:pos="1292"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80" w:lineRule="exact"/>
        <w:rPr>
          <w:rFonts w:ascii="Arial" w:cs="Arial" w:eastAsia="Arial" w:hAnsi="Arial"/>
          <w:sz w:val="22"/>
          <w:szCs w:val="22"/>
          <w:color w:val="auto"/>
        </w:rPr>
      </w:pPr>
    </w:p>
    <w:p>
      <w:pPr>
        <w:jc w:val="both"/>
        <w:ind w:left="1300" w:hanging="644"/>
        <w:spacing w:after="0" w:line="209" w:lineRule="auto"/>
        <w:tabs>
          <w:tab w:leader="none" w:pos="1292" w:val="left"/>
        </w:tabs>
        <w:numPr>
          <w:ilvl w:val="0"/>
          <w:numId w:val="281"/>
        </w:numPr>
        <w:rPr>
          <w:rFonts w:ascii="Arial" w:cs="Arial" w:eastAsia="Arial" w:hAnsi="Arial"/>
          <w:sz w:val="23"/>
          <w:szCs w:val="23"/>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67" w:lineRule="exact"/>
        <w:rPr>
          <w:rFonts w:ascii="Arial" w:cs="Arial" w:eastAsia="Arial" w:hAnsi="Arial"/>
          <w:sz w:val="23"/>
          <w:szCs w:val="23"/>
          <w:color w:val="auto"/>
        </w:rPr>
      </w:pPr>
    </w:p>
    <w:p>
      <w:pPr>
        <w:ind w:left="1300"/>
        <w:spacing w:after="0" w:line="225" w:lineRule="auto"/>
        <w:rPr>
          <w:rFonts w:ascii="Arial" w:cs="Arial" w:eastAsia="Arial" w:hAnsi="Arial"/>
          <w:sz w:val="23"/>
          <w:szCs w:val="23"/>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79" w:lineRule="exact"/>
        <w:rPr>
          <w:rFonts w:ascii="Arial" w:cs="Arial" w:eastAsia="Arial" w:hAnsi="Arial"/>
          <w:sz w:val="23"/>
          <w:szCs w:val="23"/>
          <w:color w:val="auto"/>
        </w:rPr>
      </w:pPr>
    </w:p>
    <w:p>
      <w:pPr>
        <w:jc w:val="both"/>
        <w:ind w:left="1300" w:hanging="644"/>
        <w:spacing w:after="0" w:line="211" w:lineRule="auto"/>
        <w:tabs>
          <w:tab w:leader="none" w:pos="1292" w:val="left"/>
        </w:tabs>
        <w:numPr>
          <w:ilvl w:val="0"/>
          <w:numId w:val="281"/>
        </w:numPr>
        <w:rPr>
          <w:rFonts w:ascii="Arial" w:cs="Arial" w:eastAsia="Arial" w:hAnsi="Arial"/>
          <w:sz w:val="23"/>
          <w:szCs w:val="23"/>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15. Compensation Recovery</w:t>
      </w:r>
    </w:p>
    <w:p>
      <w:pPr>
        <w:spacing w:after="0" w:line="76" w:lineRule="exact"/>
        <w:rPr>
          <w:sz w:val="20"/>
          <w:szCs w:val="20"/>
          <w:color w:val="auto"/>
        </w:rPr>
      </w:pPr>
    </w:p>
    <w:p>
      <w:pPr>
        <w:jc w:val="both"/>
        <w:ind w:left="420"/>
        <w:spacing w:after="0" w:line="215" w:lineRule="auto"/>
        <w:rPr>
          <w:sz w:val="20"/>
          <w:szCs w:val="20"/>
          <w:color w:val="auto"/>
        </w:rPr>
      </w:pPr>
      <w:r>
        <w:rPr>
          <w:rFonts w:ascii="Arial" w:cs="Arial" w:eastAsia="Arial" w:hAnsi="Arial"/>
          <w:sz w:val="22"/>
          <w:szCs w:val="22"/>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66" w:lineRule="exact"/>
        <w:rPr>
          <w:sz w:val="20"/>
          <w:szCs w:val="20"/>
          <w:color w:val="auto"/>
        </w:rPr>
      </w:pPr>
    </w:p>
    <w:p>
      <w:pPr>
        <w:jc w:val="both"/>
        <w:ind w:left="1300" w:hanging="644"/>
        <w:spacing w:after="0" w:line="210" w:lineRule="auto"/>
        <w:tabs>
          <w:tab w:leader="none" w:pos="1291" w:val="left"/>
        </w:tabs>
        <w:numPr>
          <w:ilvl w:val="0"/>
          <w:numId w:val="282"/>
        </w:numPr>
        <w:rPr>
          <w:rFonts w:ascii="Arial" w:cs="Arial" w:eastAsia="Arial" w:hAnsi="Arial"/>
          <w:sz w:val="22"/>
          <w:szCs w:val="22"/>
          <w:color w:val="auto"/>
        </w:rPr>
      </w:pPr>
      <w:r>
        <w:rPr>
          <w:rFonts w:ascii="Arial" w:cs="Arial" w:eastAsia="Arial" w:hAnsi="Arial"/>
          <w:sz w:val="22"/>
          <w:szCs w:val="22"/>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70"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13</w:t>
      </w:r>
    </w:p>
    <w:p>
      <w:pPr>
        <w:sectPr>
          <w:pgSz w:w="11900" w:h="16838" w:orient="portrait"/>
          <w:cols w:equalWidth="0" w:num="1">
            <w:col w:w="11240"/>
          </w:cols>
          <w:pgMar w:left="320" w:top="363" w:right="33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Eli Lilly and Company Relative Value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20"/>
        <w:spacing w:after="0" w:line="210" w:lineRule="auto"/>
        <w:rPr>
          <w:sz w:val="20"/>
          <w:szCs w:val="20"/>
          <w:color w:val="auto"/>
        </w:rPr>
      </w:pPr>
      <w:r>
        <w:rPr>
          <w:rFonts w:ascii="Arial" w:cs="Arial" w:eastAsia="Arial" w:hAnsi="Arial"/>
          <w:sz w:val="22"/>
          <w:szCs w:val="22"/>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5"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16. Award Subject to Acknowledgement of Acceptance</w:t>
      </w:r>
    </w:p>
    <w:p>
      <w:pPr>
        <w:spacing w:after="0" w:line="76" w:lineRule="exact"/>
        <w:rPr>
          <w:sz w:val="20"/>
          <w:szCs w:val="20"/>
          <w:color w:val="auto"/>
        </w:rPr>
      </w:pPr>
    </w:p>
    <w:p>
      <w:pPr>
        <w:jc w:val="both"/>
        <w:ind w:left="400"/>
        <w:spacing w:after="0" w:line="215"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 through the website of Merrill Lynch, the Company’s stock plan administrator. If the Grantee does not acknowledge acceptance of the Award prior to 4:00 PM (EDT) [•], the Award will be cancelled, subject to the Committee’s discretion for unforeseen circumstances.</w:t>
      </w:r>
    </w:p>
    <w:p>
      <w:pPr>
        <w:spacing w:after="0" w:line="200" w:lineRule="exact"/>
        <w:rPr>
          <w:sz w:val="20"/>
          <w:szCs w:val="20"/>
          <w:color w:val="auto"/>
        </w:rPr>
      </w:pPr>
    </w:p>
    <w:p>
      <w:pPr>
        <w:spacing w:after="0" w:line="244"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4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14</w:t>
      </w:r>
    </w:p>
    <w:p>
      <w:pPr>
        <w:sectPr>
          <w:pgSz w:w="11900" w:h="16838" w:orient="portrait"/>
          <w:cols w:equalWidth="0" w:num="1">
            <w:col w:w="11240"/>
          </w:cols>
          <w:pgMar w:left="320" w:top="363" w:right="3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color w:val="auto"/>
        </w:rPr>
        <w:t>Exhibit 10.11 — Form of Restricted Stock Unit Award under the 2002 Lilly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79"/>
        <w:spacing w:after="0"/>
        <w:rPr>
          <w:sz w:val="20"/>
          <w:szCs w:val="20"/>
          <w:color w:val="auto"/>
        </w:rPr>
      </w:pPr>
      <w:r>
        <w:rPr>
          <w:rFonts w:ascii="Arial" w:cs="Arial" w:eastAsia="Arial" w:hAnsi="Arial"/>
          <w:sz w:val="43"/>
          <w:szCs w:val="43"/>
          <w:color w:val="auto"/>
        </w:rPr>
        <w:t>Eli Lilly and Company</w:t>
      </w:r>
    </w:p>
    <w:p>
      <w:pPr>
        <w:jc w:val="center"/>
        <w:ind w:right="-279"/>
        <w:spacing w:after="0" w:line="212" w:lineRule="auto"/>
        <w:rPr>
          <w:sz w:val="20"/>
          <w:szCs w:val="20"/>
          <w:color w:val="auto"/>
        </w:rPr>
      </w:pPr>
      <w:r>
        <w:rPr>
          <w:rFonts w:ascii="Arial" w:cs="Arial" w:eastAsia="Arial" w:hAnsi="Arial"/>
          <w:sz w:val="43"/>
          <w:szCs w:val="43"/>
          <w:color w:val="auto"/>
        </w:rPr>
        <w:t>Restricted Stock Unit Award Agreement</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40"/>
          <w:szCs w:val="40"/>
          <w:color w:val="auto"/>
        </w:rPr>
        <w:t>(for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18" w:lineRule="auto"/>
        <w:rPr>
          <w:sz w:val="20"/>
          <w:szCs w:val="20"/>
          <w:color w:val="auto"/>
        </w:rPr>
      </w:pPr>
      <w:r>
        <w:rPr>
          <w:rFonts w:ascii="Arial" w:cs="Arial" w:eastAsia="Arial" w:hAnsi="Arial"/>
          <w:sz w:val="22"/>
          <w:szCs w:val="22"/>
          <w:color w:val="auto"/>
        </w:rPr>
        <w:t>This Restricted Stock Unit Award has been granted on [INSERT DATE] (“Grant Date”) by Eli Lilly and Company, an Indiana corporation, with its principal offices in Indianapolis, Indiana (“Lilly” or the “Company”), to the Eligible Individual who has received this Restricted Stock Unit Award Agreement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29"/>
          <w:szCs w:val="29"/>
          <w:b w:val="1"/>
          <w:bCs w:val="1"/>
          <w:color w:val="auto"/>
        </w:rPr>
        <w:t>Vesting Date:</w:t>
      </w:r>
      <w:r>
        <w:rPr>
          <w:sz w:val="20"/>
          <w:szCs w:val="20"/>
          <w:color w:val="auto"/>
        </w:rPr>
        <w:tab/>
      </w:r>
      <w:r>
        <w:rPr>
          <w:rFonts w:ascii="Arial" w:cs="Arial" w:eastAsia="Arial" w:hAnsi="Arial"/>
          <w:sz w:val="28"/>
          <w:szCs w:val="28"/>
          <w:b w:val="1"/>
          <w:bCs w:val="1"/>
          <w:color w:val="auto"/>
        </w:rPr>
        <w:t>100% on [INSERT DATE]</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(except as otherwise provided in this</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Restricted Stock Unit Award Agreement)</w:t>
      </w:r>
    </w:p>
    <w:p>
      <w:pPr>
        <w:sectPr>
          <w:pgSz w:w="11900" w:h="16838" w:orient="portrait"/>
          <w:cols w:equalWidth="0" w:num="1">
            <w:col w:w="10960"/>
          </w:cols>
          <w:pgMar w:left="320" w:top="1399" w:right="61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80" w:type="dxa"/>
        <w:tblCellMar>
          <w:top w:w="0" w:type="dxa"/>
          <w:left w:w="0" w:type="dxa"/>
          <w:bottom w:w="0" w:type="dxa"/>
          <w:right w:w="0" w:type="dxa"/>
        </w:tblCellMar>
      </w:tblPr>
      <w:tr>
        <w:trPr>
          <w:trHeight w:val="347"/>
        </w:trPr>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20" w:type="dxa"/>
            <w:vAlign w:val="bottom"/>
          </w:tcPr>
          <w:p>
            <w:pPr>
              <w:ind w:left="3300"/>
              <w:spacing w:after="0"/>
              <w:rPr>
                <w:sz w:val="20"/>
                <w:szCs w:val="20"/>
                <w:color w:val="auto"/>
              </w:rPr>
            </w:pPr>
            <w:r>
              <w:rPr>
                <w:rFonts w:ascii="Arial" w:cs="Arial" w:eastAsia="Arial" w:hAnsi="Arial"/>
                <w:sz w:val="29"/>
                <w:szCs w:val="29"/>
                <w:color w:val="auto"/>
              </w:rPr>
              <w:t>Table of Contents</w:t>
            </w:r>
          </w:p>
        </w:tc>
        <w:tc>
          <w:tcPr>
            <w:tcW w:w="1460" w:type="dxa"/>
            <w:vAlign w:val="bottom"/>
          </w:tcPr>
          <w:p>
            <w:pPr>
              <w:spacing w:after="0"/>
              <w:rPr>
                <w:sz w:val="24"/>
                <w:szCs w:val="24"/>
                <w:color w:val="auto"/>
              </w:rPr>
            </w:pPr>
          </w:p>
        </w:tc>
      </w:tr>
      <w:tr>
        <w:trPr>
          <w:trHeight w:val="559"/>
        </w:trPr>
        <w:tc>
          <w:tcPr>
            <w:tcW w:w="9340" w:type="dxa"/>
            <w:vAlign w:val="bottom"/>
            <w:gridSpan w:val="3"/>
          </w:tcPr>
          <w:p>
            <w:pPr>
              <w:spacing w:after="0"/>
              <w:rPr>
                <w:sz w:val="20"/>
                <w:szCs w:val="20"/>
                <w:color w:val="auto"/>
              </w:rPr>
            </w:pPr>
            <w:r>
              <w:rPr>
                <w:rFonts w:ascii="Arial" w:cs="Arial" w:eastAsia="Arial" w:hAnsi="Arial"/>
                <w:sz w:val="22"/>
                <w:szCs w:val="22"/>
                <w:color w:val="auto"/>
              </w:rPr>
              <w:t>Section 1.  Grant of Restricted Stock Units</w:t>
            </w:r>
          </w:p>
        </w:tc>
        <w:tc>
          <w:tcPr>
            <w:tcW w:w="1460" w:type="dxa"/>
            <w:vAlign w:val="bottom"/>
          </w:tcPr>
          <w:p>
            <w:pPr>
              <w:ind w:left="1220"/>
              <w:spacing w:after="0"/>
              <w:rPr>
                <w:sz w:val="20"/>
                <w:szCs w:val="20"/>
                <w:color w:val="auto"/>
              </w:rPr>
            </w:pPr>
            <w:r>
              <w:rPr>
                <w:rFonts w:ascii="Arial" w:cs="Arial" w:eastAsia="Arial" w:hAnsi="Arial"/>
                <w:sz w:val="22"/>
                <w:szCs w:val="22"/>
                <w:color w:val="auto"/>
              </w:rPr>
              <w:t>3</w:t>
            </w:r>
          </w:p>
        </w:tc>
      </w:tr>
      <w:tr>
        <w:trPr>
          <w:trHeight w:val="310"/>
        </w:trPr>
        <w:tc>
          <w:tcPr>
            <w:tcW w:w="1060" w:type="dxa"/>
            <w:vAlign w:val="bottom"/>
          </w:tcPr>
          <w:p>
            <w:pPr>
              <w:spacing w:after="0"/>
              <w:rPr>
                <w:sz w:val="20"/>
                <w:szCs w:val="20"/>
                <w:color w:val="auto"/>
              </w:rPr>
            </w:pPr>
            <w:r>
              <w:rPr>
                <w:rFonts w:ascii="Arial" w:cs="Arial" w:eastAsia="Arial" w:hAnsi="Arial"/>
                <w:sz w:val="22"/>
                <w:szCs w:val="22"/>
                <w:color w:val="auto"/>
              </w:rPr>
              <w:t>Section 2.</w:t>
            </w:r>
          </w:p>
        </w:tc>
        <w:tc>
          <w:tcPr>
            <w:tcW w:w="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22"/>
                <w:szCs w:val="22"/>
                <w:color w:val="auto"/>
              </w:rPr>
              <w:t>Vesting</w:t>
            </w:r>
          </w:p>
        </w:tc>
        <w:tc>
          <w:tcPr>
            <w:tcW w:w="1460" w:type="dxa"/>
            <w:vAlign w:val="bottom"/>
          </w:tcPr>
          <w:p>
            <w:pPr>
              <w:ind w:left="1220"/>
              <w:spacing w:after="0"/>
              <w:rPr>
                <w:sz w:val="20"/>
                <w:szCs w:val="20"/>
                <w:color w:val="auto"/>
              </w:rPr>
            </w:pPr>
            <w:r>
              <w:rPr>
                <w:rFonts w:ascii="Arial" w:cs="Arial" w:eastAsia="Arial" w:hAnsi="Arial"/>
                <w:sz w:val="22"/>
                <w:szCs w:val="22"/>
                <w:color w:val="auto"/>
              </w:rPr>
              <w:t>3</w:t>
            </w:r>
          </w:p>
        </w:tc>
      </w:tr>
      <w:tr>
        <w:trPr>
          <w:trHeight w:val="311"/>
        </w:trPr>
        <w:tc>
          <w:tcPr>
            <w:tcW w:w="9340" w:type="dxa"/>
            <w:vAlign w:val="bottom"/>
            <w:gridSpan w:val="3"/>
          </w:tcPr>
          <w:p>
            <w:pPr>
              <w:spacing w:after="0"/>
              <w:rPr>
                <w:sz w:val="20"/>
                <w:szCs w:val="20"/>
                <w:color w:val="auto"/>
              </w:rPr>
            </w:pPr>
            <w:r>
              <w:rPr>
                <w:rFonts w:ascii="Arial" w:cs="Arial" w:eastAsia="Arial" w:hAnsi="Arial"/>
                <w:sz w:val="22"/>
                <w:szCs w:val="22"/>
                <w:color w:val="auto"/>
              </w:rPr>
              <w:t>Section 3.  Change in Control</w:t>
            </w:r>
          </w:p>
        </w:tc>
        <w:tc>
          <w:tcPr>
            <w:tcW w:w="1460" w:type="dxa"/>
            <w:vAlign w:val="bottom"/>
          </w:tcPr>
          <w:p>
            <w:pPr>
              <w:ind w:left="1220"/>
              <w:spacing w:after="0"/>
              <w:rPr>
                <w:sz w:val="20"/>
                <w:szCs w:val="20"/>
                <w:color w:val="auto"/>
              </w:rPr>
            </w:pPr>
            <w:r>
              <w:rPr>
                <w:rFonts w:ascii="Arial" w:cs="Arial" w:eastAsia="Arial" w:hAnsi="Arial"/>
                <w:sz w:val="22"/>
                <w:szCs w:val="22"/>
                <w:color w:val="auto"/>
              </w:rPr>
              <w:t>4</w:t>
            </w:r>
          </w:p>
        </w:tc>
      </w:tr>
      <w:tr>
        <w:trPr>
          <w:trHeight w:val="311"/>
        </w:trPr>
        <w:tc>
          <w:tcPr>
            <w:tcW w:w="1060" w:type="dxa"/>
            <w:vAlign w:val="bottom"/>
          </w:tcPr>
          <w:p>
            <w:pPr>
              <w:spacing w:after="0"/>
              <w:rPr>
                <w:sz w:val="20"/>
                <w:szCs w:val="20"/>
                <w:color w:val="auto"/>
              </w:rPr>
            </w:pPr>
            <w:r>
              <w:rPr>
                <w:rFonts w:ascii="Arial" w:cs="Arial" w:eastAsia="Arial" w:hAnsi="Arial"/>
                <w:sz w:val="22"/>
                <w:szCs w:val="22"/>
                <w:color w:val="auto"/>
              </w:rPr>
              <w:t>Section 4.</w:t>
            </w:r>
          </w:p>
        </w:tc>
        <w:tc>
          <w:tcPr>
            <w:tcW w:w="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22"/>
                <w:szCs w:val="22"/>
                <w:color w:val="auto"/>
              </w:rPr>
              <w:t>Settlement</w:t>
            </w:r>
          </w:p>
        </w:tc>
        <w:tc>
          <w:tcPr>
            <w:tcW w:w="1460" w:type="dxa"/>
            <w:vAlign w:val="bottom"/>
          </w:tcPr>
          <w:p>
            <w:pPr>
              <w:ind w:left="1220"/>
              <w:spacing w:after="0"/>
              <w:rPr>
                <w:sz w:val="20"/>
                <w:szCs w:val="20"/>
                <w:color w:val="auto"/>
              </w:rPr>
            </w:pPr>
            <w:r>
              <w:rPr>
                <w:rFonts w:ascii="Arial" w:cs="Arial" w:eastAsia="Arial" w:hAnsi="Arial"/>
                <w:sz w:val="22"/>
                <w:szCs w:val="22"/>
                <w:color w:val="auto"/>
              </w:rPr>
              <w:t>5</w:t>
            </w:r>
          </w:p>
        </w:tc>
      </w:tr>
      <w:tr>
        <w:trPr>
          <w:trHeight w:val="310"/>
        </w:trPr>
        <w:tc>
          <w:tcPr>
            <w:tcW w:w="9340" w:type="dxa"/>
            <w:vAlign w:val="bottom"/>
            <w:gridSpan w:val="3"/>
          </w:tcPr>
          <w:p>
            <w:pPr>
              <w:spacing w:after="0"/>
              <w:rPr>
                <w:sz w:val="20"/>
                <w:szCs w:val="20"/>
                <w:color w:val="auto"/>
              </w:rPr>
            </w:pPr>
            <w:r>
              <w:rPr>
                <w:rFonts w:ascii="Arial" w:cs="Arial" w:eastAsia="Arial" w:hAnsi="Arial"/>
                <w:sz w:val="22"/>
                <w:szCs w:val="22"/>
                <w:color w:val="auto"/>
              </w:rPr>
              <w:t>Section 5.  Rights of the Grantee</w:t>
            </w:r>
          </w:p>
        </w:tc>
        <w:tc>
          <w:tcPr>
            <w:tcW w:w="1460" w:type="dxa"/>
            <w:vAlign w:val="bottom"/>
          </w:tcPr>
          <w:p>
            <w:pPr>
              <w:ind w:left="1220"/>
              <w:spacing w:after="0"/>
              <w:rPr>
                <w:sz w:val="20"/>
                <w:szCs w:val="20"/>
                <w:color w:val="auto"/>
              </w:rPr>
            </w:pPr>
            <w:r>
              <w:rPr>
                <w:rFonts w:ascii="Arial" w:cs="Arial" w:eastAsia="Arial" w:hAnsi="Arial"/>
                <w:sz w:val="22"/>
                <w:szCs w:val="22"/>
                <w:color w:val="auto"/>
              </w:rPr>
              <w:t>5</w:t>
            </w:r>
          </w:p>
        </w:tc>
      </w:tr>
      <w:tr>
        <w:trPr>
          <w:trHeight w:val="311"/>
        </w:trPr>
        <w:tc>
          <w:tcPr>
            <w:tcW w:w="9340" w:type="dxa"/>
            <w:vAlign w:val="bottom"/>
            <w:gridSpan w:val="3"/>
          </w:tcPr>
          <w:p>
            <w:pPr>
              <w:spacing w:after="0"/>
              <w:rPr>
                <w:sz w:val="20"/>
                <w:szCs w:val="20"/>
                <w:color w:val="auto"/>
              </w:rPr>
            </w:pPr>
            <w:r>
              <w:rPr>
                <w:rFonts w:ascii="Arial" w:cs="Arial" w:eastAsia="Arial" w:hAnsi="Arial"/>
                <w:sz w:val="22"/>
                <w:szCs w:val="22"/>
                <w:color w:val="auto"/>
              </w:rPr>
              <w:t>Section 6.  Prohibition Against Transfer</w:t>
            </w:r>
          </w:p>
        </w:tc>
        <w:tc>
          <w:tcPr>
            <w:tcW w:w="1460" w:type="dxa"/>
            <w:vAlign w:val="bottom"/>
          </w:tcPr>
          <w:p>
            <w:pPr>
              <w:ind w:left="1220"/>
              <w:spacing w:after="0"/>
              <w:rPr>
                <w:sz w:val="20"/>
                <w:szCs w:val="20"/>
                <w:color w:val="auto"/>
              </w:rPr>
            </w:pPr>
            <w:r>
              <w:rPr>
                <w:rFonts w:ascii="Arial" w:cs="Arial" w:eastAsia="Arial" w:hAnsi="Arial"/>
                <w:sz w:val="22"/>
                <w:szCs w:val="22"/>
                <w:color w:val="auto"/>
              </w:rPr>
              <w:t>6</w:t>
            </w:r>
          </w:p>
        </w:tc>
      </w:tr>
      <w:tr>
        <w:trPr>
          <w:trHeight w:val="310"/>
        </w:trPr>
        <w:tc>
          <w:tcPr>
            <w:tcW w:w="9340" w:type="dxa"/>
            <w:vAlign w:val="bottom"/>
            <w:gridSpan w:val="3"/>
          </w:tcPr>
          <w:p>
            <w:pPr>
              <w:spacing w:after="0"/>
              <w:rPr>
                <w:sz w:val="20"/>
                <w:szCs w:val="20"/>
                <w:color w:val="auto"/>
              </w:rPr>
            </w:pPr>
            <w:r>
              <w:rPr>
                <w:rFonts w:ascii="Arial" w:cs="Arial" w:eastAsia="Arial" w:hAnsi="Arial"/>
                <w:sz w:val="22"/>
                <w:szCs w:val="22"/>
                <w:color w:val="auto"/>
              </w:rPr>
              <w:t>Section 7.  Responsibility for Taxes</w:t>
            </w:r>
          </w:p>
        </w:tc>
        <w:tc>
          <w:tcPr>
            <w:tcW w:w="1460" w:type="dxa"/>
            <w:vAlign w:val="bottom"/>
          </w:tcPr>
          <w:p>
            <w:pPr>
              <w:ind w:left="1220"/>
              <w:spacing w:after="0"/>
              <w:rPr>
                <w:sz w:val="20"/>
                <w:szCs w:val="20"/>
                <w:color w:val="auto"/>
              </w:rPr>
            </w:pPr>
            <w:r>
              <w:rPr>
                <w:rFonts w:ascii="Arial" w:cs="Arial" w:eastAsia="Arial" w:hAnsi="Arial"/>
                <w:sz w:val="22"/>
                <w:szCs w:val="22"/>
                <w:color w:val="auto"/>
              </w:rPr>
              <w:t>6</w:t>
            </w:r>
          </w:p>
        </w:tc>
      </w:tr>
      <w:tr>
        <w:trPr>
          <w:trHeight w:val="311"/>
        </w:trPr>
        <w:tc>
          <w:tcPr>
            <w:tcW w:w="1060" w:type="dxa"/>
            <w:vAlign w:val="bottom"/>
          </w:tcPr>
          <w:p>
            <w:pPr>
              <w:spacing w:after="0"/>
              <w:rPr>
                <w:sz w:val="20"/>
                <w:szCs w:val="20"/>
                <w:color w:val="auto"/>
              </w:rPr>
            </w:pPr>
            <w:r>
              <w:rPr>
                <w:rFonts w:ascii="Arial" w:cs="Arial" w:eastAsia="Arial" w:hAnsi="Arial"/>
                <w:sz w:val="22"/>
                <w:szCs w:val="22"/>
                <w:color w:val="auto"/>
              </w:rPr>
              <w:t>Section 8.</w:t>
            </w:r>
          </w:p>
        </w:tc>
        <w:tc>
          <w:tcPr>
            <w:tcW w:w="8280" w:type="dxa"/>
            <w:vAlign w:val="bottom"/>
            <w:gridSpan w:val="2"/>
          </w:tcPr>
          <w:p>
            <w:pPr>
              <w:ind w:left="120"/>
              <w:spacing w:after="0"/>
              <w:rPr>
                <w:sz w:val="20"/>
                <w:szCs w:val="20"/>
                <w:color w:val="auto"/>
              </w:rPr>
            </w:pPr>
            <w:r>
              <w:rPr>
                <w:rFonts w:ascii="Arial" w:cs="Arial" w:eastAsia="Arial" w:hAnsi="Arial"/>
                <w:sz w:val="22"/>
                <w:szCs w:val="22"/>
                <w:color w:val="auto"/>
              </w:rPr>
              <w:t>Section 409A Compliance</w:t>
            </w:r>
          </w:p>
        </w:tc>
        <w:tc>
          <w:tcPr>
            <w:tcW w:w="1460" w:type="dxa"/>
            <w:vAlign w:val="bottom"/>
          </w:tcPr>
          <w:p>
            <w:pPr>
              <w:ind w:left="1220"/>
              <w:spacing w:after="0"/>
              <w:rPr>
                <w:sz w:val="20"/>
                <w:szCs w:val="20"/>
                <w:color w:val="auto"/>
              </w:rPr>
            </w:pPr>
            <w:r>
              <w:rPr>
                <w:rFonts w:ascii="Arial" w:cs="Arial" w:eastAsia="Arial" w:hAnsi="Arial"/>
                <w:sz w:val="22"/>
                <w:szCs w:val="22"/>
                <w:color w:val="auto"/>
              </w:rPr>
              <w:t>8</w:t>
            </w:r>
          </w:p>
        </w:tc>
      </w:tr>
      <w:tr>
        <w:trPr>
          <w:trHeight w:val="310"/>
        </w:trPr>
        <w:tc>
          <w:tcPr>
            <w:tcW w:w="1060" w:type="dxa"/>
            <w:vAlign w:val="bottom"/>
          </w:tcPr>
          <w:p>
            <w:pPr>
              <w:spacing w:after="0"/>
              <w:rPr>
                <w:sz w:val="20"/>
                <w:szCs w:val="20"/>
                <w:color w:val="auto"/>
              </w:rPr>
            </w:pPr>
            <w:r>
              <w:rPr>
                <w:rFonts w:ascii="Arial" w:cs="Arial" w:eastAsia="Arial" w:hAnsi="Arial"/>
                <w:sz w:val="22"/>
                <w:szCs w:val="22"/>
                <w:color w:val="auto"/>
              </w:rPr>
              <w:t>Section 9.</w:t>
            </w:r>
          </w:p>
        </w:tc>
        <w:tc>
          <w:tcPr>
            <w:tcW w:w="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22"/>
                <w:szCs w:val="22"/>
                <w:color w:val="auto"/>
              </w:rPr>
              <w:t>Grantee’s Acknowledgement</w:t>
            </w:r>
          </w:p>
        </w:tc>
        <w:tc>
          <w:tcPr>
            <w:tcW w:w="1460" w:type="dxa"/>
            <w:vAlign w:val="bottom"/>
          </w:tcPr>
          <w:p>
            <w:pPr>
              <w:ind w:left="1220"/>
              <w:spacing w:after="0"/>
              <w:rPr>
                <w:sz w:val="20"/>
                <w:szCs w:val="20"/>
                <w:color w:val="auto"/>
              </w:rPr>
            </w:pPr>
            <w:r>
              <w:rPr>
                <w:rFonts w:ascii="Arial" w:cs="Arial" w:eastAsia="Arial" w:hAnsi="Arial"/>
                <w:sz w:val="22"/>
                <w:szCs w:val="22"/>
                <w:color w:val="auto"/>
              </w:rPr>
              <w:t>8</w:t>
            </w:r>
          </w:p>
        </w:tc>
      </w:tr>
      <w:tr>
        <w:trPr>
          <w:trHeight w:val="311"/>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10.</w:t>
            </w:r>
          </w:p>
        </w:tc>
        <w:tc>
          <w:tcPr>
            <w:tcW w:w="8220" w:type="dxa"/>
            <w:vAlign w:val="bottom"/>
          </w:tcPr>
          <w:p>
            <w:pPr>
              <w:ind w:left="180"/>
              <w:spacing w:after="0"/>
              <w:rPr>
                <w:sz w:val="20"/>
                <w:szCs w:val="20"/>
                <w:color w:val="auto"/>
              </w:rPr>
            </w:pPr>
            <w:r>
              <w:rPr>
                <w:rFonts w:ascii="Arial" w:cs="Arial" w:eastAsia="Arial" w:hAnsi="Arial"/>
                <w:sz w:val="22"/>
                <w:szCs w:val="22"/>
                <w:color w:val="auto"/>
              </w:rPr>
              <w:t>Data Privacy</w:t>
            </w:r>
          </w:p>
        </w:tc>
        <w:tc>
          <w:tcPr>
            <w:tcW w:w="1460" w:type="dxa"/>
            <w:vAlign w:val="bottom"/>
          </w:tcPr>
          <w:p>
            <w:pPr>
              <w:ind w:left="1220"/>
              <w:spacing w:after="0"/>
              <w:rPr>
                <w:sz w:val="20"/>
                <w:szCs w:val="20"/>
                <w:color w:val="auto"/>
              </w:rPr>
            </w:pPr>
            <w:r>
              <w:rPr>
                <w:rFonts w:ascii="Arial" w:cs="Arial" w:eastAsia="Arial" w:hAnsi="Arial"/>
                <w:sz w:val="22"/>
                <w:szCs w:val="22"/>
                <w:color w:val="auto"/>
              </w:rPr>
              <w:t>9</w:t>
            </w:r>
          </w:p>
        </w:tc>
      </w:tr>
      <w:tr>
        <w:trPr>
          <w:trHeight w:val="311"/>
        </w:trPr>
        <w:tc>
          <w:tcPr>
            <w:tcW w:w="9340" w:type="dxa"/>
            <w:vAlign w:val="bottom"/>
            <w:gridSpan w:val="3"/>
          </w:tcPr>
          <w:p>
            <w:pPr>
              <w:spacing w:after="0"/>
              <w:rPr>
                <w:sz w:val="20"/>
                <w:szCs w:val="20"/>
                <w:color w:val="auto"/>
              </w:rPr>
            </w:pPr>
            <w:r>
              <w:rPr>
                <w:rFonts w:ascii="Arial" w:cs="Arial" w:eastAsia="Arial" w:hAnsi="Arial"/>
                <w:sz w:val="22"/>
                <w:szCs w:val="22"/>
                <w:color w:val="auto"/>
              </w:rPr>
              <w:t>Section 11.  Restrictive Covenants, Remedies, and Additional Terms and Conditions</w:t>
            </w:r>
          </w:p>
        </w:tc>
        <w:tc>
          <w:tcPr>
            <w:tcW w:w="1460" w:type="dxa"/>
            <w:vAlign w:val="bottom"/>
          </w:tcPr>
          <w:p>
            <w:pPr>
              <w:ind w:left="1220"/>
              <w:spacing w:after="0"/>
              <w:rPr>
                <w:sz w:val="20"/>
                <w:szCs w:val="20"/>
                <w:color w:val="auto"/>
              </w:rPr>
            </w:pPr>
            <w:r>
              <w:rPr>
                <w:rFonts w:ascii="Arial" w:cs="Arial" w:eastAsia="Arial" w:hAnsi="Arial"/>
                <w:sz w:val="22"/>
                <w:szCs w:val="22"/>
                <w:color w:val="auto"/>
                <w:w w:val="89"/>
              </w:rPr>
              <w:t>11</w:t>
            </w:r>
          </w:p>
        </w:tc>
      </w:tr>
      <w:tr>
        <w:trPr>
          <w:trHeight w:val="310"/>
        </w:trPr>
        <w:tc>
          <w:tcPr>
            <w:tcW w:w="9340" w:type="dxa"/>
            <w:vAlign w:val="bottom"/>
            <w:gridSpan w:val="3"/>
          </w:tcPr>
          <w:p>
            <w:pPr>
              <w:spacing w:after="0"/>
              <w:rPr>
                <w:sz w:val="20"/>
                <w:szCs w:val="20"/>
                <w:color w:val="auto"/>
              </w:rPr>
            </w:pPr>
            <w:r>
              <w:rPr>
                <w:rFonts w:ascii="Arial" w:cs="Arial" w:eastAsia="Arial" w:hAnsi="Arial"/>
                <w:sz w:val="22"/>
                <w:szCs w:val="22"/>
                <w:color w:val="auto"/>
              </w:rPr>
              <w:t>Section 12.  Governing Law and Choice of Venue</w:t>
            </w:r>
          </w:p>
        </w:tc>
        <w:tc>
          <w:tcPr>
            <w:tcW w:w="1460" w:type="dxa"/>
            <w:vAlign w:val="bottom"/>
          </w:tcPr>
          <w:p>
            <w:pPr>
              <w:ind w:left="1220"/>
              <w:spacing w:after="0"/>
              <w:rPr>
                <w:sz w:val="20"/>
                <w:szCs w:val="20"/>
                <w:color w:val="auto"/>
              </w:rPr>
            </w:pPr>
            <w:r>
              <w:rPr>
                <w:rFonts w:ascii="Arial" w:cs="Arial" w:eastAsia="Arial" w:hAnsi="Arial"/>
                <w:sz w:val="22"/>
                <w:szCs w:val="22"/>
                <w:color w:val="auto"/>
                <w:w w:val="89"/>
              </w:rPr>
              <w:t>12</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13.</w:t>
            </w:r>
          </w:p>
        </w:tc>
        <w:tc>
          <w:tcPr>
            <w:tcW w:w="8220" w:type="dxa"/>
            <w:vAlign w:val="bottom"/>
          </w:tcPr>
          <w:p>
            <w:pPr>
              <w:ind w:left="180"/>
              <w:spacing w:after="0"/>
              <w:rPr>
                <w:sz w:val="20"/>
                <w:szCs w:val="20"/>
                <w:color w:val="auto"/>
              </w:rPr>
            </w:pPr>
            <w:r>
              <w:rPr>
                <w:rFonts w:ascii="Arial" w:cs="Arial" w:eastAsia="Arial" w:hAnsi="Arial"/>
                <w:sz w:val="22"/>
                <w:szCs w:val="22"/>
                <w:color w:val="auto"/>
              </w:rPr>
              <w:t>Miscellaneous Provisions</w:t>
            </w:r>
          </w:p>
        </w:tc>
        <w:tc>
          <w:tcPr>
            <w:tcW w:w="1460" w:type="dxa"/>
            <w:vAlign w:val="bottom"/>
          </w:tcPr>
          <w:p>
            <w:pPr>
              <w:ind w:left="1220"/>
              <w:spacing w:after="0"/>
              <w:rPr>
                <w:sz w:val="20"/>
                <w:szCs w:val="20"/>
                <w:color w:val="auto"/>
              </w:rPr>
            </w:pPr>
            <w:r>
              <w:rPr>
                <w:rFonts w:ascii="Arial" w:cs="Arial" w:eastAsia="Arial" w:hAnsi="Arial"/>
                <w:sz w:val="22"/>
                <w:szCs w:val="22"/>
                <w:color w:val="auto"/>
                <w:w w:val="89"/>
              </w:rPr>
              <w:t>12</w:t>
            </w:r>
          </w:p>
        </w:tc>
      </w:tr>
      <w:tr>
        <w:trPr>
          <w:trHeight w:val="310"/>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14.</w:t>
            </w:r>
          </w:p>
        </w:tc>
        <w:tc>
          <w:tcPr>
            <w:tcW w:w="8220" w:type="dxa"/>
            <w:vAlign w:val="bottom"/>
          </w:tcPr>
          <w:p>
            <w:pPr>
              <w:ind w:left="180"/>
              <w:spacing w:after="0"/>
              <w:rPr>
                <w:sz w:val="20"/>
                <w:szCs w:val="20"/>
                <w:color w:val="auto"/>
              </w:rPr>
            </w:pPr>
            <w:r>
              <w:rPr>
                <w:rFonts w:ascii="Arial" w:cs="Arial" w:eastAsia="Arial" w:hAnsi="Arial"/>
                <w:sz w:val="22"/>
                <w:szCs w:val="22"/>
                <w:color w:val="auto"/>
              </w:rPr>
              <w:t>Compensation Recovery</w:t>
            </w:r>
          </w:p>
        </w:tc>
        <w:tc>
          <w:tcPr>
            <w:tcW w:w="1460" w:type="dxa"/>
            <w:vAlign w:val="bottom"/>
          </w:tcPr>
          <w:p>
            <w:pPr>
              <w:ind w:left="1220"/>
              <w:spacing w:after="0"/>
              <w:rPr>
                <w:sz w:val="20"/>
                <w:szCs w:val="20"/>
                <w:color w:val="auto"/>
              </w:rPr>
            </w:pPr>
            <w:r>
              <w:rPr>
                <w:rFonts w:ascii="Arial" w:cs="Arial" w:eastAsia="Arial" w:hAnsi="Arial"/>
                <w:sz w:val="22"/>
                <w:szCs w:val="22"/>
                <w:color w:val="auto"/>
                <w:w w:val="89"/>
              </w:rPr>
              <w:t>13</w:t>
            </w:r>
          </w:p>
        </w:tc>
      </w:tr>
      <w:tr>
        <w:trPr>
          <w:trHeight w:val="311"/>
        </w:trPr>
        <w:tc>
          <w:tcPr>
            <w:tcW w:w="1120" w:type="dxa"/>
            <w:vAlign w:val="bottom"/>
            <w:gridSpan w:val="2"/>
          </w:tcPr>
          <w:p>
            <w:pPr>
              <w:spacing w:after="0"/>
              <w:rPr>
                <w:sz w:val="20"/>
                <w:szCs w:val="20"/>
                <w:color w:val="auto"/>
              </w:rPr>
            </w:pPr>
            <w:r>
              <w:rPr>
                <w:rFonts w:ascii="Arial" w:cs="Arial" w:eastAsia="Arial" w:hAnsi="Arial"/>
                <w:sz w:val="22"/>
                <w:szCs w:val="22"/>
                <w:color w:val="auto"/>
                <w:w w:val="99"/>
              </w:rPr>
              <w:t>Section 15.</w:t>
            </w:r>
          </w:p>
        </w:tc>
        <w:tc>
          <w:tcPr>
            <w:tcW w:w="8220" w:type="dxa"/>
            <w:vAlign w:val="bottom"/>
          </w:tcPr>
          <w:p>
            <w:pPr>
              <w:ind w:left="180"/>
              <w:spacing w:after="0"/>
              <w:rPr>
                <w:sz w:val="20"/>
                <w:szCs w:val="20"/>
                <w:color w:val="auto"/>
              </w:rPr>
            </w:pPr>
            <w:r>
              <w:rPr>
                <w:rFonts w:ascii="Arial" w:cs="Arial" w:eastAsia="Arial" w:hAnsi="Arial"/>
                <w:sz w:val="22"/>
                <w:szCs w:val="22"/>
                <w:color w:val="auto"/>
              </w:rPr>
              <w:t>Award Subject to Acknowledgement of Acceptance</w:t>
            </w:r>
          </w:p>
        </w:tc>
        <w:tc>
          <w:tcPr>
            <w:tcW w:w="1460" w:type="dxa"/>
            <w:vAlign w:val="bottom"/>
          </w:tcPr>
          <w:p>
            <w:pPr>
              <w:ind w:left="1220"/>
              <w:spacing w:after="0"/>
              <w:rPr>
                <w:sz w:val="20"/>
                <w:szCs w:val="20"/>
                <w:color w:val="auto"/>
              </w:rPr>
            </w:pPr>
            <w:r>
              <w:rPr>
                <w:rFonts w:ascii="Arial" w:cs="Arial" w:eastAsia="Arial" w:hAnsi="Arial"/>
                <w:sz w:val="22"/>
                <w:szCs w:val="22"/>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0880"/>
          </w:cols>
          <w:pgMar w:left="320" w:top="120" w:right="69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5"/>
          <w:szCs w:val="25"/>
          <w:color w:val="auto"/>
        </w:rPr>
        <w:t>Section 1.</w:t>
      </w:r>
      <w:r>
        <w:rPr>
          <w:sz w:val="20"/>
          <w:szCs w:val="20"/>
          <w:color w:val="auto"/>
        </w:rPr>
        <w:tab/>
      </w:r>
      <w:r>
        <w:rPr>
          <w:rFonts w:ascii="Arial" w:cs="Arial" w:eastAsia="Arial" w:hAnsi="Arial"/>
          <w:sz w:val="25"/>
          <w:szCs w:val="25"/>
          <w:color w:val="auto"/>
        </w:rPr>
        <w:t>Grant of Restricted Stock Units</w:t>
      </w:r>
    </w:p>
    <w:p>
      <w:pPr>
        <w:spacing w:after="0" w:line="69" w:lineRule="exact"/>
        <w:rPr>
          <w:sz w:val="20"/>
          <w:szCs w:val="20"/>
          <w:color w:val="auto"/>
        </w:rPr>
      </w:pPr>
    </w:p>
    <w:p>
      <w:pPr>
        <w:jc w:val="both"/>
        <w:ind w:left="500"/>
        <w:spacing w:after="0" w:line="215" w:lineRule="auto"/>
        <w:rPr>
          <w:sz w:val="20"/>
          <w:szCs w:val="20"/>
          <w:color w:val="auto"/>
        </w:rPr>
      </w:pPr>
      <w:r>
        <w:rPr>
          <w:rFonts w:ascii="Arial" w:cs="Arial" w:eastAsia="Arial" w:hAnsi="Arial"/>
          <w:sz w:val="22"/>
          <w:szCs w:val="22"/>
          <w:color w:val="auto"/>
        </w:rPr>
        <w:t xml:space="preserve">Eli Lilly and Company, an Indiana corporation (“Lilly” or the “Company”), has granted to the Eligible Individual who has received this Restricted Stock Unit Award Agreement (the “Grantee”) an award of restricted stock units (the “Restricted Stock Units” or the “Award”) with respect to the number of shares of Lilly Common Stock (the “Shares”) that the Grantee may view by logging on to the Merrill Lynch website at </w:t>
      </w:r>
      <w:r>
        <w:rPr>
          <w:rFonts w:ascii="Arial" w:cs="Arial" w:eastAsia="Arial" w:hAnsi="Arial"/>
          <w:sz w:val="22"/>
          <w:szCs w:val="22"/>
          <w:u w:val="single" w:color="auto"/>
          <w:color w:val="auto"/>
        </w:rPr>
        <w:t>http://myequity.lilly.com</w:t>
      </w:r>
      <w:r>
        <w:rPr>
          <w:rFonts w:ascii="Arial" w:cs="Arial" w:eastAsia="Arial" w:hAnsi="Arial"/>
          <w:sz w:val="22"/>
          <w:szCs w:val="22"/>
          <w:color w:val="auto"/>
        </w:rPr>
        <w:t>.</w:t>
      </w:r>
    </w:p>
    <w:p>
      <w:pPr>
        <w:spacing w:after="0" w:line="66" w:lineRule="exact"/>
        <w:rPr>
          <w:sz w:val="20"/>
          <w:szCs w:val="20"/>
          <w:color w:val="auto"/>
        </w:rPr>
      </w:pPr>
    </w:p>
    <w:p>
      <w:pPr>
        <w:jc w:val="both"/>
        <w:ind w:left="500"/>
        <w:spacing w:after="0" w:line="211" w:lineRule="auto"/>
        <w:rPr>
          <w:sz w:val="20"/>
          <w:szCs w:val="20"/>
          <w:color w:val="auto"/>
        </w:rPr>
      </w:pPr>
      <w:r>
        <w:rPr>
          <w:rFonts w:ascii="Arial" w:cs="Arial" w:eastAsia="Arial" w:hAnsi="Arial"/>
          <w:sz w:val="22"/>
          <w:szCs w:val="22"/>
          <w:color w:val="auto"/>
        </w:rPr>
        <w:t>The Award is made pursuant to and subject to the terms and conditions set forth in the Amended and Restated 2002 Lilly Stock Plan (the “Plan”) and to the terms and conditions set forth in this Restricted Stock Unit Award Agreement, including all appendices, exhibits and addenda hereto (the “Award Agreement”). In the event of any conflict between the terms of the Plan and this Award Agreement, the terms of the Plan shall govern except with respect to the provisions described in Section 11 below (in which case, the terms of the Award Agreement shall govern).</w:t>
      </w:r>
    </w:p>
    <w:p>
      <w:pPr>
        <w:spacing w:after="0" w:line="205" w:lineRule="exact"/>
        <w:rPr>
          <w:sz w:val="20"/>
          <w:szCs w:val="20"/>
          <w:color w:val="auto"/>
        </w:rPr>
      </w:pPr>
    </w:p>
    <w:p>
      <w:pPr>
        <w:jc w:val="both"/>
        <w:ind w:left="500"/>
        <w:spacing w:after="0" w:line="225" w:lineRule="auto"/>
        <w:rPr>
          <w:sz w:val="20"/>
          <w:szCs w:val="20"/>
          <w:color w:val="auto"/>
        </w:rPr>
      </w:pPr>
      <w:r>
        <w:rPr>
          <w:rFonts w:ascii="Arial" w:cs="Arial" w:eastAsia="Arial" w:hAnsi="Arial"/>
          <w:sz w:val="22"/>
          <w:szCs w:val="22"/>
          <w:color w:val="auto"/>
        </w:rPr>
        <w:t>Any capitalized terms used but not defined in this Award Agreement shall have the meanings set forth in the Plan.</w:t>
      </w:r>
    </w:p>
    <w:p>
      <w:pPr>
        <w:spacing w:after="0" w:line="168"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5"/>
          <w:szCs w:val="25"/>
          <w:color w:val="auto"/>
        </w:rPr>
        <w:t>Section 2.</w:t>
      </w:r>
      <w:r>
        <w:rPr>
          <w:sz w:val="20"/>
          <w:szCs w:val="20"/>
          <w:color w:val="auto"/>
        </w:rPr>
        <w:tab/>
      </w:r>
      <w:r>
        <w:rPr>
          <w:rFonts w:ascii="Arial" w:cs="Arial" w:eastAsia="Arial" w:hAnsi="Arial"/>
          <w:sz w:val="24"/>
          <w:szCs w:val="24"/>
          <w:color w:val="auto"/>
        </w:rPr>
        <w:t>Vesting</w:t>
      </w:r>
    </w:p>
    <w:p>
      <w:pPr>
        <w:spacing w:after="0" w:line="69" w:lineRule="exact"/>
        <w:rPr>
          <w:sz w:val="20"/>
          <w:szCs w:val="20"/>
          <w:color w:val="auto"/>
        </w:rPr>
      </w:pPr>
    </w:p>
    <w:p>
      <w:pPr>
        <w:ind w:left="1300" w:right="20" w:hanging="644"/>
        <w:spacing w:after="0" w:line="225" w:lineRule="auto"/>
        <w:tabs>
          <w:tab w:leader="none" w:pos="1291" w:val="left"/>
        </w:tabs>
        <w:numPr>
          <w:ilvl w:val="0"/>
          <w:numId w:val="283"/>
        </w:numPr>
        <w:rPr>
          <w:rFonts w:ascii="Arial" w:cs="Arial" w:eastAsia="Arial" w:hAnsi="Arial"/>
          <w:sz w:val="22"/>
          <w:szCs w:val="22"/>
          <w:color w:val="auto"/>
        </w:rPr>
      </w:pPr>
      <w:r>
        <w:rPr>
          <w:rFonts w:ascii="Arial" w:cs="Arial" w:eastAsia="Arial" w:hAnsi="Arial"/>
          <w:sz w:val="22"/>
          <w:szCs w:val="22"/>
          <w:color w:val="auto"/>
        </w:rPr>
        <w:t>For purposes of the vesting provisions set forth in Section 2 of this Award Agreement, the following definitions will apply:</w:t>
      </w:r>
    </w:p>
    <w:p>
      <w:pPr>
        <w:spacing w:after="0" w:line="200" w:lineRule="exact"/>
        <w:rPr>
          <w:rFonts w:ascii="Arial" w:cs="Arial" w:eastAsia="Arial" w:hAnsi="Arial"/>
          <w:sz w:val="22"/>
          <w:szCs w:val="22"/>
          <w:color w:val="auto"/>
        </w:rPr>
      </w:pPr>
    </w:p>
    <w:p>
      <w:pPr>
        <w:jc w:val="both"/>
        <w:ind w:left="1800" w:hanging="334"/>
        <w:spacing w:after="0" w:line="209" w:lineRule="auto"/>
        <w:tabs>
          <w:tab w:leader="none" w:pos="1789" w:val="left"/>
        </w:tabs>
        <w:numPr>
          <w:ilvl w:val="1"/>
          <w:numId w:val="283"/>
        </w:numPr>
        <w:rPr>
          <w:rFonts w:ascii="Arial" w:cs="Arial" w:eastAsia="Arial" w:hAnsi="Arial"/>
          <w:sz w:val="22"/>
          <w:szCs w:val="22"/>
          <w:color w:val="auto"/>
        </w:rPr>
      </w:pPr>
      <w:r>
        <w:rPr>
          <w:rFonts w:ascii="Arial" w:cs="Arial" w:eastAsia="Arial" w:hAnsi="Arial"/>
          <w:sz w:val="22"/>
          <w:szCs w:val="22"/>
          <w:color w:val="auto"/>
        </w:rPr>
        <w:t>“Disability” means that the Grantee would qualify to receive benefit payments under the long-term disability plan or policy, as it may be amended from time to time, of the Company or the Affiliate that employs the Grantee (the “Employer”). If the Company or the Employer does not have a long-term disability plan or policy, “Disability” means that the Grantee is unable to carry out the responsibilities and functions of the position held by the Grantee by reason of any medically determined physical or mental impairment for a period of at least ninety (90) consecutive days as may be determined by the Company or Employer. The Grantee shall not be considered to have incurred a Disability unless he or she furnishes proof of such impairment sufficient to satisfy the Company as it determines in its sole discretion.</w:t>
      </w:r>
    </w:p>
    <w:p>
      <w:pPr>
        <w:spacing w:after="0" w:line="204" w:lineRule="exact"/>
        <w:rPr>
          <w:rFonts w:ascii="Arial" w:cs="Arial" w:eastAsia="Arial" w:hAnsi="Arial"/>
          <w:sz w:val="22"/>
          <w:szCs w:val="22"/>
          <w:color w:val="auto"/>
        </w:rPr>
      </w:pPr>
    </w:p>
    <w:p>
      <w:pPr>
        <w:ind w:left="1800" w:hanging="334"/>
        <w:spacing w:after="0" w:line="225" w:lineRule="auto"/>
        <w:tabs>
          <w:tab w:leader="none" w:pos="1797" w:val="left"/>
        </w:tabs>
        <w:numPr>
          <w:ilvl w:val="1"/>
          <w:numId w:val="283"/>
        </w:numPr>
        <w:rPr>
          <w:rFonts w:ascii="Arial" w:cs="Arial" w:eastAsia="Arial" w:hAnsi="Arial"/>
          <w:sz w:val="22"/>
          <w:szCs w:val="22"/>
          <w:color w:val="auto"/>
        </w:rPr>
      </w:pPr>
      <w:r>
        <w:rPr>
          <w:rFonts w:ascii="Arial" w:cs="Arial" w:eastAsia="Arial" w:hAnsi="Arial"/>
          <w:sz w:val="22"/>
          <w:szCs w:val="22"/>
          <w:color w:val="auto"/>
        </w:rPr>
        <w:t>“Qualifying Termination” means the termination of the Grantee's Service under any one of the following circumstances:</w:t>
      </w:r>
    </w:p>
    <w:p>
      <w:pPr>
        <w:spacing w:after="0" w:line="200" w:lineRule="exact"/>
        <w:rPr>
          <w:rFonts w:ascii="Arial" w:cs="Arial" w:eastAsia="Arial" w:hAnsi="Arial"/>
          <w:sz w:val="22"/>
          <w:szCs w:val="22"/>
          <w:color w:val="auto"/>
        </w:rPr>
      </w:pPr>
    </w:p>
    <w:p>
      <w:pPr>
        <w:ind w:left="2260" w:hanging="470"/>
        <w:spacing w:after="0"/>
        <w:tabs>
          <w:tab w:leader="none" w:pos="2260" w:val="left"/>
        </w:tabs>
        <w:numPr>
          <w:ilvl w:val="2"/>
          <w:numId w:val="283"/>
        </w:numPr>
        <w:rPr>
          <w:rFonts w:ascii="Arial" w:cs="Arial" w:eastAsia="Arial" w:hAnsi="Arial"/>
          <w:sz w:val="22"/>
          <w:szCs w:val="22"/>
          <w:color w:val="auto"/>
        </w:rPr>
      </w:pPr>
      <w:r>
        <w:rPr>
          <w:rFonts w:ascii="Arial" w:cs="Arial" w:eastAsia="Arial" w:hAnsi="Arial"/>
          <w:sz w:val="22"/>
          <w:szCs w:val="22"/>
          <w:color w:val="auto"/>
        </w:rPr>
        <w:t>due to a plant closing or reduction in workforce (as defined below);</w:t>
      </w:r>
    </w:p>
    <w:p>
      <w:pPr>
        <w:spacing w:after="0" w:line="206" w:lineRule="exact"/>
        <w:rPr>
          <w:rFonts w:ascii="Arial" w:cs="Arial" w:eastAsia="Arial" w:hAnsi="Arial"/>
          <w:sz w:val="22"/>
          <w:szCs w:val="22"/>
          <w:color w:val="auto"/>
        </w:rPr>
      </w:pPr>
    </w:p>
    <w:p>
      <w:pPr>
        <w:jc w:val="both"/>
        <w:ind w:left="2280" w:hanging="490"/>
        <w:spacing w:after="0" w:line="218" w:lineRule="auto"/>
        <w:tabs>
          <w:tab w:leader="none" w:pos="2268" w:val="left"/>
        </w:tabs>
        <w:numPr>
          <w:ilvl w:val="2"/>
          <w:numId w:val="283"/>
        </w:numPr>
        <w:rPr>
          <w:rFonts w:ascii="Arial" w:cs="Arial" w:eastAsia="Arial" w:hAnsi="Arial"/>
          <w:sz w:val="22"/>
          <w:szCs w:val="22"/>
          <w:color w:val="auto"/>
        </w:rPr>
      </w:pPr>
      <w:r>
        <w:rPr>
          <w:rFonts w:ascii="Arial" w:cs="Arial" w:eastAsia="Arial" w:hAnsi="Arial"/>
          <w:sz w:val="22"/>
          <w:szCs w:val="22"/>
          <w:color w:val="auto"/>
        </w:rPr>
        <w:t>as a result of the Grantee’s failure to locate a position within the Company or an Affiliate following the placement of the Grantee on reallocation or medical reassignment in the United States (or equivalent as determined by the Committee).</w:t>
      </w:r>
    </w:p>
    <w:p>
      <w:pPr>
        <w:spacing w:after="0" w:line="202" w:lineRule="exact"/>
        <w:rPr>
          <w:sz w:val="20"/>
          <w:szCs w:val="20"/>
          <w:color w:val="auto"/>
        </w:rPr>
      </w:pPr>
    </w:p>
    <w:p>
      <w:pPr>
        <w:ind w:left="1800"/>
        <w:spacing w:after="0" w:line="225" w:lineRule="auto"/>
        <w:rPr>
          <w:sz w:val="20"/>
          <w:szCs w:val="20"/>
          <w:color w:val="auto"/>
        </w:rPr>
      </w:pPr>
      <w:r>
        <w:rPr>
          <w:rFonts w:ascii="Arial" w:cs="Arial" w:eastAsia="Arial" w:hAnsi="Arial"/>
          <w:sz w:val="22"/>
          <w:szCs w:val="22"/>
          <w:color w:val="auto"/>
        </w:rPr>
        <w:t>“Plant closing” means the closing of a plant site or other corporate location that directly results in termination of the Grantee’s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240"/>
          </w:cols>
          <w:pgMar w:left="320" w:top="120" w:right="33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800"/>
        <w:spacing w:after="0" w:line="218" w:lineRule="auto"/>
        <w:rPr>
          <w:sz w:val="20"/>
          <w:szCs w:val="20"/>
          <w:color w:val="auto"/>
        </w:rPr>
      </w:pPr>
      <w:r>
        <w:rPr>
          <w:rFonts w:ascii="Arial" w:cs="Arial" w:eastAsia="Arial" w:hAnsi="Arial"/>
          <w:sz w:val="22"/>
          <w:szCs w:val="22"/>
          <w:color w:val="auto"/>
        </w:rPr>
        <w:t>“Reduction in workforce” means the elimination of a work group, functional or business unit or other broadly applicable reduction in job positions that directly results in termination of the Grantee’s Service.</w:t>
      </w:r>
    </w:p>
    <w:p>
      <w:pPr>
        <w:spacing w:after="0" w:line="175" w:lineRule="exact"/>
        <w:rPr>
          <w:sz w:val="20"/>
          <w:szCs w:val="20"/>
          <w:color w:val="auto"/>
        </w:rPr>
      </w:pPr>
    </w:p>
    <w:p>
      <w:pPr>
        <w:ind w:left="1300" w:hanging="644"/>
        <w:spacing w:after="0" w:line="225" w:lineRule="auto"/>
        <w:tabs>
          <w:tab w:leader="none" w:pos="1291"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Award shall vest at the close of business in Indianapolis, Indiana, U.S.A. on the earliest of the following dates (each, a “Vesting Date”):</w:t>
      </w:r>
    </w:p>
    <w:p>
      <w:pPr>
        <w:spacing w:after="0" w:line="173" w:lineRule="exact"/>
        <w:rPr>
          <w:rFonts w:ascii="Arial" w:cs="Arial" w:eastAsia="Arial" w:hAnsi="Arial"/>
          <w:sz w:val="22"/>
          <w:szCs w:val="22"/>
          <w:color w:val="auto"/>
        </w:rPr>
      </w:pPr>
    </w:p>
    <w:p>
      <w:pPr>
        <w:ind w:left="1800" w:right="660" w:hanging="334"/>
        <w:spacing w:after="0" w:line="225" w:lineRule="auto"/>
        <w:tabs>
          <w:tab w:leader="none" w:pos="1789" w:val="left"/>
        </w:tabs>
        <w:numPr>
          <w:ilvl w:val="1"/>
          <w:numId w:val="284"/>
        </w:numPr>
        <w:rPr>
          <w:rFonts w:ascii="Arial" w:cs="Arial" w:eastAsia="Arial" w:hAnsi="Arial"/>
          <w:sz w:val="22"/>
          <w:szCs w:val="22"/>
          <w:color w:val="auto"/>
        </w:rPr>
      </w:pPr>
      <w:r>
        <w:rPr>
          <w:rFonts w:ascii="Arial" w:cs="Arial" w:eastAsia="Arial" w:hAnsi="Arial"/>
          <w:sz w:val="22"/>
          <w:szCs w:val="22"/>
          <w:color w:val="auto"/>
        </w:rPr>
        <w:t>[INSERT DATE] with respect to 100% of the Award, provided the Grantee is still in active Service on the Vesting Date,</w:t>
      </w:r>
    </w:p>
    <w:p>
      <w:pPr>
        <w:spacing w:after="0" w:line="200" w:lineRule="exact"/>
        <w:rPr>
          <w:rFonts w:ascii="Arial" w:cs="Arial" w:eastAsia="Arial" w:hAnsi="Arial"/>
          <w:sz w:val="22"/>
          <w:szCs w:val="22"/>
          <w:color w:val="auto"/>
        </w:rPr>
      </w:pPr>
    </w:p>
    <w:p>
      <w:pPr>
        <w:ind w:left="1800" w:right="660"/>
        <w:spacing w:after="0" w:line="225" w:lineRule="auto"/>
        <w:rPr>
          <w:rFonts w:ascii="Arial" w:cs="Arial" w:eastAsia="Arial" w:hAnsi="Arial"/>
          <w:sz w:val="22"/>
          <w:szCs w:val="22"/>
          <w:color w:val="auto"/>
        </w:rPr>
      </w:pPr>
      <w:r>
        <w:rPr>
          <w:rFonts w:ascii="Arial" w:cs="Arial" w:eastAsia="Arial" w:hAnsi="Arial"/>
          <w:sz w:val="22"/>
          <w:szCs w:val="22"/>
          <w:color w:val="auto"/>
        </w:rPr>
        <w:t>subject to any alternative date(s) set forth in any appendix attached hereto (the “Appendix”), or</w:t>
      </w:r>
    </w:p>
    <w:p>
      <w:pPr>
        <w:spacing w:after="0" w:line="200" w:lineRule="exact"/>
        <w:rPr>
          <w:rFonts w:ascii="Arial" w:cs="Arial" w:eastAsia="Arial" w:hAnsi="Arial"/>
          <w:sz w:val="22"/>
          <w:szCs w:val="22"/>
          <w:color w:val="auto"/>
        </w:rPr>
      </w:pPr>
    </w:p>
    <w:p>
      <w:pPr>
        <w:ind w:left="1800" w:right="660" w:hanging="334"/>
        <w:spacing w:after="0" w:line="225" w:lineRule="auto"/>
        <w:tabs>
          <w:tab w:leader="none" w:pos="1797" w:val="left"/>
        </w:tabs>
        <w:numPr>
          <w:ilvl w:val="1"/>
          <w:numId w:val="284"/>
        </w:numPr>
        <w:rPr>
          <w:rFonts w:ascii="Arial" w:cs="Arial" w:eastAsia="Arial" w:hAnsi="Arial"/>
          <w:sz w:val="22"/>
          <w:szCs w:val="22"/>
          <w:color w:val="auto"/>
        </w:rPr>
      </w:pPr>
      <w:r>
        <w:rPr>
          <w:rFonts w:ascii="Arial" w:cs="Arial" w:eastAsia="Arial" w:hAnsi="Arial"/>
          <w:sz w:val="22"/>
          <w:szCs w:val="22"/>
          <w:color w:val="auto"/>
        </w:rPr>
        <w:t>the date the Grantee’s Service is terminated (A) due to the Grantee’s death or (B) by reason of the Grantee’s Disability, with respect to 100% of the Award, or</w:t>
      </w:r>
    </w:p>
    <w:p>
      <w:pPr>
        <w:spacing w:after="0" w:line="201" w:lineRule="exact"/>
        <w:rPr>
          <w:sz w:val="20"/>
          <w:szCs w:val="20"/>
          <w:color w:val="auto"/>
        </w:rPr>
      </w:pPr>
    </w:p>
    <w:p>
      <w:pPr>
        <w:jc w:val="both"/>
        <w:ind w:left="1800" w:right="660" w:hanging="323"/>
        <w:spacing w:after="0" w:line="215" w:lineRule="auto"/>
        <w:rPr>
          <w:sz w:val="20"/>
          <w:szCs w:val="20"/>
          <w:color w:val="auto"/>
        </w:rPr>
      </w:pPr>
      <w:r>
        <w:rPr>
          <w:rFonts w:ascii="Arial" w:cs="Arial" w:eastAsia="Arial" w:hAnsi="Arial"/>
          <w:sz w:val="22"/>
          <w:szCs w:val="22"/>
          <w:color w:val="auto"/>
        </w:rPr>
        <w:t>(iii)the date the Grantee is subject to a Qualifying Termination, in which case the number of Restricted Stock Units that shall vest shall be reduced proportionally for the portion of the total days between the Grant Date and the Vesting Date specified in 2(b)(i) that the Grantee was not in active Service.</w:t>
      </w:r>
    </w:p>
    <w:p>
      <w:pPr>
        <w:spacing w:after="0" w:line="201" w:lineRule="exact"/>
        <w:rPr>
          <w:sz w:val="20"/>
          <w:szCs w:val="20"/>
          <w:color w:val="auto"/>
        </w:rPr>
      </w:pPr>
    </w:p>
    <w:p>
      <w:pPr>
        <w:jc w:val="both"/>
        <w:ind w:left="1300"/>
        <w:spacing w:after="0" w:line="214" w:lineRule="auto"/>
        <w:rPr>
          <w:sz w:val="20"/>
          <w:szCs w:val="20"/>
          <w:color w:val="auto"/>
        </w:rPr>
      </w:pPr>
      <w:r>
        <w:rPr>
          <w:rFonts w:ascii="Arial" w:cs="Arial" w:eastAsia="Arial" w:hAnsi="Arial"/>
          <w:sz w:val="21"/>
          <w:szCs w:val="21"/>
          <w:color w:val="auto"/>
        </w:rPr>
        <w:t>The Committee’s determination as to whether (A) the Grantee’s Service has been terminated by reason of Disability, (B) the Grantee’s Service has been terminated as a direct result of either a plant closing or a reduction in workforce, (C) the Grantee’s Service has been terminated as a result of the failure to locate a position within the Company or an Affiliate following reallocation or medical reassignment, and</w:t>
      </w:r>
    </w:p>
    <w:p>
      <w:pPr>
        <w:spacing w:after="0" w:line="3" w:lineRule="exact"/>
        <w:rPr>
          <w:sz w:val="20"/>
          <w:szCs w:val="20"/>
          <w:color w:val="auto"/>
        </w:rPr>
      </w:pPr>
    </w:p>
    <w:p>
      <w:pPr>
        <w:ind w:left="1300" w:right="20"/>
        <w:spacing w:after="0" w:line="225" w:lineRule="auto"/>
        <w:rPr>
          <w:sz w:val="20"/>
          <w:szCs w:val="20"/>
          <w:color w:val="auto"/>
        </w:rPr>
      </w:pPr>
      <w:r>
        <w:rPr>
          <w:rFonts w:ascii="Arial" w:cs="Arial" w:eastAsia="Arial" w:hAnsi="Arial"/>
          <w:sz w:val="22"/>
          <w:szCs w:val="22"/>
          <w:color w:val="auto"/>
        </w:rPr>
        <w:t>(D) a leave of absence or a transfer of employment between Lilly and an Affiliate or between Affiliates constitutes a termination of Service shall be final and binding on the Grantee.</w:t>
      </w:r>
    </w:p>
    <w:p>
      <w:pPr>
        <w:spacing w:after="0" w:line="200" w:lineRule="exact"/>
        <w:rPr>
          <w:sz w:val="20"/>
          <w:szCs w:val="20"/>
          <w:color w:val="auto"/>
        </w:rPr>
      </w:pPr>
    </w:p>
    <w:p>
      <w:pPr>
        <w:jc w:val="both"/>
        <w:ind w:left="1300" w:hanging="644"/>
        <w:spacing w:after="0" w:line="218" w:lineRule="auto"/>
        <w:tabs>
          <w:tab w:leader="none" w:pos="1292" w:val="left"/>
        </w:tabs>
        <w:numPr>
          <w:ilvl w:val="0"/>
          <w:numId w:val="285"/>
        </w:numPr>
        <w:rPr>
          <w:rFonts w:ascii="Arial" w:cs="Arial" w:eastAsia="Arial" w:hAnsi="Arial"/>
          <w:sz w:val="22"/>
          <w:szCs w:val="22"/>
          <w:color w:val="auto"/>
        </w:rPr>
      </w:pPr>
      <w:r>
        <w:rPr>
          <w:rFonts w:ascii="Arial" w:cs="Arial" w:eastAsia="Arial" w:hAnsi="Arial"/>
          <w:sz w:val="22"/>
          <w:szCs w:val="22"/>
          <w:color w:val="auto"/>
        </w:rPr>
        <w:t>In the event the Grantee's Service with the Company or an Affiliate is terminated prior to a Vesting Date for any reason or in any circumstance other than those specified in Sections 2(b)(ii) or 2(b)(iii), any unvested portion of the Award will be forfeited.</w:t>
      </w:r>
    </w:p>
    <w:p>
      <w:pPr>
        <w:spacing w:after="0" w:line="201"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285"/>
        </w:numPr>
        <w:rPr>
          <w:rFonts w:ascii="Arial" w:cs="Arial" w:eastAsia="Arial" w:hAnsi="Arial"/>
          <w:sz w:val="22"/>
          <w:szCs w:val="22"/>
          <w:color w:val="auto"/>
        </w:rPr>
      </w:pPr>
      <w:r>
        <w:rPr>
          <w:rFonts w:ascii="Arial" w:cs="Arial" w:eastAsia="Arial" w:hAnsi="Arial"/>
          <w:sz w:val="22"/>
          <w:szCs w:val="22"/>
          <w:color w:val="auto"/>
        </w:rPr>
        <w:t>The Committee may, at its discretion, cancel the Award or reduce the number of Restricted Stock Units and any accrued Dividend Equivalent Rights, prorated according to time or other measure as deemed appropriate by the Committee, if at any time prior to the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3"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5"/>
          <w:szCs w:val="25"/>
          <w:color w:val="auto"/>
        </w:rPr>
        <w:t>Section 3.</w:t>
      </w:r>
      <w:r>
        <w:rPr>
          <w:sz w:val="20"/>
          <w:szCs w:val="20"/>
          <w:color w:val="auto"/>
        </w:rPr>
        <w:tab/>
      </w:r>
      <w:r>
        <w:rPr>
          <w:rFonts w:ascii="Arial" w:cs="Arial" w:eastAsia="Arial" w:hAnsi="Arial"/>
          <w:sz w:val="25"/>
          <w:szCs w:val="25"/>
          <w:color w:val="auto"/>
        </w:rPr>
        <w:t>Change in Control</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provisions of Section 13.2 of the Plan apply to this Award with the following modifications:</w:t>
      </w:r>
    </w:p>
    <w:p>
      <w:pPr>
        <w:spacing w:after="0" w:line="193" w:lineRule="exact"/>
        <w:rPr>
          <w:sz w:val="20"/>
          <w:szCs w:val="20"/>
          <w:color w:val="auto"/>
        </w:rPr>
      </w:pPr>
    </w:p>
    <w:p>
      <w:pPr>
        <w:ind w:left="1300" w:hanging="644"/>
        <w:spacing w:after="0" w:line="225" w:lineRule="auto"/>
        <w:tabs>
          <w:tab w:leader="none" w:pos="1291" w:val="left"/>
        </w:tabs>
        <w:numPr>
          <w:ilvl w:val="0"/>
          <w:numId w:val="286"/>
        </w:numPr>
        <w:rPr>
          <w:rFonts w:ascii="Arial" w:cs="Arial" w:eastAsia="Arial" w:hAnsi="Arial"/>
          <w:sz w:val="22"/>
          <w:szCs w:val="22"/>
          <w:color w:val="auto"/>
        </w:rPr>
      </w:pPr>
      <w:r>
        <w:rPr>
          <w:rFonts w:ascii="Arial" w:cs="Arial" w:eastAsia="Arial" w:hAnsi="Arial"/>
          <w:sz w:val="22"/>
          <w:szCs w:val="22"/>
          <w:color w:val="auto"/>
        </w:rPr>
        <w:t>The only Change in Control event that shall result in a benefit under this Section 3 shall be the consummation of a merger, share exchange, 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40"/>
          </w:cols>
          <w:pgMar w:left="320" w:top="120" w:right="3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consolidation of the Company, as defined in Section 2.6(c) of the Plan (a “Transaction”).</w:t>
      </w:r>
    </w:p>
    <w:p>
      <w:pPr>
        <w:spacing w:after="0" w:line="206" w:lineRule="exact"/>
        <w:rPr>
          <w:sz w:val="20"/>
          <w:szCs w:val="20"/>
          <w:color w:val="auto"/>
        </w:rPr>
      </w:pPr>
    </w:p>
    <w:p>
      <w:pPr>
        <w:jc w:val="both"/>
        <w:ind w:left="1300" w:hanging="644"/>
        <w:spacing w:after="0" w:line="218" w:lineRule="auto"/>
        <w:tabs>
          <w:tab w:leader="none" w:pos="129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In the event that the Award is not converted, assumed, substituted, continued or replaced by a successor or surviving corporation, or a parent or subsidiary thereof, in connection with a Transaction, then immediately prior to the Transaction, the Award shall vest automatically in full.</w:t>
      </w:r>
    </w:p>
    <w:p>
      <w:pPr>
        <w:spacing w:after="0" w:line="201"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In the event that the Award is converted, assumed, substituted, continued or replaced by a successor or surviving corporation, or a parent or subsidiary thereof, in connection with a Transaction and the Grantee is subject to a Covered Termination (as defined below) prior to any applicable Vesting Date, the Award shall vest automatically in full.</w:t>
      </w:r>
    </w:p>
    <w:p>
      <w:pPr>
        <w:spacing w:after="0" w:line="200" w:lineRule="exact"/>
        <w:rPr>
          <w:rFonts w:ascii="Arial" w:cs="Arial" w:eastAsia="Arial" w:hAnsi="Arial"/>
          <w:sz w:val="22"/>
          <w:szCs w:val="22"/>
          <w:color w:val="auto"/>
        </w:rPr>
      </w:pPr>
    </w:p>
    <w:p>
      <w:pPr>
        <w:jc w:val="both"/>
        <w:ind w:left="1300"/>
        <w:spacing w:after="0" w:line="211" w:lineRule="auto"/>
        <w:rPr>
          <w:rFonts w:ascii="Arial" w:cs="Arial" w:eastAsia="Arial" w:hAnsi="Arial"/>
          <w:sz w:val="22"/>
          <w:szCs w:val="22"/>
          <w:color w:val="auto"/>
        </w:rPr>
      </w:pPr>
      <w:r>
        <w:rPr>
          <w:rFonts w:ascii="Arial" w:cs="Arial" w:eastAsia="Arial" w:hAnsi="Arial"/>
          <w:sz w:val="22"/>
          <w:szCs w:val="22"/>
          <w:color w:val="auto"/>
        </w:rPr>
        <w:t>For purposes of this provision, “Covered Termination” shall mean a termination of Service as described in Sections 2(b)(ii) and 2(b)(iii), Grantee’s termination without Cause or the Grantee’s resignation for Good Reason. “Cause” and “Good Reason” shall have the meanings ascribed to them in the Eli Lilly and Company 2007 Change in Control Severance Pay Plan for Employees or the Eli Lilly and Company 2007 Change in Control Severance Pay Plan for Select Employees (both as amended from time to time) or any successor plan or arrangement thereto, as applicable.</w:t>
      </w:r>
    </w:p>
    <w:p>
      <w:pPr>
        <w:spacing w:after="0" w:line="204" w:lineRule="exact"/>
        <w:rPr>
          <w:rFonts w:ascii="Arial" w:cs="Arial" w:eastAsia="Arial" w:hAnsi="Arial"/>
          <w:sz w:val="22"/>
          <w:szCs w:val="22"/>
          <w:color w:val="auto"/>
        </w:rPr>
      </w:pPr>
    </w:p>
    <w:p>
      <w:pPr>
        <w:jc w:val="both"/>
        <w:ind w:left="1300" w:hanging="644"/>
        <w:spacing w:after="0" w:line="215" w:lineRule="auto"/>
        <w:tabs>
          <w:tab w:leader="none" w:pos="129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3, then references to Shares in this Award Agreement shall be read to mean stock of the successor or surviving corporation, or a parent or subsidiary thereof, as and when applicable.</w:t>
      </w:r>
    </w:p>
    <w:p>
      <w:pPr>
        <w:spacing w:after="0" w:line="168"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5"/>
          <w:szCs w:val="25"/>
          <w:color w:val="auto"/>
        </w:rPr>
        <w:t>Section 4.</w:t>
      </w:r>
      <w:r>
        <w:rPr>
          <w:sz w:val="20"/>
          <w:szCs w:val="20"/>
          <w:color w:val="auto"/>
        </w:rPr>
        <w:tab/>
      </w:r>
      <w:r>
        <w:rPr>
          <w:rFonts w:ascii="Arial" w:cs="Arial" w:eastAsia="Arial" w:hAnsi="Arial"/>
          <w:sz w:val="25"/>
          <w:szCs w:val="25"/>
          <w:color w:val="auto"/>
        </w:rPr>
        <w:t>Settlement</w:t>
      </w:r>
    </w:p>
    <w:p>
      <w:pPr>
        <w:spacing w:after="0" w:line="69" w:lineRule="exact"/>
        <w:rPr>
          <w:sz w:val="20"/>
          <w:szCs w:val="20"/>
          <w:color w:val="auto"/>
        </w:rPr>
      </w:pPr>
    </w:p>
    <w:p>
      <w:pPr>
        <w:jc w:val="both"/>
        <w:ind w:left="1300" w:hanging="644"/>
        <w:spacing w:after="0" w:line="218" w:lineRule="auto"/>
        <w:tabs>
          <w:tab w:leader="none" w:pos="129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Except as provided below, the Award shall be paid to the Grantee as soon as practicable and generally within sixty (60) days following the applicable Vesting Date, or, if earlier, a vesting event contemplated under the Section 3 above.</w:t>
      </w:r>
    </w:p>
    <w:p>
      <w:pPr>
        <w:spacing w:after="0" w:line="201"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At such time, Lilly shall issue or transfer Shares or the cash equivalent, as contemplated under Section 4(c) below, to the Grantee. In the event the Grantee is entitled to a fractional Share, the fraction may be paid in cash or rounded, in the Committee’s discretion.</w:t>
      </w:r>
    </w:p>
    <w:p>
      <w:pPr>
        <w:spacing w:after="0" w:line="201"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At any time prior to the applicable Vesting Date or until the Award is paid in accordance with this Section 4, the Committee may, if it so elects, determine to pay part or all of the Award in cash in lieu of issuing or transferring Shares. The amount of cash shall be calculated based on the Fair Market Value of the Shares on the applicable Vesting Date.</w:t>
      </w:r>
    </w:p>
    <w:p>
      <w:pPr>
        <w:spacing w:after="0" w:line="187"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In the event of the death of the Grantee, the payments described above shall be made to the successor of the Grantee.</w:t>
      </w:r>
    </w:p>
    <w:p>
      <w:pPr>
        <w:spacing w:after="0" w:line="168" w:lineRule="exact"/>
        <w:rPr>
          <w:sz w:val="20"/>
          <w:szCs w:val="20"/>
          <w:color w:val="auto"/>
        </w:rPr>
      </w:pPr>
    </w:p>
    <w:p>
      <w:pPr>
        <w:ind w:left="420"/>
        <w:spacing w:after="0"/>
        <w:tabs>
          <w:tab w:leader="none" w:pos="1940" w:val="left"/>
        </w:tabs>
        <w:rPr>
          <w:sz w:val="20"/>
          <w:szCs w:val="20"/>
          <w:color w:val="auto"/>
        </w:rPr>
      </w:pPr>
      <w:r>
        <w:rPr>
          <w:rFonts w:ascii="Arial" w:cs="Arial" w:eastAsia="Arial" w:hAnsi="Arial"/>
          <w:sz w:val="25"/>
          <w:szCs w:val="25"/>
          <w:color w:val="auto"/>
        </w:rPr>
        <w:t>Section 5.</w:t>
      </w:r>
      <w:r>
        <w:rPr>
          <w:sz w:val="20"/>
          <w:szCs w:val="20"/>
          <w:color w:val="auto"/>
        </w:rPr>
        <w:tab/>
      </w:r>
      <w:r>
        <w:rPr>
          <w:rFonts w:ascii="Arial" w:cs="Arial" w:eastAsia="Arial" w:hAnsi="Arial"/>
          <w:sz w:val="25"/>
          <w:szCs w:val="25"/>
          <w:color w:val="auto"/>
        </w:rPr>
        <w:t>Rights of the Grantee</w:t>
      </w:r>
    </w:p>
    <w:p>
      <w:pPr>
        <w:spacing w:after="0" w:line="69" w:lineRule="exact"/>
        <w:rPr>
          <w:sz w:val="20"/>
          <w:szCs w:val="20"/>
          <w:color w:val="auto"/>
        </w:rPr>
      </w:pPr>
    </w:p>
    <w:p>
      <w:pPr>
        <w:ind w:left="1300" w:right="20" w:hanging="644"/>
        <w:spacing w:after="0" w:line="225" w:lineRule="auto"/>
        <w:tabs>
          <w:tab w:leader="none" w:pos="1291" w:val="left"/>
        </w:tabs>
        <w:numPr>
          <w:ilvl w:val="0"/>
          <w:numId w:val="289"/>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The Restricted Stock Units do not entitle the Grantee to any rights of a shareholder of Lilly until such time as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5</w:t>
      </w:r>
    </w:p>
    <w:p>
      <w:pPr>
        <w:sectPr>
          <w:pgSz w:w="11900" w:h="16838" w:orient="portrait"/>
          <w:cols w:equalWidth="0" w:num="1">
            <w:col w:w="11240"/>
          </w:cols>
          <w:pgMar w:left="320" w:top="120" w:right="33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Restricted Stock Units vest and Shares are issued or transferred to the Grantee.</w:t>
      </w:r>
    </w:p>
    <w:p>
      <w:pPr>
        <w:spacing w:after="0" w:line="71" w:lineRule="exact"/>
        <w:rPr>
          <w:sz w:val="20"/>
          <w:szCs w:val="20"/>
          <w:color w:val="auto"/>
        </w:rPr>
      </w:pPr>
    </w:p>
    <w:p>
      <w:pPr>
        <w:jc w:val="both"/>
        <w:ind w:left="1300" w:hanging="644"/>
        <w:spacing w:after="0" w:line="208" w:lineRule="auto"/>
        <w:tabs>
          <w:tab w:leader="none" w:pos="1291" w:val="left"/>
        </w:tabs>
        <w:numPr>
          <w:ilvl w:val="0"/>
          <w:numId w:val="290"/>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As long as the Grantee holds Restricted Stock Units granted pursuant to this Award, the Company shall accrue for the Grantee, on each date that the Company pays a cash dividend to holders of Company Shares, Dividend Equivalent Rights equal to the total number of Restricted Stock Units credited to the Grantee under this Award multiplied by the dollar amount of the cash dividend paid per Share by the Company on such date. Dividend Equivalent Rights shall accrue in an account denominated in U.S. dollars and shall not accrue interest or other credits prior to being paid. A report showing the accrued Dividend Equivalent Rights shall be sent to the Grantee periodically, as determined by the Company. The accrued Dividend Equivalent Rights shall be subject to the same vesting conditions as the Restricted Stock Units to which the Dividend Equivalent Rights relate, and the Dividend Equivalent Rights shall be forfeited in the event that the Restricted Stock Units with respect to which such Dividend Equivalent Rights were credited are forfeited. Following the applicable Vesting Date, Lilly shall pay to the Grantee in cash all accrued Dividend Equivalent Rights in accordance with Section 4 above.</w:t>
      </w:r>
    </w:p>
    <w:p>
      <w:pPr>
        <w:spacing w:after="0" w:line="200" w:lineRule="exact"/>
        <w:rPr>
          <w:rFonts w:ascii="Arial" w:cs="Arial" w:eastAsia="Arial" w:hAnsi="Arial"/>
          <w:sz w:val="22"/>
          <w:szCs w:val="22"/>
          <w:color w:val="auto"/>
        </w:rPr>
      </w:pPr>
    </w:p>
    <w:p>
      <w:pPr>
        <w:jc w:val="both"/>
        <w:ind w:left="1300" w:hanging="644"/>
        <w:spacing w:after="0" w:line="215" w:lineRule="auto"/>
        <w:tabs>
          <w:tab w:leader="none" w:pos="1292" w:val="left"/>
        </w:tabs>
        <w:numPr>
          <w:ilvl w:val="0"/>
          <w:numId w:val="290"/>
        </w:numPr>
        <w:rPr>
          <w:rFonts w:ascii="Arial" w:cs="Arial" w:eastAsia="Arial" w:hAnsi="Arial"/>
          <w:sz w:val="22"/>
          <w:szCs w:val="22"/>
          <w:color w:val="auto"/>
        </w:rPr>
      </w:pP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168"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5"/>
          <w:szCs w:val="25"/>
          <w:color w:val="auto"/>
        </w:rPr>
        <w:t>Section 6.</w:t>
      </w:r>
      <w:r>
        <w:rPr>
          <w:sz w:val="20"/>
          <w:szCs w:val="20"/>
          <w:color w:val="auto"/>
        </w:rPr>
        <w:tab/>
      </w:r>
      <w:r>
        <w:rPr>
          <w:rFonts w:ascii="Arial" w:cs="Arial" w:eastAsia="Arial" w:hAnsi="Arial"/>
          <w:sz w:val="25"/>
          <w:szCs w:val="25"/>
          <w:color w:val="auto"/>
        </w:rPr>
        <w:t>Prohibition Against Transfer</w:t>
      </w:r>
    </w:p>
    <w:p>
      <w:pPr>
        <w:spacing w:after="0" w:line="69" w:lineRule="exact"/>
        <w:rPr>
          <w:sz w:val="20"/>
          <w:szCs w:val="20"/>
          <w:color w:val="auto"/>
        </w:rPr>
      </w:pPr>
    </w:p>
    <w:p>
      <w:pPr>
        <w:jc w:val="both"/>
        <w:ind w:left="500"/>
        <w:spacing w:after="0" w:line="211" w:lineRule="auto"/>
        <w:rPr>
          <w:sz w:val="20"/>
          <w:szCs w:val="20"/>
          <w:color w:val="auto"/>
        </w:rPr>
      </w:pPr>
      <w:r>
        <w:rPr>
          <w:rFonts w:ascii="Arial" w:cs="Arial" w:eastAsia="Arial" w:hAnsi="Arial"/>
          <w:sz w:val="22"/>
          <w:szCs w:val="22"/>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172"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5"/>
          <w:szCs w:val="25"/>
          <w:color w:val="auto"/>
        </w:rPr>
        <w:t>Section 7.</w:t>
      </w:r>
      <w:r>
        <w:rPr>
          <w:sz w:val="20"/>
          <w:szCs w:val="20"/>
          <w:color w:val="auto"/>
        </w:rPr>
        <w:tab/>
      </w:r>
      <w:r>
        <w:rPr>
          <w:rFonts w:ascii="Arial" w:cs="Arial" w:eastAsia="Arial" w:hAnsi="Arial"/>
          <w:sz w:val="24"/>
          <w:szCs w:val="24"/>
          <w:color w:val="auto"/>
        </w:rPr>
        <w:t>Responsibility for Taxes</w:t>
      </w:r>
    </w:p>
    <w:p>
      <w:pPr>
        <w:spacing w:after="0" w:line="15" w:lineRule="exact"/>
        <w:rPr>
          <w:sz w:val="20"/>
          <w:szCs w:val="20"/>
          <w:color w:val="auto"/>
        </w:rPr>
      </w:pPr>
    </w:p>
    <w:p>
      <w:pPr>
        <w:jc w:val="both"/>
        <w:ind w:left="1300" w:hanging="644"/>
        <w:spacing w:after="0" w:line="208" w:lineRule="auto"/>
        <w:tabs>
          <w:tab w:leader="none" w:pos="1291" w:val="left"/>
        </w:tabs>
        <w:numPr>
          <w:ilvl w:val="0"/>
          <w:numId w:val="291"/>
        </w:numPr>
        <w:rPr>
          <w:rFonts w:ascii="Arial" w:cs="Arial" w:eastAsia="Arial" w:hAnsi="Arial"/>
          <w:sz w:val="22"/>
          <w:szCs w:val="22"/>
          <w:color w:val="auto"/>
        </w:rPr>
      </w:pPr>
      <w:r>
        <w:rPr>
          <w:rFonts w:ascii="Arial" w:cs="Arial" w:eastAsia="Arial" w:hAnsi="Arial"/>
          <w:sz w:val="22"/>
          <w:szCs w:val="22"/>
          <w:color w:val="auto"/>
        </w:rPr>
        <w:t>Regardless of any action Lilly and/or the Grantee’s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Restricted Stock Units, the accrual of Dividend Equivalent Rights, the vesting of the Restricted Stock Units and the lapse of restrictions, the transfer and issuance of any Shares, the receipt of any cash payment pursuant to the Award and/or Dividend Equivalent Rights, the receipt of any dividends and the sale of any Shares acquired pursuant to this Award; and (ii) do not commit to and are under no obligation to structure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6</w:t>
      </w:r>
    </w:p>
    <w:p>
      <w:pPr>
        <w:sectPr>
          <w:pgSz w:w="11900" w:h="16838" w:orient="portrait"/>
          <w:cols w:equalWidth="0" w:num="1">
            <w:col w:w="11240"/>
          </w:cols>
          <w:pgMar w:left="320" w:top="120" w:right="3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00"/>
        <w:spacing w:after="0" w:line="213" w:lineRule="auto"/>
        <w:rPr>
          <w:sz w:val="20"/>
          <w:szCs w:val="20"/>
          <w:color w:val="auto"/>
        </w:rPr>
      </w:pPr>
      <w:r>
        <w:rPr>
          <w:rFonts w:ascii="Arial" w:cs="Arial" w:eastAsia="Arial" w:hAnsi="Arial"/>
          <w:sz w:val="22"/>
          <w:szCs w:val="22"/>
          <w:color w:val="auto"/>
        </w:rPr>
        <w:t>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200" w:lineRule="exact"/>
        <w:rPr>
          <w:sz w:val="20"/>
          <w:szCs w:val="20"/>
          <w:color w:val="auto"/>
        </w:rPr>
      </w:pPr>
    </w:p>
    <w:p>
      <w:pPr>
        <w:ind w:left="1300" w:right="20" w:hanging="644"/>
        <w:spacing w:after="0" w:line="225" w:lineRule="auto"/>
        <w:tabs>
          <w:tab w:leader="none" w:pos="1291" w:val="left"/>
        </w:tabs>
        <w:numPr>
          <w:ilvl w:val="0"/>
          <w:numId w:val="292"/>
        </w:numPr>
        <w:rPr>
          <w:rFonts w:ascii="Arial" w:cs="Arial" w:eastAsia="Arial" w:hAnsi="Arial"/>
          <w:sz w:val="22"/>
          <w:szCs w:val="22"/>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200" w:lineRule="exact"/>
        <w:rPr>
          <w:rFonts w:ascii="Arial" w:cs="Arial" w:eastAsia="Arial" w:hAnsi="Arial"/>
          <w:sz w:val="22"/>
          <w:szCs w:val="22"/>
          <w:color w:val="auto"/>
        </w:rPr>
      </w:pPr>
    </w:p>
    <w:p>
      <w:pPr>
        <w:jc w:val="both"/>
        <w:ind w:left="1960" w:hanging="494"/>
        <w:spacing w:after="0" w:line="211" w:lineRule="auto"/>
        <w:tabs>
          <w:tab w:leader="none" w:pos="1949" w:val="left"/>
        </w:tabs>
        <w:numPr>
          <w:ilvl w:val="1"/>
          <w:numId w:val="292"/>
        </w:numPr>
        <w:rPr>
          <w:rFonts w:ascii="Arial" w:cs="Arial" w:eastAsia="Arial" w:hAnsi="Arial"/>
          <w:sz w:val="22"/>
          <w:szCs w:val="22"/>
          <w:color w:val="auto"/>
        </w:rPr>
      </w:pPr>
      <w:r>
        <w:rPr>
          <w:rFonts w:ascii="Arial" w:cs="Arial" w:eastAsia="Arial" w:hAnsi="Arial"/>
          <w:sz w:val="22"/>
          <w:szCs w:val="22"/>
          <w:color w:val="auto"/>
        </w:rPr>
        <w:t>In the case of Dividend Equivalent Rights paid to the Grantee and if the Restricted Stock Units are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204" w:lineRule="exact"/>
        <w:rPr>
          <w:rFonts w:ascii="Arial" w:cs="Arial" w:eastAsia="Arial" w:hAnsi="Arial"/>
          <w:sz w:val="22"/>
          <w:szCs w:val="22"/>
          <w:color w:val="auto"/>
        </w:rPr>
      </w:pPr>
    </w:p>
    <w:p>
      <w:pPr>
        <w:jc w:val="both"/>
        <w:ind w:left="1960" w:hanging="494"/>
        <w:spacing w:after="0" w:line="208" w:lineRule="auto"/>
        <w:tabs>
          <w:tab w:leader="none" w:pos="1957" w:val="left"/>
        </w:tabs>
        <w:numPr>
          <w:ilvl w:val="1"/>
          <w:numId w:val="292"/>
        </w:numPr>
        <w:rPr>
          <w:rFonts w:ascii="Arial" w:cs="Arial" w:eastAsia="Arial" w:hAnsi="Arial"/>
          <w:sz w:val="22"/>
          <w:szCs w:val="22"/>
          <w:color w:val="auto"/>
        </w:rPr>
      </w:pPr>
      <w:r>
        <w:rPr>
          <w:rFonts w:ascii="Arial" w:cs="Arial" w:eastAsia="Arial" w:hAnsi="Arial"/>
          <w:sz w:val="22"/>
          <w:szCs w:val="22"/>
          <w:color w:val="auto"/>
        </w:rPr>
        <w:t>If the Restricted Stock Units are paid to the Grantee in Shares and the Grantee is not subject to the short-swing profit rules of Section 16(b) of the Exchange Act, the Grantee authorizes Lilly and/or the Employer, or their respective agents, at their discretion, to (A) withhold from the Grantee’s wages or 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(C) withhold in Shares otherwise issuable to the Grantee pursuant to this Award, and/or (D) apply any other method of withholding determined by the Company and, to the extent required by Applicable Laws or the Plan, approved by the Committee.</w:t>
      </w:r>
    </w:p>
    <w:p>
      <w:pPr>
        <w:spacing w:after="0" w:line="207" w:lineRule="exact"/>
        <w:rPr>
          <w:rFonts w:ascii="Arial" w:cs="Arial" w:eastAsia="Arial" w:hAnsi="Arial"/>
          <w:sz w:val="22"/>
          <w:szCs w:val="22"/>
          <w:color w:val="auto"/>
        </w:rPr>
      </w:pPr>
    </w:p>
    <w:p>
      <w:pPr>
        <w:jc w:val="both"/>
        <w:ind w:left="1960" w:hanging="494"/>
        <w:spacing w:after="0" w:line="211" w:lineRule="auto"/>
        <w:tabs>
          <w:tab w:leader="none" w:pos="1951" w:val="left"/>
        </w:tabs>
        <w:numPr>
          <w:ilvl w:val="1"/>
          <w:numId w:val="292"/>
        </w:numPr>
        <w:rPr>
          <w:rFonts w:ascii="Arial" w:cs="Arial" w:eastAsia="Arial" w:hAnsi="Arial"/>
          <w:sz w:val="22"/>
          <w:szCs w:val="22"/>
          <w:color w:val="auto"/>
        </w:rPr>
      </w:pPr>
      <w:r>
        <w:rPr>
          <w:rFonts w:ascii="Arial" w:cs="Arial" w:eastAsia="Arial" w:hAnsi="Arial"/>
          <w:sz w:val="22"/>
          <w:szCs w:val="22"/>
          <w:color w:val="auto"/>
        </w:rPr>
        <w:t>If the Restricted Stock Units are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7(b)(ii)(A) and (B) above.</w:t>
      </w:r>
    </w:p>
    <w:p>
      <w:pPr>
        <w:spacing w:after="0" w:line="204" w:lineRule="exact"/>
        <w:rPr>
          <w:rFonts w:ascii="Arial" w:cs="Arial" w:eastAsia="Arial" w:hAnsi="Arial"/>
          <w:sz w:val="22"/>
          <w:szCs w:val="22"/>
          <w:color w:val="auto"/>
        </w:rPr>
      </w:pPr>
    </w:p>
    <w:p>
      <w:pPr>
        <w:jc w:val="both"/>
        <w:ind w:left="1300" w:hanging="644"/>
        <w:spacing w:after="0" w:line="221" w:lineRule="auto"/>
        <w:tabs>
          <w:tab w:leader="none" w:pos="1292" w:val="left"/>
        </w:tabs>
        <w:numPr>
          <w:ilvl w:val="0"/>
          <w:numId w:val="292"/>
        </w:numPr>
        <w:rPr>
          <w:rFonts w:ascii="Arial" w:cs="Arial" w:eastAsia="Arial" w:hAnsi="Arial"/>
          <w:sz w:val="21"/>
          <w:szCs w:val="21"/>
          <w:color w:val="auto"/>
        </w:rPr>
      </w:pPr>
      <w:r>
        <w:rPr>
          <w:rFonts w:ascii="Arial" w:cs="Arial" w:eastAsia="Arial" w:hAnsi="Arial"/>
          <w:sz w:val="21"/>
          <w:szCs w:val="21"/>
          <w:color w:val="auto"/>
        </w:rPr>
        <w:t>Depending on the withholding method, Lilly and/or the Employer may withhold or account for Tax Related Items by considering applicable statutory or other withholding rates, including minimum or maximum rates in the jurisdiction(s) applicable to the Grantee, in which case the Grantee may receive a refund of any over-withheld amount in cash (without interest and without entitlement to the equivalent amount in Shares). If the obligation for Tax Related Items is satisfied by withholding Shares, for tax purposes, the Grantee will be deemed to have been issued the full number of Shares 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7</w:t>
      </w:r>
    </w:p>
    <w:p>
      <w:pPr>
        <w:sectPr>
          <w:pgSz w:w="11900" w:h="16838" w:orient="portrait"/>
          <w:cols w:equalWidth="0" w:num="1">
            <w:col w:w="11240"/>
          </w:cols>
          <w:pgMar w:left="320" w:top="120" w:right="339"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which he or she is entitled pursuant to this Award, notwithstanding that a number of Shares are withheld to satisfy the obligation for Tax Related Items.</w:t>
      </w:r>
    </w:p>
    <w:p>
      <w:pPr>
        <w:spacing w:after="0" w:line="201" w:lineRule="exact"/>
        <w:rPr>
          <w:sz w:val="20"/>
          <w:szCs w:val="20"/>
          <w:color w:val="auto"/>
        </w:rPr>
      </w:pPr>
    </w:p>
    <w:p>
      <w:pPr>
        <w:jc w:val="both"/>
        <w:ind w:left="1300" w:hanging="644"/>
        <w:spacing w:after="0" w:line="213" w:lineRule="auto"/>
        <w:tabs>
          <w:tab w:leader="none" w:pos="1291" w:val="left"/>
        </w:tabs>
        <w:numPr>
          <w:ilvl w:val="0"/>
          <w:numId w:val="293"/>
        </w:numPr>
        <w:rPr>
          <w:rFonts w:ascii="Arial" w:cs="Arial" w:eastAsia="Arial" w:hAnsi="Arial"/>
          <w:sz w:val="22"/>
          <w:szCs w:val="22"/>
          <w:color w:val="auto"/>
        </w:rPr>
      </w:pPr>
      <w:r>
        <w:rPr>
          <w:rFonts w:ascii="Arial" w:cs="Arial" w:eastAsia="Arial" w:hAnsi="Arial"/>
          <w:sz w:val="22"/>
          <w:szCs w:val="22"/>
          <w:color w:val="auto"/>
        </w:rPr>
        <w:t>Lilly may require the Grantee to pay Lilly and/or the Employer any amount of Tax Related Items that Lilly and/or the Employer may be required to withhold or account for as a result of any aspect of this Award that cannot be satisfied by the means previously described. Lilly may refuse to deliver Shares or any cash payment to the Grantee if the Grantee fails to comply with the Grantee’s obligation in connection with the Tax Related Items as described in this Section 7.</w:t>
      </w:r>
    </w:p>
    <w:p>
      <w:pPr>
        <w:spacing w:after="0" w:line="168"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5"/>
          <w:szCs w:val="25"/>
          <w:color w:val="auto"/>
        </w:rPr>
        <w:t>Section 8.</w:t>
      </w:r>
      <w:r>
        <w:rPr>
          <w:sz w:val="20"/>
          <w:szCs w:val="20"/>
          <w:color w:val="auto"/>
        </w:rPr>
        <w:tab/>
      </w:r>
      <w:r>
        <w:rPr>
          <w:rFonts w:ascii="Arial" w:cs="Arial" w:eastAsia="Arial" w:hAnsi="Arial"/>
          <w:sz w:val="25"/>
          <w:szCs w:val="25"/>
          <w:color w:val="auto"/>
        </w:rPr>
        <w:t>Section 409A Compliance</w:t>
      </w:r>
    </w:p>
    <w:p>
      <w:pPr>
        <w:spacing w:after="0" w:line="15" w:lineRule="exact"/>
        <w:rPr>
          <w:sz w:val="20"/>
          <w:szCs w:val="20"/>
          <w:color w:val="auto"/>
        </w:rPr>
      </w:pPr>
    </w:p>
    <w:p>
      <w:pPr>
        <w:jc w:val="both"/>
        <w:ind w:left="500"/>
        <w:spacing w:after="0" w:line="215" w:lineRule="auto"/>
        <w:rPr>
          <w:sz w:val="20"/>
          <w:szCs w:val="20"/>
          <w:color w:val="auto"/>
        </w:rPr>
      </w:pPr>
      <w:r>
        <w:rPr>
          <w:rFonts w:ascii="Arial" w:cs="Arial" w:eastAsia="Arial" w:hAnsi="Arial"/>
          <w:sz w:val="22"/>
          <w:szCs w:val="22"/>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68"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5"/>
          <w:szCs w:val="25"/>
          <w:color w:val="auto"/>
        </w:rPr>
        <w:t>Section 9.</w:t>
      </w:r>
      <w:r>
        <w:rPr>
          <w:sz w:val="20"/>
          <w:szCs w:val="20"/>
          <w:color w:val="auto"/>
        </w:rPr>
        <w:tab/>
      </w:r>
      <w:r>
        <w:rPr>
          <w:rFonts w:ascii="Arial" w:cs="Arial" w:eastAsia="Arial" w:hAnsi="Arial"/>
          <w:sz w:val="25"/>
          <w:szCs w:val="25"/>
          <w:color w:val="auto"/>
        </w:rPr>
        <w:t>Grantee’s Acknowledgement</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 accepting this Award, the Grantee acknowledges, understands and agrees that:</w:t>
      </w:r>
    </w:p>
    <w:p>
      <w:pPr>
        <w:spacing w:after="0" w:line="206" w:lineRule="exact"/>
        <w:rPr>
          <w:sz w:val="20"/>
          <w:szCs w:val="20"/>
          <w:color w:val="auto"/>
        </w:rPr>
      </w:pPr>
    </w:p>
    <w:p>
      <w:pPr>
        <w:ind w:left="1300" w:hanging="644"/>
        <w:spacing w:after="0" w:line="225" w:lineRule="auto"/>
        <w:tabs>
          <w:tab w:leader="none" w:pos="1291"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Plan is established voluntarily by Lilly, it is discretionary in nature and it may be modified, amended, suspended or terminated by Lilly at any time, as provided in the Plan;</w:t>
      </w:r>
    </w:p>
    <w:p>
      <w:pPr>
        <w:spacing w:after="0" w:line="173"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of Restricted Stock Units and/or Dividend Equivalent Rights, or benefits in lieu thereof, even if Restricted Stock Units and/or Dividend Equivalent Rights have been granted in the past;</w:t>
      </w:r>
    </w:p>
    <w:p>
      <w:pPr>
        <w:spacing w:after="0" w:line="174" w:lineRule="exact"/>
        <w:rPr>
          <w:rFonts w:ascii="Arial" w:cs="Arial" w:eastAsia="Arial" w:hAnsi="Arial"/>
          <w:sz w:val="22"/>
          <w:szCs w:val="22"/>
          <w:color w:val="auto"/>
        </w:rPr>
      </w:pPr>
    </w:p>
    <w:p>
      <w:pPr>
        <w:ind w:left="1300" w:hanging="644"/>
        <w:spacing w:after="0" w:line="225" w:lineRule="auto"/>
        <w:tabs>
          <w:tab w:leader="none" w:pos="1292"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all decisions with respect to future awards of Restricted Stock Units, Dividend Equivalent Rights or other awards, if any, will be at the sole discretion of the Committee;</w:t>
      </w:r>
    </w:p>
    <w:p>
      <w:pPr>
        <w:spacing w:after="0" w:line="173" w:lineRule="exact"/>
        <w:rPr>
          <w:rFonts w:ascii="Arial" w:cs="Arial" w:eastAsia="Arial" w:hAnsi="Arial"/>
          <w:sz w:val="22"/>
          <w:szCs w:val="22"/>
          <w:color w:val="auto"/>
        </w:rPr>
      </w:pPr>
    </w:p>
    <w:p>
      <w:pPr>
        <w:ind w:left="1300" w:hanging="644"/>
        <w:spacing w:after="0"/>
        <w:tabs>
          <w:tab w:leader="none" w:pos="130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Grantee’s participation in the Plan is voluntary;</w:t>
      </w:r>
    </w:p>
    <w:p>
      <w:pPr>
        <w:spacing w:after="0" w:line="179" w:lineRule="exact"/>
        <w:rPr>
          <w:rFonts w:ascii="Arial" w:cs="Arial" w:eastAsia="Arial" w:hAnsi="Arial"/>
          <w:sz w:val="22"/>
          <w:szCs w:val="22"/>
          <w:color w:val="auto"/>
        </w:rPr>
      </w:pPr>
    </w:p>
    <w:p>
      <w:pPr>
        <w:ind w:left="1300" w:hanging="644"/>
        <w:spacing w:after="0" w:line="225" w:lineRule="auto"/>
        <w:tabs>
          <w:tab w:leader="none" w:pos="1291"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Award and any Shares subject to the Award are not intended to replace any pension rights or compensation;</w:t>
      </w:r>
    </w:p>
    <w:p>
      <w:pPr>
        <w:spacing w:after="0" w:line="173" w:lineRule="exact"/>
        <w:rPr>
          <w:rFonts w:ascii="Arial" w:cs="Arial" w:eastAsia="Arial" w:hAnsi="Arial"/>
          <w:sz w:val="22"/>
          <w:szCs w:val="22"/>
          <w:color w:val="auto"/>
        </w:rPr>
      </w:pPr>
    </w:p>
    <w:p>
      <w:pPr>
        <w:jc w:val="both"/>
        <w:ind w:left="1300" w:hanging="644"/>
        <w:spacing w:after="0" w:line="213" w:lineRule="auto"/>
        <w:tabs>
          <w:tab w:leader="none" w:pos="1299"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73" w:lineRule="exact"/>
        <w:rPr>
          <w:rFonts w:ascii="Arial" w:cs="Arial" w:eastAsia="Arial" w:hAnsi="Arial"/>
          <w:sz w:val="22"/>
          <w:szCs w:val="22"/>
          <w:color w:val="auto"/>
        </w:rPr>
      </w:pPr>
    </w:p>
    <w:p>
      <w:pPr>
        <w:jc w:val="both"/>
        <w:ind w:left="1300" w:hanging="644"/>
        <w:spacing w:after="0" w:line="218" w:lineRule="auto"/>
        <w:tabs>
          <w:tab w:leader="none" w:pos="1291" w:val="left"/>
        </w:tabs>
        <w:numPr>
          <w:ilvl w:val="0"/>
          <w:numId w:val="294"/>
        </w:numPr>
        <w:rPr>
          <w:rFonts w:ascii="Arial" w:cs="Arial" w:eastAsia="Arial" w:hAnsi="Arial"/>
          <w:sz w:val="22"/>
          <w:szCs w:val="22"/>
          <w:color w:val="auto"/>
        </w:rPr>
      </w:pPr>
      <w:r>
        <w:rPr>
          <w:rFonts w:ascii="Arial" w:cs="Arial" w:eastAsia="Arial" w:hAnsi="Arial"/>
          <w:sz w:val="22"/>
          <w:szCs w:val="22"/>
          <w:color w:val="auto"/>
        </w:rPr>
        <w:t>unless otherwise agreed with Lilly, the Award and any Shares subject to the Award, and the income and value of same, are not granted as consideration for, or in connection with, the service the Grantee may provide as a director of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8</w:t>
      </w:r>
    </w:p>
    <w:p>
      <w:pPr>
        <w:sectPr>
          <w:pgSz w:w="11900" w:h="16838" w:orient="portrait"/>
          <w:cols w:equalWidth="0" w:num="1">
            <w:col w:w="11240"/>
          </w:cols>
          <w:pgMar w:left="320" w:top="120" w:right="33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300" w:hanging="644"/>
        <w:spacing w:after="0" w:line="225" w:lineRule="auto"/>
        <w:tabs>
          <w:tab w:leader="none" w:pos="1291" w:val="left"/>
        </w:tabs>
        <w:numPr>
          <w:ilvl w:val="0"/>
          <w:numId w:val="295"/>
        </w:numPr>
        <w:rPr>
          <w:rFonts w:ascii="Arial" w:cs="Arial" w:eastAsia="Arial" w:hAnsi="Arial"/>
          <w:sz w:val="21"/>
          <w:szCs w:val="21"/>
          <w:color w:val="auto"/>
        </w:rPr>
      </w:pPr>
      <w:r>
        <w:rPr>
          <w:rFonts w:ascii="Arial" w:cs="Arial" w:eastAsia="Arial" w:hAnsi="Arial"/>
          <w:sz w:val="21"/>
          <w:szCs w:val="21"/>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74" w:lineRule="exact"/>
        <w:rPr>
          <w:rFonts w:ascii="Arial" w:cs="Arial" w:eastAsia="Arial" w:hAnsi="Arial"/>
          <w:sz w:val="21"/>
          <w:szCs w:val="21"/>
          <w:color w:val="auto"/>
        </w:rPr>
      </w:pPr>
    </w:p>
    <w:p>
      <w:pPr>
        <w:ind w:left="1300" w:hanging="644"/>
        <w:spacing w:after="0" w:line="225" w:lineRule="auto"/>
        <w:tabs>
          <w:tab w:leader="none" w:pos="130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indeterminable and cannot be predicted with certainty;</w:t>
      </w:r>
    </w:p>
    <w:p>
      <w:pPr>
        <w:spacing w:after="0" w:line="173"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73" w:lineRule="exact"/>
        <w:rPr>
          <w:rFonts w:ascii="Arial" w:cs="Arial" w:eastAsia="Arial" w:hAnsi="Arial"/>
          <w:sz w:val="22"/>
          <w:szCs w:val="22"/>
          <w:color w:val="auto"/>
        </w:rPr>
      </w:pPr>
    </w:p>
    <w:p>
      <w:pPr>
        <w:jc w:val="both"/>
        <w:ind w:left="1300" w:hanging="644"/>
        <w:spacing w:after="0" w:line="208" w:lineRule="auto"/>
        <w:tabs>
          <w:tab w:leader="none" w:pos="1292" w:val="left"/>
        </w:tabs>
        <w:numPr>
          <w:ilvl w:val="0"/>
          <w:numId w:val="295"/>
        </w:numPr>
        <w:rPr>
          <w:rFonts w:ascii="Arial" w:cs="Arial" w:eastAsia="Arial" w:hAnsi="Arial"/>
          <w:sz w:val="22"/>
          <w:szCs w:val="22"/>
          <w:color w:val="auto"/>
        </w:rPr>
      </w:pPr>
      <w:r>
        <w:rPr>
          <w:rFonts w:ascii="Arial" w:cs="Arial" w:eastAsia="Arial" w:hAnsi="Arial"/>
          <w:sz w:val="22"/>
          <w:szCs w:val="22"/>
          <w:color w:val="auto"/>
        </w:rPr>
        <w:t>for purposes of the Award, the Grantee’s employment will be considered terminated as of the date he or she is no longer actively providing services to the Company or an Affiliate and the Grantee’s right, if any, to earn 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w:t>
      </w:r>
    </w:p>
    <w:p>
      <w:pPr>
        <w:spacing w:after="0" w:line="177" w:lineRule="exact"/>
        <w:rPr>
          <w:rFonts w:ascii="Arial" w:cs="Arial" w:eastAsia="Arial" w:hAnsi="Arial"/>
          <w:sz w:val="22"/>
          <w:szCs w:val="22"/>
          <w:color w:val="auto"/>
        </w:rPr>
      </w:pPr>
    </w:p>
    <w:p>
      <w:pPr>
        <w:jc w:val="both"/>
        <w:ind w:left="1300" w:hanging="644"/>
        <w:spacing w:after="0" w:line="215" w:lineRule="auto"/>
        <w:tabs>
          <w:tab w:leader="none" w:pos="130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 and</w:t>
      </w:r>
    </w:p>
    <w:p>
      <w:pPr>
        <w:spacing w:after="0" w:line="173" w:lineRule="exact"/>
        <w:rPr>
          <w:rFonts w:ascii="Arial" w:cs="Arial" w:eastAsia="Arial" w:hAnsi="Arial"/>
          <w:sz w:val="22"/>
          <w:szCs w:val="22"/>
          <w:color w:val="auto"/>
        </w:rPr>
      </w:pPr>
    </w:p>
    <w:p>
      <w:pPr>
        <w:jc w:val="both"/>
        <w:ind w:left="1300" w:hanging="644"/>
        <w:spacing w:after="0" w:line="215" w:lineRule="auto"/>
        <w:tabs>
          <w:tab w:leader="none" w:pos="1297" w:val="left"/>
        </w:tabs>
        <w:numPr>
          <w:ilvl w:val="0"/>
          <w:numId w:val="295"/>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shall be liable for any foreign exchange rate fluctuation between the Grantee’s local currency and the United States Dollar that may affect the value of the Award or any amounts due to the Grantee pursuant to the settlement of the Award or the subsequent sale of any Shares acquired upon settlement.</w:t>
      </w:r>
    </w:p>
    <w:p>
      <w:pPr>
        <w:spacing w:after="0" w:line="168"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5"/>
          <w:szCs w:val="25"/>
          <w:color w:val="auto"/>
        </w:rPr>
        <w:t>Section 10.</w:t>
        <w:tab/>
        <w:t>Data Privacy</w:t>
      </w:r>
    </w:p>
    <w:p>
      <w:pPr>
        <w:spacing w:after="0" w:line="15" w:lineRule="exact"/>
        <w:rPr>
          <w:sz w:val="20"/>
          <w:szCs w:val="20"/>
          <w:color w:val="auto"/>
        </w:rPr>
      </w:pPr>
    </w:p>
    <w:p>
      <w:pPr>
        <w:jc w:val="both"/>
        <w:ind w:left="1300" w:hanging="644"/>
        <w:spacing w:after="0" w:line="218" w:lineRule="auto"/>
        <w:tabs>
          <w:tab w:leader="none" w:pos="1291" w:val="left"/>
        </w:tabs>
        <w:numPr>
          <w:ilvl w:val="0"/>
          <w:numId w:val="296"/>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Collection and Usage</w:t>
      </w:r>
      <w:r>
        <w:rPr>
          <w:rFonts w:ascii="Arial" w:cs="Arial" w:eastAsia="Arial" w:hAnsi="Arial"/>
          <w:sz w:val="22"/>
          <w:szCs w:val="22"/>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9</w:t>
      </w:r>
    </w:p>
    <w:p>
      <w:pPr>
        <w:sectPr>
          <w:pgSz w:w="11900" w:h="16838" w:orient="portrait"/>
          <w:cols w:equalWidth="0" w:num="1">
            <w:col w:w="11240"/>
          </w:cols>
          <w:pgMar w:left="320" w:top="120" w:right="339" w:bottom="1440" w:gutter="0" w:footer="0" w:header="0"/>
        </w:sectPr>
      </w:pPr>
    </w:p>
    <w:bookmarkStart w:id="287" w:name="page288"/>
    <w:bookmarkEnd w:id="287"/>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i w:val="1"/>
          <w:iCs w:val="1"/>
          <w:color w:val="auto"/>
        </w:rPr>
        <w:t>of birth, social insurance number, passport or other identification number (e.g., resident registration number), salary, nationality, job title, any shares of stock or directorships held in the Company, details of all Restricted Share Units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185" w:lineRule="exact"/>
        <w:rPr>
          <w:sz w:val="20"/>
          <w:szCs w:val="20"/>
          <w:color w:val="auto"/>
        </w:rPr>
      </w:pPr>
    </w:p>
    <w:p>
      <w:pPr>
        <w:jc w:val="both"/>
        <w:ind w:left="1300" w:hanging="644"/>
        <w:spacing w:after="0" w:line="211" w:lineRule="auto"/>
        <w:tabs>
          <w:tab w:leader="none" w:pos="1291" w:val="left"/>
        </w:tabs>
        <w:numPr>
          <w:ilvl w:val="0"/>
          <w:numId w:val="29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Stock Plan Administration Service Providers</w:t>
      </w:r>
      <w:r>
        <w:rPr>
          <w:rFonts w:ascii="Arial" w:cs="Arial" w:eastAsia="Arial" w:hAnsi="Arial"/>
          <w:sz w:val="22"/>
          <w:szCs w:val="22"/>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179" w:lineRule="exact"/>
        <w:rPr>
          <w:rFonts w:ascii="Arial" w:cs="Arial" w:eastAsia="Arial" w:hAnsi="Arial"/>
          <w:sz w:val="22"/>
          <w:szCs w:val="22"/>
          <w:i w:val="1"/>
          <w:iCs w:val="1"/>
          <w:color w:val="auto"/>
        </w:rPr>
      </w:pPr>
    </w:p>
    <w:p>
      <w:pPr>
        <w:jc w:val="both"/>
        <w:ind w:left="1300" w:hanging="644"/>
        <w:spacing w:after="0" w:line="236" w:lineRule="auto"/>
        <w:tabs>
          <w:tab w:leader="none" w:pos="1292" w:val="left"/>
        </w:tabs>
        <w:numPr>
          <w:ilvl w:val="0"/>
          <w:numId w:val="297"/>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International Data Transfers</w:t>
      </w:r>
      <w:r>
        <w:rPr>
          <w:rFonts w:ascii="Arial" w:cs="Arial" w:eastAsia="Arial" w:hAnsi="Arial"/>
          <w:sz w:val="21"/>
          <w:szCs w:val="21"/>
          <w:i w:val="1"/>
          <w:iCs w:val="1"/>
          <w:color w:val="auto"/>
        </w:rPr>
        <w:t>. The Company and its service providers are based in the United States. The Grantee’s country or jurisdiction may have different data privacy laws and protections than the United States. The Company's legal basis, where required, for the transfer of Data is Grantee’s consent.</w:t>
      </w:r>
    </w:p>
    <w:p>
      <w:pPr>
        <w:spacing w:after="0" w:line="178" w:lineRule="exact"/>
        <w:rPr>
          <w:rFonts w:ascii="Arial" w:cs="Arial" w:eastAsia="Arial" w:hAnsi="Arial"/>
          <w:sz w:val="21"/>
          <w:szCs w:val="21"/>
          <w:i w:val="1"/>
          <w:iCs w:val="1"/>
          <w:color w:val="auto"/>
        </w:rPr>
      </w:pPr>
    </w:p>
    <w:p>
      <w:pPr>
        <w:jc w:val="both"/>
        <w:ind w:left="1300" w:hanging="644"/>
        <w:spacing w:after="0" w:line="225" w:lineRule="auto"/>
        <w:tabs>
          <w:tab w:leader="none" w:pos="1291" w:val="left"/>
        </w:tabs>
        <w:numPr>
          <w:ilvl w:val="0"/>
          <w:numId w:val="29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Data Retention</w:t>
      </w:r>
      <w:r>
        <w:rPr>
          <w:rFonts w:ascii="Arial" w:cs="Arial" w:eastAsia="Arial" w:hAnsi="Arial"/>
          <w:sz w:val="22"/>
          <w:szCs w:val="22"/>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79" w:lineRule="exact"/>
        <w:rPr>
          <w:rFonts w:ascii="Arial" w:cs="Arial" w:eastAsia="Arial" w:hAnsi="Arial"/>
          <w:sz w:val="22"/>
          <w:szCs w:val="22"/>
          <w:i w:val="1"/>
          <w:iCs w:val="1"/>
          <w:color w:val="auto"/>
        </w:rPr>
      </w:pPr>
    </w:p>
    <w:p>
      <w:pPr>
        <w:jc w:val="both"/>
        <w:ind w:left="1300" w:hanging="644"/>
        <w:spacing w:after="0" w:line="215" w:lineRule="auto"/>
        <w:tabs>
          <w:tab w:leader="none" w:pos="1291" w:val="left"/>
        </w:tabs>
        <w:numPr>
          <w:ilvl w:val="0"/>
          <w:numId w:val="297"/>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Voluntariness and Consequences of Consent Denial or Withdrawal</w:t>
      </w:r>
      <w:r>
        <w:rPr>
          <w:rFonts w:ascii="Arial" w:cs="Arial" w:eastAsia="Arial" w:hAnsi="Arial"/>
          <w:sz w:val="22"/>
          <w:szCs w:val="22"/>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179" w:lineRule="exact"/>
        <w:rPr>
          <w:rFonts w:ascii="Arial" w:cs="Arial" w:eastAsia="Arial" w:hAnsi="Arial"/>
          <w:sz w:val="22"/>
          <w:szCs w:val="22"/>
          <w:i w:val="1"/>
          <w:iCs w:val="1"/>
          <w:color w:val="auto"/>
        </w:rPr>
      </w:pPr>
    </w:p>
    <w:p>
      <w:pPr>
        <w:jc w:val="both"/>
        <w:ind w:left="1300" w:hanging="644"/>
        <w:spacing w:after="0" w:line="225" w:lineRule="auto"/>
        <w:tabs>
          <w:tab w:leader="none" w:pos="1299" w:val="left"/>
        </w:tabs>
        <w:numPr>
          <w:ilvl w:val="0"/>
          <w:numId w:val="297"/>
        </w:numPr>
        <w:rPr>
          <w:rFonts w:ascii="Arial" w:cs="Arial" w:eastAsia="Arial" w:hAnsi="Arial"/>
          <w:sz w:val="21"/>
          <w:szCs w:val="21"/>
          <w:i w:val="1"/>
          <w:iCs w:val="1"/>
          <w:color w:val="auto"/>
        </w:rPr>
      </w:pPr>
      <w:r>
        <w:rPr>
          <w:rFonts w:ascii="Arial" w:cs="Arial" w:eastAsia="Arial" w:hAnsi="Arial"/>
          <w:sz w:val="21"/>
          <w:szCs w:val="21"/>
          <w:i w:val="1"/>
          <w:iCs w:val="1"/>
          <w:u w:val="single" w:color="auto"/>
          <w:color w:val="auto"/>
        </w:rPr>
        <w:t>Data Subject Rights</w:t>
      </w:r>
      <w:r>
        <w:rPr>
          <w:rFonts w:ascii="Arial" w:cs="Arial" w:eastAsia="Arial" w:hAnsi="Arial"/>
          <w:sz w:val="21"/>
          <w:szCs w:val="21"/>
          <w:i w:val="1"/>
          <w:iCs w:val="1"/>
          <w:color w:val="auto"/>
        </w:rPr>
        <w:t>. The Grantee understands that data subject rights regarding the processing of Data vary depending on applicable law and that, depending on where the Grantee is based and subject to the conditions set out in such applicable law, the Grantee may have, without limitation, the right to (i) inquire whether and what kind of Data the Company holds about the Grantee and how it is processed, and to access or request copies of such Data, (ii) request the correction or supplementation of Data about the Grantee that is inaccurate, incomplete or out-of-date in light of the purposes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10</w:t>
      </w:r>
    </w:p>
    <w:p>
      <w:pPr>
        <w:sectPr>
          <w:pgSz w:w="11900" w:h="16838" w:orient="portrait"/>
          <w:cols w:equalWidth="0" w:num="1">
            <w:col w:w="11240"/>
          </w:cols>
          <w:pgMar w:left="320" w:top="120" w:right="339"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300"/>
        <w:spacing w:after="0" w:line="210" w:lineRule="auto"/>
        <w:rPr>
          <w:sz w:val="20"/>
          <w:szCs w:val="20"/>
          <w:color w:val="auto"/>
        </w:rPr>
      </w:pPr>
      <w:r>
        <w:rPr>
          <w:rFonts w:ascii="Arial" w:cs="Arial" w:eastAsia="Arial" w:hAnsi="Arial"/>
          <w:sz w:val="22"/>
          <w:szCs w:val="22"/>
          <w:i w:val="1"/>
          <w:iCs w:val="1"/>
          <w:color w:val="auto"/>
        </w:rPr>
        <w:t>underlying the processing, (iii) obtain the erasure of Data no longer necessary for the purposes underlying the processing, (iv) request the Company to restrict the processing of the Grantee’s Data in certain situations where the Grantee feels its processing is inappropriate, (v) object, in certain circumstances, to the processing of Data for legitimate interests, and to (vi) request portability of the Grantee’s Data that the Grantee has actively or passively provided to the Company or the Employer (which does not include data derived or inferred from the collected data), where the processing of such Data is based on consent or the Grantee’s employment and is carried out by automated means. In case of concerns, the Grantee understands that he or she may also have the right to lodge a complaint with the competent local data protection authority. Further, to receive clarification of, or to exercise any of, the Grantee’s rights, the Grantee understands that he or she should contact his or her local human resources representative.</w:t>
      </w:r>
    </w:p>
    <w:p>
      <w:pPr>
        <w:spacing w:after="0" w:line="184" w:lineRule="exact"/>
        <w:rPr>
          <w:sz w:val="20"/>
          <w:szCs w:val="20"/>
          <w:color w:val="auto"/>
        </w:rPr>
      </w:pPr>
    </w:p>
    <w:p>
      <w:pPr>
        <w:jc w:val="both"/>
        <w:ind w:left="1300" w:hanging="644"/>
        <w:spacing w:after="0" w:line="215" w:lineRule="auto"/>
        <w:tabs>
          <w:tab w:leader="none" w:pos="1291" w:val="left"/>
        </w:tabs>
        <w:numPr>
          <w:ilvl w:val="0"/>
          <w:numId w:val="298"/>
        </w:numPr>
        <w:rPr>
          <w:rFonts w:ascii="Arial" w:cs="Arial" w:eastAsia="Arial" w:hAnsi="Arial"/>
          <w:sz w:val="22"/>
          <w:szCs w:val="22"/>
          <w:i w:val="1"/>
          <w:iCs w:val="1"/>
          <w:color w:val="auto"/>
        </w:rPr>
      </w:pPr>
      <w:r>
        <w:rPr>
          <w:rFonts w:ascii="Arial" w:cs="Arial" w:eastAsia="Arial" w:hAnsi="Arial"/>
          <w:sz w:val="22"/>
          <w:szCs w:val="22"/>
          <w:i w:val="1"/>
          <w:iCs w:val="1"/>
          <w:u w:val="single" w:color="auto"/>
          <w:color w:val="auto"/>
        </w:rPr>
        <w:t>Declaration of Consent</w:t>
      </w:r>
      <w:r>
        <w:rPr>
          <w:rFonts w:ascii="Arial" w:cs="Arial" w:eastAsia="Arial" w:hAnsi="Arial"/>
          <w:sz w:val="22"/>
          <w:szCs w:val="22"/>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offer an adequate level of protection from a European (or other non-U.S.) data protection law perspective, for the purposes described above.</w:t>
      </w:r>
    </w:p>
    <w:p>
      <w:pPr>
        <w:spacing w:after="0" w:line="169"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5"/>
          <w:szCs w:val="25"/>
          <w:color w:val="auto"/>
        </w:rPr>
        <w:t>Section 11.</w:t>
        <w:tab/>
        <w:t>Additional Terms and Conditions</w:t>
      </w:r>
    </w:p>
    <w:p>
      <w:pPr>
        <w:spacing w:after="0" w:line="177" w:lineRule="exact"/>
        <w:rPr>
          <w:sz w:val="20"/>
          <w:szCs w:val="20"/>
          <w:color w:val="auto"/>
        </w:rPr>
      </w:pPr>
    </w:p>
    <w:p>
      <w:pPr>
        <w:jc w:val="both"/>
        <w:ind w:left="1300" w:hanging="644"/>
        <w:spacing w:after="0" w:line="208" w:lineRule="auto"/>
        <w:tabs>
          <w:tab w:leader="none" w:pos="1291"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Insider Trading/Market Abuse Laws</w:t>
      </w:r>
      <w:r>
        <w:rPr>
          <w:rFonts w:ascii="Arial" w:cs="Arial" w:eastAsia="Arial" w:hAnsi="Arial"/>
          <w:sz w:val="22"/>
          <w:szCs w:val="22"/>
          <w:color w:val="auto"/>
        </w:rPr>
        <w:t>. The Grantee may be subject to insider trading restrictions and/or market abuse laws in applicable jurisdictions, including but not limited to the United States and the Grantee’s country of residence, which may affect the Grantee’s ability to directly or indirectly, for the Grantee or for a third party, acquire or sell, or attempt to sell, or otherwise dispose of Shares or rights to acquire Shares (e.g., Restricted Stock Units) under the Plan during such times as the Grantee is considered to have “inside information” regarding the Company (as determined under the laws or regulations in the applicable jurisdictions). Any restrictions under these laws or regulations are separate from and in addition to any restrictions that may be imposed under any applicable Company insider trading policy. The Grantee acknowledges that it is his or her responsibility to comply with any applicable restrictions, and the Grantee should consult with his or her personal legal advisor on this matter.</w:t>
      </w:r>
    </w:p>
    <w:p>
      <w:pPr>
        <w:spacing w:after="0" w:line="207"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Restricted Stock Unit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11</w:t>
      </w:r>
    </w:p>
    <w:p>
      <w:pPr>
        <w:sectPr>
          <w:pgSz w:w="11900" w:h="16838" w:orient="portrait"/>
          <w:cols w:equalWidth="0" w:num="1">
            <w:col w:w="11240"/>
          </w:cols>
          <w:pgMar w:left="320" w:top="120" w:right="339" w:bottom="1440" w:gutter="0" w:footer="0" w:header="0"/>
        </w:sectPr>
      </w:pPr>
    </w:p>
    <w:bookmarkStart w:id="289" w:name="page290"/>
    <w:bookmarkEnd w:id="289"/>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5"/>
          <w:szCs w:val="25"/>
          <w:color w:val="auto"/>
        </w:rPr>
        <w:t>Section 12.</w:t>
        <w:tab/>
        <w:t>Governing Law and Choice of Venue</w:t>
      </w:r>
    </w:p>
    <w:p>
      <w:pPr>
        <w:spacing w:after="0" w:line="69" w:lineRule="exact"/>
        <w:rPr>
          <w:sz w:val="20"/>
          <w:szCs w:val="20"/>
          <w:color w:val="auto"/>
        </w:rPr>
      </w:pPr>
    </w:p>
    <w:p>
      <w:pPr>
        <w:jc w:val="both"/>
        <w:ind w:left="500"/>
        <w:spacing w:after="0" w:line="210" w:lineRule="auto"/>
        <w:rPr>
          <w:sz w:val="20"/>
          <w:szCs w:val="20"/>
          <w:color w:val="auto"/>
        </w:rPr>
      </w:pPr>
      <w:r>
        <w:rPr>
          <w:rFonts w:ascii="Arial" w:cs="Arial" w:eastAsia="Arial" w:hAnsi="Arial"/>
          <w:sz w:val="22"/>
          <w:szCs w:val="22"/>
          <w:color w:val="auto"/>
        </w:rPr>
        <w:t>The validity, construction, and enforcement of this Award Agreement shall be governed by the laws of the State of Indiana, U.S.A. without regard to laws that might cause other law to govern under applicable principles of conflict of laws or cause the application of substantive law of any jurisdiction other than Indiana. For purposes of litigating any dispute that arises under this Award Agreement, the parties hereby submit to and consent to the jurisdiction and venue of the State of Indiana, and agree that such litigation shall be conducted exclusively in the courts having appropriate subject matter jurisdiction in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Award is granted and/or to be performed.</w:t>
      </w:r>
    </w:p>
    <w:p>
      <w:pPr>
        <w:spacing w:after="0" w:line="168"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5"/>
          <w:szCs w:val="25"/>
          <w:color w:val="auto"/>
        </w:rPr>
        <w:t>Section 13.</w:t>
        <w:tab/>
        <w:t>Miscellaneous Provisions</w:t>
      </w:r>
    </w:p>
    <w:p>
      <w:pPr>
        <w:spacing w:after="0" w:line="69" w:lineRule="exact"/>
        <w:rPr>
          <w:sz w:val="20"/>
          <w:szCs w:val="20"/>
          <w:color w:val="auto"/>
        </w:rPr>
      </w:pPr>
    </w:p>
    <w:p>
      <w:pPr>
        <w:jc w:val="both"/>
        <w:ind w:left="1300" w:hanging="644"/>
        <w:spacing w:after="0" w:line="218" w:lineRule="auto"/>
        <w:tabs>
          <w:tab w:leader="none" w:pos="1291" w:val="left"/>
        </w:tabs>
        <w:numPr>
          <w:ilvl w:val="0"/>
          <w:numId w:val="300"/>
        </w:numPr>
        <w:rPr>
          <w:rFonts w:ascii="Arial" w:cs="Arial" w:eastAsia="Arial" w:hAnsi="Arial"/>
          <w:sz w:val="21"/>
          <w:szCs w:val="21"/>
          <w:color w:val="auto"/>
        </w:rPr>
      </w:pPr>
      <w:r>
        <w:rPr>
          <w:rFonts w:ascii="Arial" w:cs="Arial" w:eastAsia="Arial" w:hAnsi="Arial"/>
          <w:sz w:val="21"/>
          <w:szCs w:val="21"/>
          <w:u w:val="single" w:color="auto"/>
          <w:color w:val="auto"/>
        </w:rPr>
        <w:t>Notices and Electronic Delivery and Participation</w:t>
      </w:r>
      <w:r>
        <w:rPr>
          <w:rFonts w:ascii="Arial" w:cs="Arial" w:eastAsia="Arial" w:hAnsi="Arial"/>
          <w:sz w:val="21"/>
          <w:szCs w:val="21"/>
          <w:color w:val="auto"/>
        </w:rPr>
        <w:t>. Any notice to be given by the Grantee or successor Grantee shall be in writing, and any notice shall be deemed to have been given or made only upon receipt thereof by the Corporate Secretary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206" w:lineRule="exact"/>
        <w:rPr>
          <w:rFonts w:ascii="Arial" w:cs="Arial" w:eastAsia="Arial" w:hAnsi="Arial"/>
          <w:sz w:val="21"/>
          <w:szCs w:val="21"/>
          <w:color w:val="auto"/>
        </w:rPr>
      </w:pPr>
    </w:p>
    <w:p>
      <w:pPr>
        <w:jc w:val="both"/>
        <w:ind w:left="1300" w:hanging="644"/>
        <w:spacing w:after="0" w:line="211" w:lineRule="auto"/>
        <w:tabs>
          <w:tab w:leader="none" w:pos="1291"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Award Agreement.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218" w:lineRule="exact"/>
        <w:rPr>
          <w:rFonts w:ascii="Arial" w:cs="Arial" w:eastAsia="Arial" w:hAnsi="Arial"/>
          <w:sz w:val="22"/>
          <w:szCs w:val="22"/>
          <w:color w:val="auto"/>
        </w:rPr>
      </w:pPr>
    </w:p>
    <w:p>
      <w:pPr>
        <w:jc w:val="both"/>
        <w:ind w:left="1300" w:hanging="644"/>
        <w:spacing w:after="0" w:line="222" w:lineRule="auto"/>
        <w:tabs>
          <w:tab w:leader="none" w:pos="1292"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202" w:lineRule="exact"/>
        <w:rPr>
          <w:rFonts w:ascii="Arial" w:cs="Arial" w:eastAsia="Arial" w:hAnsi="Arial"/>
          <w:sz w:val="22"/>
          <w:szCs w:val="22"/>
          <w:color w:val="auto"/>
        </w:rPr>
      </w:pPr>
    </w:p>
    <w:p>
      <w:pPr>
        <w:jc w:val="both"/>
        <w:ind w:left="1300" w:hanging="644"/>
        <w:spacing w:after="0" w:line="210" w:lineRule="auto"/>
        <w:tabs>
          <w:tab w:leader="none" w:pos="1291"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Severability and Section Headings</w:t>
      </w:r>
      <w:r>
        <w:rPr>
          <w:rFonts w:ascii="Arial" w:cs="Arial" w:eastAsia="Arial" w:hAnsi="Arial"/>
          <w:sz w:val="22"/>
          <w:szCs w:val="22"/>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12</w:t>
      </w:r>
    </w:p>
    <w:p>
      <w:pPr>
        <w:sectPr>
          <w:pgSz w:w="11900" w:h="16838" w:orient="portrait"/>
          <w:cols w:equalWidth="0" w:num="1">
            <w:col w:w="11240"/>
          </w:cols>
          <w:pgMar w:left="320" w:top="120" w:right="339" w:bottom="1440" w:gutter="0" w:footer="0" w:header="0"/>
        </w:sectPr>
      </w:pPr>
    </w:p>
    <w:bookmarkStart w:id="290" w:name="page291"/>
    <w:bookmarkEnd w:id="290"/>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line="225" w:lineRule="auto"/>
        <w:rPr>
          <w:sz w:val="20"/>
          <w:szCs w:val="20"/>
          <w:color w:val="auto"/>
        </w:rPr>
      </w:pPr>
      <w:r>
        <w:rPr>
          <w:rFonts w:ascii="Arial" w:cs="Arial" w:eastAsia="Arial" w:hAnsi="Arial"/>
          <w:sz w:val="22"/>
          <w:szCs w:val="22"/>
          <w:color w:val="auto"/>
        </w:rPr>
        <w:t>The section headings in this Award Agreement are for convenience of reference only and shall not be deemed a part of, or germane to, the interpretation or construction of this instrument.</w:t>
      </w:r>
    </w:p>
    <w:p>
      <w:pPr>
        <w:spacing w:after="0" w:line="174" w:lineRule="exact"/>
        <w:rPr>
          <w:sz w:val="20"/>
          <w:szCs w:val="20"/>
          <w:color w:val="auto"/>
        </w:rPr>
      </w:pPr>
    </w:p>
    <w:p>
      <w:pPr>
        <w:jc w:val="both"/>
        <w:ind w:left="1300" w:hanging="644"/>
        <w:spacing w:after="0" w:line="213" w:lineRule="auto"/>
        <w:tabs>
          <w:tab w:leader="none" w:pos="1291"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68"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5"/>
          <w:szCs w:val="25"/>
          <w:color w:val="auto"/>
        </w:rPr>
        <w:t>Section 14.</w:t>
        <w:tab/>
        <w:t>Compensation Recovery</w:t>
      </w:r>
    </w:p>
    <w:p>
      <w:pPr>
        <w:spacing w:after="0" w:line="15" w:lineRule="exact"/>
        <w:rPr>
          <w:sz w:val="20"/>
          <w:szCs w:val="20"/>
          <w:color w:val="auto"/>
        </w:rPr>
      </w:pPr>
    </w:p>
    <w:p>
      <w:pPr>
        <w:jc w:val="both"/>
        <w:ind w:left="420" w:right="20"/>
        <w:spacing w:after="0" w:line="218" w:lineRule="auto"/>
        <w:rPr>
          <w:sz w:val="20"/>
          <w:szCs w:val="20"/>
          <w:color w:val="auto"/>
        </w:rPr>
      </w:pPr>
      <w:r>
        <w:rPr>
          <w:rFonts w:ascii="Arial" w:cs="Arial" w:eastAsia="Arial" w:hAnsi="Arial"/>
          <w:sz w:val="22"/>
          <w:szCs w:val="22"/>
          <w:color w:val="auto"/>
        </w:rPr>
        <w:t>At any time during the three years following the date on which the number of shares of Lilly Stock subject to this Award was determined, the Company reserves the right to and, in appropriate cases, will seek restitution of all or part of any shares of Lilly Stock subject to or issued (or cash paid) pursuant to this Award if:</w:t>
      </w:r>
    </w:p>
    <w:p>
      <w:pPr>
        <w:spacing w:after="0" w:line="175" w:lineRule="exact"/>
        <w:rPr>
          <w:sz w:val="20"/>
          <w:szCs w:val="20"/>
          <w:color w:val="auto"/>
        </w:rPr>
      </w:pPr>
    </w:p>
    <w:p>
      <w:pPr>
        <w:jc w:val="both"/>
        <w:ind w:left="1300" w:right="20" w:hanging="647"/>
        <w:spacing w:after="0" w:line="204" w:lineRule="auto"/>
        <w:tabs>
          <w:tab w:leader="none" w:pos="1280" w:val="left"/>
        </w:tabs>
        <w:rPr>
          <w:sz w:val="20"/>
          <w:szCs w:val="20"/>
          <w:color w:val="auto"/>
        </w:rPr>
      </w:pPr>
      <w:r>
        <w:rPr>
          <w:rFonts w:ascii="Arial" w:cs="Arial" w:eastAsia="Arial" w:hAnsi="Arial"/>
          <w:sz w:val="22"/>
          <w:szCs w:val="22"/>
          <w:color w:val="auto"/>
        </w:rPr>
        <w:t>a. (i)</w:t>
        <w:tab/>
        <w:t>the number of shares of Lilly Stock subject to the Award was calculated based, directly or indirectly, upon the achievement of financial results (e.g., earnings per share) that were subsequently the subject of restatement of all or a portion of the Company’s financial statements;</w:t>
      </w:r>
    </w:p>
    <w:p>
      <w:pPr>
        <w:spacing w:after="0" w:line="3" w:lineRule="exact"/>
        <w:rPr>
          <w:sz w:val="20"/>
          <w:szCs w:val="20"/>
          <w:color w:val="auto"/>
        </w:rPr>
      </w:pPr>
    </w:p>
    <w:p>
      <w:pPr>
        <w:ind w:left="1300" w:right="20" w:hanging="482"/>
        <w:spacing w:after="0" w:line="204" w:lineRule="auto"/>
        <w:tabs>
          <w:tab w:leader="none" w:pos="1410" w:val="left"/>
        </w:tabs>
        <w:numPr>
          <w:ilvl w:val="1"/>
          <w:numId w:val="302"/>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1" w:lineRule="exact"/>
        <w:rPr>
          <w:rFonts w:ascii="Arial" w:cs="Arial" w:eastAsia="Arial" w:hAnsi="Arial"/>
          <w:sz w:val="22"/>
          <w:szCs w:val="22"/>
          <w:color w:val="auto"/>
        </w:rPr>
      </w:pPr>
    </w:p>
    <w:p>
      <w:pPr>
        <w:jc w:val="both"/>
        <w:ind w:left="1300" w:right="20" w:hanging="482"/>
        <w:spacing w:after="0" w:line="204" w:lineRule="auto"/>
        <w:tabs>
          <w:tab w:leader="none" w:pos="1362" w:val="left"/>
        </w:tabs>
        <w:numPr>
          <w:ilvl w:val="1"/>
          <w:numId w:val="302"/>
        </w:numPr>
        <w:rPr>
          <w:rFonts w:ascii="Arial" w:cs="Arial" w:eastAsia="Arial" w:hAnsi="Arial"/>
          <w:sz w:val="22"/>
          <w:szCs w:val="22"/>
          <w:color w:val="auto"/>
        </w:rPr>
      </w:pPr>
      <w:r>
        <w:rPr>
          <w:rFonts w:ascii="Arial" w:cs="Arial" w:eastAsia="Arial" w:hAnsi="Arial"/>
          <w:sz w:val="22"/>
          <w:szCs w:val="22"/>
          <w:color w:val="auto"/>
        </w:rPr>
        <w:t>the number of shares of Lilly Stock that would have been subject to the Award had the financial results been properly reported would have been lower than the number of shares of Lilly Stock actually subject to the Award.</w:t>
      </w:r>
    </w:p>
    <w:p>
      <w:pPr>
        <w:spacing w:after="0" w:line="2" w:lineRule="exact"/>
        <w:rPr>
          <w:rFonts w:ascii="Arial" w:cs="Arial" w:eastAsia="Arial" w:hAnsi="Arial"/>
          <w:sz w:val="22"/>
          <w:szCs w:val="22"/>
          <w:color w:val="auto"/>
        </w:rPr>
      </w:pPr>
    </w:p>
    <w:p>
      <w:pPr>
        <w:ind w:left="1300" w:right="20" w:hanging="644"/>
        <w:spacing w:after="0" w:line="215" w:lineRule="auto"/>
        <w:tabs>
          <w:tab w:leader="none" w:pos="1121" w:val="left"/>
        </w:tabs>
        <w:numPr>
          <w:ilvl w:val="0"/>
          <w:numId w:val="303"/>
        </w:numPr>
        <w:rPr>
          <w:rFonts w:ascii="Arial" w:cs="Arial" w:eastAsia="Arial" w:hAnsi="Arial"/>
          <w:sz w:val="22"/>
          <w:szCs w:val="22"/>
          <w:color w:val="auto"/>
        </w:rPr>
      </w:pPr>
      <w:r>
        <w:rPr>
          <w:rFonts w:ascii="Arial" w:cs="Arial" w:eastAsia="Arial" w:hAnsi="Arial"/>
          <w:sz w:val="22"/>
          <w:szCs w:val="22"/>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4" w:lineRule="exact"/>
        <w:rPr>
          <w:sz w:val="20"/>
          <w:szCs w:val="20"/>
          <w:color w:val="auto"/>
        </w:rPr>
      </w:pPr>
    </w:p>
    <w:p>
      <w:pPr>
        <w:jc w:val="both"/>
        <w:ind w:left="420" w:right="20"/>
        <w:spacing w:after="0" w:line="215" w:lineRule="auto"/>
        <w:rPr>
          <w:sz w:val="20"/>
          <w:szCs w:val="20"/>
          <w:color w:val="auto"/>
        </w:rPr>
      </w:pPr>
      <w:r>
        <w:rPr>
          <w:rFonts w:ascii="Arial" w:cs="Arial" w:eastAsia="Arial" w:hAnsi="Arial"/>
          <w:sz w:val="22"/>
          <w:szCs w:val="22"/>
          <w:color w:val="auto"/>
        </w:rPr>
        <w:t>In the event the number of shares of Lilly Stock subject to the Award is determined to have been based on materially inaccurate financial statements or other Company performance measures or on calculation errors (without any misconduct on the part of the Grantee), the Company reserves the right to and, in appropriate cases, will:</w:t>
      </w:r>
    </w:p>
    <w:p>
      <w:pPr>
        <w:spacing w:after="0" w:line="174" w:lineRule="exact"/>
        <w:rPr>
          <w:sz w:val="20"/>
          <w:szCs w:val="20"/>
          <w:color w:val="auto"/>
        </w:rPr>
      </w:pPr>
    </w:p>
    <w:p>
      <w:pPr>
        <w:jc w:val="both"/>
        <w:ind w:left="1300" w:right="20" w:hanging="644"/>
        <w:spacing w:after="0" w:line="214" w:lineRule="auto"/>
        <w:tabs>
          <w:tab w:leader="none" w:pos="1291" w:val="left"/>
        </w:tabs>
        <w:numPr>
          <w:ilvl w:val="0"/>
          <w:numId w:val="304"/>
        </w:numPr>
        <w:rPr>
          <w:rFonts w:ascii="Arial" w:cs="Arial" w:eastAsia="Arial" w:hAnsi="Arial"/>
          <w:sz w:val="21"/>
          <w:szCs w:val="21"/>
          <w:color w:val="auto"/>
        </w:rPr>
      </w:pPr>
      <w:r>
        <w:rPr>
          <w:rFonts w:ascii="Arial" w:cs="Arial" w:eastAsia="Arial" w:hAnsi="Arial"/>
          <w:sz w:val="21"/>
          <w:szCs w:val="21"/>
          <w:color w:val="auto"/>
        </w:rPr>
        <w:t>seek restitution of the shares of Lilly Stock subject to or issued (or cash paid) pursuant to this Award to the extent that the number of shares of Lilly Stock subject to the Award exceeded the number of shares of Lilly Stock that would have been subject to the Award had the inaccuracy or error not occurred, or</w:t>
      </w:r>
    </w:p>
    <w:p>
      <w:pPr>
        <w:spacing w:after="0" w:line="2" w:lineRule="exact"/>
        <w:rPr>
          <w:rFonts w:ascii="Arial" w:cs="Arial" w:eastAsia="Arial" w:hAnsi="Arial"/>
          <w:sz w:val="21"/>
          <w:szCs w:val="21"/>
          <w:color w:val="auto"/>
        </w:rPr>
      </w:pPr>
    </w:p>
    <w:p>
      <w:pPr>
        <w:ind w:left="1300" w:right="20" w:hanging="644"/>
        <w:spacing w:after="0" w:line="225" w:lineRule="auto"/>
        <w:tabs>
          <w:tab w:leader="none" w:pos="1291" w:val="left"/>
        </w:tabs>
        <w:numPr>
          <w:ilvl w:val="0"/>
          <w:numId w:val="304"/>
        </w:numPr>
        <w:rPr>
          <w:rFonts w:ascii="Arial" w:cs="Arial" w:eastAsia="Arial" w:hAnsi="Arial"/>
          <w:sz w:val="22"/>
          <w:szCs w:val="22"/>
          <w:color w:val="auto"/>
        </w:rPr>
      </w:pPr>
      <w:r>
        <w:rPr>
          <w:rFonts w:ascii="Arial" w:cs="Arial" w:eastAsia="Arial" w:hAnsi="Arial"/>
          <w:sz w:val="22"/>
          <w:szCs w:val="22"/>
          <w:color w:val="auto"/>
        </w:rPr>
        <w:t>issue additional shares of Lilly Stock or make additional cash payment to the extent that the number of shares of Lilly Stock subject to the Award was less than the correct amount.</w:t>
      </w:r>
    </w:p>
    <w:p>
      <w:pPr>
        <w:spacing w:after="0" w:line="174" w:lineRule="exact"/>
        <w:rPr>
          <w:sz w:val="20"/>
          <w:szCs w:val="20"/>
          <w:color w:val="auto"/>
        </w:rPr>
      </w:pPr>
    </w:p>
    <w:p>
      <w:pPr>
        <w:jc w:val="both"/>
        <w:ind w:left="420"/>
        <w:spacing w:after="0" w:line="218" w:lineRule="auto"/>
        <w:rPr>
          <w:sz w:val="20"/>
          <w:szCs w:val="20"/>
          <w:color w:val="auto"/>
        </w:rPr>
      </w:pPr>
      <w:r>
        <w:rPr>
          <w:rFonts w:ascii="Arial" w:cs="Arial" w:eastAsia="Arial" w:hAnsi="Arial"/>
          <w:sz w:val="22"/>
          <w:szCs w:val="22"/>
          <w:color w:val="auto"/>
        </w:rPr>
        <w:t>This Section 14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13</w:t>
      </w:r>
    </w:p>
    <w:p>
      <w:pPr>
        <w:sectPr>
          <w:pgSz w:w="11900" w:h="16838" w:orient="portrait"/>
          <w:cols w:equalWidth="0" w:num="1">
            <w:col w:w="11240"/>
          </w:cols>
          <w:pgMar w:left="320" w:top="120" w:right="33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Eli Lilly and Company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5"/>
          <w:szCs w:val="25"/>
          <w:color w:val="auto"/>
        </w:rPr>
        <w:t>Section 15.</w:t>
        <w:tab/>
        <w:t>Award Subject to Acknowledgement of Acceptance</w:t>
      </w:r>
    </w:p>
    <w:p>
      <w:pPr>
        <w:spacing w:after="0" w:line="69" w:lineRule="exact"/>
        <w:rPr>
          <w:sz w:val="20"/>
          <w:szCs w:val="20"/>
          <w:color w:val="auto"/>
        </w:rPr>
      </w:pPr>
    </w:p>
    <w:p>
      <w:pPr>
        <w:jc w:val="both"/>
        <w:ind w:left="400"/>
        <w:spacing w:after="0" w:line="213" w:lineRule="auto"/>
        <w:rPr>
          <w:sz w:val="20"/>
          <w:szCs w:val="20"/>
          <w:color w:val="auto"/>
        </w:rPr>
      </w:pPr>
      <w:r>
        <w:rPr>
          <w:rFonts w:ascii="Arial" w:cs="Arial" w:eastAsia="Arial" w:hAnsi="Arial"/>
          <w:sz w:val="22"/>
          <w:szCs w:val="22"/>
          <w:color w:val="auto"/>
        </w:rPr>
        <w:t>Notwithstanding any provisions of this Award Agreement, the Award is subject to acknowledgement of acceptance by the Grantee prior to 4:00 PM (EDT) [INSERT DATE], through the website of Merrill, the Company’s stock plan administrator. If the Grantee does not acknowledge acceptance of the Award prior to 4:00 PM (EDT) [INSERT DATE], the Award will be cancelled, subject to the Committee's discretion for unforeseen circumstances.</w:t>
      </w:r>
    </w:p>
    <w:p>
      <w:pPr>
        <w:spacing w:after="0" w:line="200"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color w:val="auto"/>
        </w:rPr>
        <w:t>IN WITNESS WHEREOF, Lilly has caused this Award Agreement to be executed in Indianapolis, Indiana, by its proper officer.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ELI LILLY AND COMPANY</w:t>
      </w: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Page 14</w:t>
      </w:r>
    </w:p>
    <w:p>
      <w:pPr>
        <w:sectPr>
          <w:pgSz w:w="11900" w:h="16838" w:orient="portrait"/>
          <w:cols w:equalWidth="0" w:num="1">
            <w:col w:w="11240"/>
          </w:cols>
          <w:pgMar w:left="320" w:top="120" w:right="3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t>Exhibit 10.17 — The Loxo Oncology, Inc.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The Loxo Oncology, Inc. Bonus Plan</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36"/>
          <w:szCs w:val="36"/>
          <w:b w:val="1"/>
          <w:bCs w:val="1"/>
          <w:color w:val="auto"/>
        </w:rPr>
        <w:t>(effective January 1, 2021)</w:t>
      </w:r>
    </w:p>
    <w:p>
      <w:pPr>
        <w:sectPr>
          <w:pgSz w:w="11900" w:h="16838" w:orient="portrait"/>
          <w:cols w:equalWidth="0" w:num="1">
            <w:col w:w="10139"/>
          </w:cols>
          <w:pgMar w:left="320" w:top="1399" w:right="1440" w:bottom="1440" w:gutter="0" w:footer="0" w:header="0"/>
        </w:sectPr>
      </w:pPr>
    </w:p>
    <w:bookmarkStart w:id="293" w:name="page294"/>
    <w:bookmarkEnd w:id="293"/>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760" w:type="dxa"/>
            <w:vAlign w:val="bottom"/>
          </w:tcPr>
          <w:p>
            <w:pPr>
              <w:ind w:left="4440"/>
              <w:spacing w:after="0"/>
              <w:rPr>
                <w:sz w:val="20"/>
                <w:szCs w:val="20"/>
                <w:color w:val="auto"/>
              </w:rPr>
            </w:pPr>
            <w:r>
              <w:rPr>
                <w:rFonts w:ascii="Arial" w:cs="Arial" w:eastAsia="Arial" w:hAnsi="Arial"/>
                <w:sz w:val="22"/>
                <w:szCs w:val="22"/>
                <w:color w:val="auto"/>
              </w:rPr>
              <w:t>TABLE OF CONTENTS</w:t>
            </w:r>
          </w:p>
        </w:tc>
        <w:tc>
          <w:tcPr>
            <w:tcW w:w="2080" w:type="dxa"/>
            <w:vAlign w:val="bottom"/>
          </w:tcPr>
          <w:p>
            <w:pPr>
              <w:spacing w:after="0"/>
              <w:rPr>
                <w:sz w:val="23"/>
                <w:szCs w:val="23"/>
                <w:color w:val="auto"/>
              </w:rPr>
            </w:pPr>
          </w:p>
        </w:tc>
      </w:tr>
      <w:tr>
        <w:trPr>
          <w:trHeight w:val="891"/>
        </w:trPr>
        <w:tc>
          <w:tcPr>
            <w:tcW w:w="8760" w:type="dxa"/>
            <w:vAlign w:val="bottom"/>
          </w:tcPr>
          <w:p>
            <w:pPr>
              <w:spacing w:after="0"/>
              <w:rPr>
                <w:sz w:val="20"/>
                <w:szCs w:val="20"/>
                <w:color w:val="auto"/>
              </w:rPr>
            </w:pPr>
            <w:r>
              <w:rPr>
                <w:rFonts w:ascii="Arial" w:cs="Arial" w:eastAsia="Arial" w:hAnsi="Arial"/>
                <w:sz w:val="22"/>
                <w:szCs w:val="22"/>
                <w:color w:val="auto"/>
              </w:rPr>
              <w:t>SECTION 1. PURPOSE</w:t>
            </w:r>
          </w:p>
        </w:tc>
        <w:tc>
          <w:tcPr>
            <w:tcW w:w="2080" w:type="dxa"/>
            <w:vAlign w:val="bottom"/>
          </w:tcPr>
          <w:p>
            <w:pPr>
              <w:ind w:left="1840"/>
              <w:spacing w:after="0"/>
              <w:rPr>
                <w:sz w:val="20"/>
                <w:szCs w:val="20"/>
                <w:color w:val="auto"/>
              </w:rPr>
            </w:pPr>
            <w:r>
              <w:rPr>
                <w:rFonts w:ascii="Arial" w:cs="Arial" w:eastAsia="Arial" w:hAnsi="Arial"/>
                <w:sz w:val="22"/>
                <w:szCs w:val="22"/>
                <w:color w:val="auto"/>
              </w:rPr>
              <w:t>1</w:t>
            </w:r>
          </w:p>
        </w:tc>
      </w:tr>
      <w:tr>
        <w:trPr>
          <w:trHeight w:val="311"/>
        </w:trPr>
        <w:tc>
          <w:tcPr>
            <w:tcW w:w="8760" w:type="dxa"/>
            <w:vAlign w:val="bottom"/>
          </w:tcPr>
          <w:p>
            <w:pPr>
              <w:spacing w:after="0"/>
              <w:rPr>
                <w:sz w:val="20"/>
                <w:szCs w:val="20"/>
                <w:color w:val="auto"/>
              </w:rPr>
            </w:pPr>
            <w:r>
              <w:rPr>
                <w:rFonts w:ascii="Arial" w:cs="Arial" w:eastAsia="Arial" w:hAnsi="Arial"/>
                <w:sz w:val="22"/>
                <w:szCs w:val="22"/>
                <w:color w:val="auto"/>
              </w:rPr>
              <w:t>SECTION 2. DEFINITIONS</w:t>
            </w:r>
          </w:p>
        </w:tc>
        <w:tc>
          <w:tcPr>
            <w:tcW w:w="2080" w:type="dxa"/>
            <w:vAlign w:val="bottom"/>
          </w:tcPr>
          <w:p>
            <w:pPr>
              <w:ind w:left="1840"/>
              <w:spacing w:after="0"/>
              <w:rPr>
                <w:sz w:val="20"/>
                <w:szCs w:val="20"/>
                <w:color w:val="auto"/>
              </w:rPr>
            </w:pPr>
            <w:r>
              <w:rPr>
                <w:rFonts w:ascii="Arial" w:cs="Arial" w:eastAsia="Arial" w:hAnsi="Arial"/>
                <w:sz w:val="22"/>
                <w:szCs w:val="22"/>
                <w:color w:val="auto"/>
              </w:rPr>
              <w:t>1</w:t>
            </w:r>
          </w:p>
        </w:tc>
      </w:tr>
      <w:tr>
        <w:trPr>
          <w:trHeight w:val="310"/>
        </w:trPr>
        <w:tc>
          <w:tcPr>
            <w:tcW w:w="8760" w:type="dxa"/>
            <w:vAlign w:val="bottom"/>
          </w:tcPr>
          <w:p>
            <w:pPr>
              <w:spacing w:after="0"/>
              <w:rPr>
                <w:sz w:val="20"/>
                <w:szCs w:val="20"/>
                <w:color w:val="auto"/>
              </w:rPr>
            </w:pPr>
            <w:r>
              <w:rPr>
                <w:rFonts w:ascii="Arial" w:cs="Arial" w:eastAsia="Arial" w:hAnsi="Arial"/>
                <w:sz w:val="22"/>
                <w:szCs w:val="22"/>
                <w:color w:val="auto"/>
              </w:rPr>
              <w:t>SECTION 3. ADMINISTRATION</w:t>
            </w:r>
          </w:p>
        </w:tc>
        <w:tc>
          <w:tcPr>
            <w:tcW w:w="2080" w:type="dxa"/>
            <w:vAlign w:val="bottom"/>
          </w:tcPr>
          <w:p>
            <w:pPr>
              <w:ind w:left="1840"/>
              <w:spacing w:after="0"/>
              <w:rPr>
                <w:sz w:val="20"/>
                <w:szCs w:val="20"/>
                <w:color w:val="auto"/>
              </w:rPr>
            </w:pPr>
            <w:r>
              <w:rPr>
                <w:rFonts w:ascii="Arial" w:cs="Arial" w:eastAsia="Arial" w:hAnsi="Arial"/>
                <w:sz w:val="22"/>
                <w:szCs w:val="22"/>
                <w:color w:val="auto"/>
              </w:rPr>
              <w:t>5</w:t>
            </w:r>
          </w:p>
        </w:tc>
      </w:tr>
      <w:tr>
        <w:trPr>
          <w:trHeight w:val="311"/>
        </w:trPr>
        <w:tc>
          <w:tcPr>
            <w:tcW w:w="8760" w:type="dxa"/>
            <w:vAlign w:val="bottom"/>
          </w:tcPr>
          <w:p>
            <w:pPr>
              <w:spacing w:after="0"/>
              <w:rPr>
                <w:sz w:val="20"/>
                <w:szCs w:val="20"/>
                <w:color w:val="auto"/>
              </w:rPr>
            </w:pPr>
            <w:r>
              <w:rPr>
                <w:rFonts w:ascii="Arial" w:cs="Arial" w:eastAsia="Arial" w:hAnsi="Arial"/>
                <w:sz w:val="22"/>
                <w:szCs w:val="22"/>
                <w:color w:val="auto"/>
              </w:rPr>
              <w:t>SECTION 4. PARTICIPATION IN THE PLAN</w:t>
            </w:r>
          </w:p>
        </w:tc>
        <w:tc>
          <w:tcPr>
            <w:tcW w:w="2080" w:type="dxa"/>
            <w:vAlign w:val="bottom"/>
          </w:tcPr>
          <w:p>
            <w:pPr>
              <w:ind w:left="1840"/>
              <w:spacing w:after="0"/>
              <w:rPr>
                <w:sz w:val="20"/>
                <w:szCs w:val="20"/>
                <w:color w:val="auto"/>
              </w:rPr>
            </w:pPr>
            <w:r>
              <w:rPr>
                <w:rFonts w:ascii="Arial" w:cs="Arial" w:eastAsia="Arial" w:hAnsi="Arial"/>
                <w:sz w:val="22"/>
                <w:szCs w:val="22"/>
                <w:color w:val="auto"/>
              </w:rPr>
              <w:t>6</w:t>
            </w:r>
          </w:p>
        </w:tc>
      </w:tr>
      <w:tr>
        <w:trPr>
          <w:trHeight w:val="310"/>
        </w:trPr>
        <w:tc>
          <w:tcPr>
            <w:tcW w:w="8760" w:type="dxa"/>
            <w:vAlign w:val="bottom"/>
          </w:tcPr>
          <w:p>
            <w:pPr>
              <w:spacing w:after="0"/>
              <w:rPr>
                <w:sz w:val="20"/>
                <w:szCs w:val="20"/>
                <w:color w:val="auto"/>
              </w:rPr>
            </w:pPr>
            <w:r>
              <w:rPr>
                <w:rFonts w:ascii="Arial" w:cs="Arial" w:eastAsia="Arial" w:hAnsi="Arial"/>
                <w:sz w:val="22"/>
                <w:szCs w:val="22"/>
                <w:color w:val="auto"/>
              </w:rPr>
              <w:t>SECTION 5. DEFINITION AND COMPUTATION OF COMPANY BONUS</w:t>
            </w:r>
          </w:p>
        </w:tc>
        <w:tc>
          <w:tcPr>
            <w:tcW w:w="2080" w:type="dxa"/>
            <w:vAlign w:val="bottom"/>
          </w:tcPr>
          <w:p>
            <w:pPr>
              <w:ind w:left="1840"/>
              <w:spacing w:after="0"/>
              <w:rPr>
                <w:sz w:val="20"/>
                <w:szCs w:val="20"/>
                <w:color w:val="auto"/>
              </w:rPr>
            </w:pPr>
            <w:r>
              <w:rPr>
                <w:rFonts w:ascii="Arial" w:cs="Arial" w:eastAsia="Arial" w:hAnsi="Arial"/>
                <w:sz w:val="22"/>
                <w:szCs w:val="22"/>
                <w:color w:val="auto"/>
              </w:rPr>
              <w:t>6</w:t>
            </w:r>
          </w:p>
        </w:tc>
      </w:tr>
      <w:tr>
        <w:trPr>
          <w:trHeight w:val="311"/>
        </w:trPr>
        <w:tc>
          <w:tcPr>
            <w:tcW w:w="8760" w:type="dxa"/>
            <w:vAlign w:val="bottom"/>
          </w:tcPr>
          <w:p>
            <w:pPr>
              <w:spacing w:after="0"/>
              <w:rPr>
                <w:sz w:val="20"/>
                <w:szCs w:val="20"/>
                <w:color w:val="auto"/>
              </w:rPr>
            </w:pPr>
            <w:r>
              <w:rPr>
                <w:rFonts w:ascii="Arial" w:cs="Arial" w:eastAsia="Arial" w:hAnsi="Arial"/>
                <w:sz w:val="22"/>
                <w:szCs w:val="22"/>
                <w:color w:val="auto"/>
              </w:rPr>
              <w:t>SECTION 6. TIME OF PAYMENT</w:t>
            </w:r>
          </w:p>
        </w:tc>
        <w:tc>
          <w:tcPr>
            <w:tcW w:w="2080" w:type="dxa"/>
            <w:vAlign w:val="bottom"/>
          </w:tcPr>
          <w:p>
            <w:pPr>
              <w:ind w:left="1840"/>
              <w:spacing w:after="0"/>
              <w:rPr>
                <w:sz w:val="20"/>
                <w:szCs w:val="20"/>
                <w:color w:val="auto"/>
              </w:rPr>
            </w:pPr>
            <w:r>
              <w:rPr>
                <w:rFonts w:ascii="Arial" w:cs="Arial" w:eastAsia="Arial" w:hAnsi="Arial"/>
                <w:sz w:val="22"/>
                <w:szCs w:val="22"/>
                <w:color w:val="auto"/>
                <w:w w:val="89"/>
              </w:rPr>
              <w:t>10</w:t>
            </w:r>
          </w:p>
        </w:tc>
      </w:tr>
      <w:tr>
        <w:trPr>
          <w:trHeight w:val="311"/>
        </w:trPr>
        <w:tc>
          <w:tcPr>
            <w:tcW w:w="8760" w:type="dxa"/>
            <w:vAlign w:val="bottom"/>
          </w:tcPr>
          <w:p>
            <w:pPr>
              <w:spacing w:after="0"/>
              <w:rPr>
                <w:sz w:val="20"/>
                <w:szCs w:val="20"/>
                <w:color w:val="auto"/>
              </w:rPr>
            </w:pPr>
            <w:r>
              <w:rPr>
                <w:rFonts w:ascii="Arial" w:cs="Arial" w:eastAsia="Arial" w:hAnsi="Arial"/>
                <w:sz w:val="22"/>
                <w:szCs w:val="22"/>
                <w:color w:val="auto"/>
              </w:rPr>
              <w:t>SECTION 7. ADMINISTRATIVE GUIDELINES</w:t>
            </w:r>
          </w:p>
        </w:tc>
        <w:tc>
          <w:tcPr>
            <w:tcW w:w="2080" w:type="dxa"/>
            <w:vAlign w:val="bottom"/>
          </w:tcPr>
          <w:p>
            <w:pPr>
              <w:ind w:left="1840"/>
              <w:spacing w:after="0"/>
              <w:rPr>
                <w:sz w:val="20"/>
                <w:szCs w:val="20"/>
                <w:color w:val="auto"/>
              </w:rPr>
            </w:pPr>
            <w:r>
              <w:rPr>
                <w:rFonts w:ascii="Arial" w:cs="Arial" w:eastAsia="Arial" w:hAnsi="Arial"/>
                <w:sz w:val="22"/>
                <w:szCs w:val="22"/>
                <w:color w:val="auto"/>
                <w:w w:val="89"/>
              </w:rPr>
              <w:t>10</w:t>
            </w:r>
          </w:p>
        </w:tc>
      </w:tr>
      <w:tr>
        <w:trPr>
          <w:trHeight w:val="310"/>
        </w:trPr>
        <w:tc>
          <w:tcPr>
            <w:tcW w:w="8760" w:type="dxa"/>
            <w:vAlign w:val="bottom"/>
          </w:tcPr>
          <w:p>
            <w:pPr>
              <w:spacing w:after="0"/>
              <w:rPr>
                <w:sz w:val="20"/>
                <w:szCs w:val="20"/>
                <w:color w:val="auto"/>
              </w:rPr>
            </w:pPr>
            <w:r>
              <w:rPr>
                <w:rFonts w:ascii="Arial" w:cs="Arial" w:eastAsia="Arial" w:hAnsi="Arial"/>
                <w:sz w:val="22"/>
                <w:szCs w:val="22"/>
                <w:color w:val="auto"/>
              </w:rPr>
              <w:t>SECTION 8. MISCELLANEOUS</w:t>
            </w:r>
          </w:p>
        </w:tc>
        <w:tc>
          <w:tcPr>
            <w:tcW w:w="2080" w:type="dxa"/>
            <w:vAlign w:val="bottom"/>
          </w:tcPr>
          <w:p>
            <w:pPr>
              <w:ind w:left="1840"/>
              <w:spacing w:after="0"/>
              <w:rPr>
                <w:sz w:val="20"/>
                <w:szCs w:val="20"/>
                <w:color w:val="auto"/>
              </w:rPr>
            </w:pPr>
            <w:r>
              <w:rPr>
                <w:rFonts w:ascii="Arial" w:cs="Arial" w:eastAsia="Arial" w:hAnsi="Arial"/>
                <w:sz w:val="22"/>
                <w:szCs w:val="22"/>
                <w:color w:val="auto"/>
                <w:w w:val="89"/>
              </w:rPr>
              <w:t>11</w:t>
            </w:r>
          </w:p>
        </w:tc>
      </w:tr>
      <w:tr>
        <w:trPr>
          <w:trHeight w:val="311"/>
        </w:trPr>
        <w:tc>
          <w:tcPr>
            <w:tcW w:w="8760" w:type="dxa"/>
            <w:vAlign w:val="bottom"/>
          </w:tcPr>
          <w:p>
            <w:pPr>
              <w:spacing w:after="0"/>
              <w:rPr>
                <w:sz w:val="20"/>
                <w:szCs w:val="20"/>
                <w:color w:val="auto"/>
              </w:rPr>
            </w:pPr>
            <w:r>
              <w:rPr>
                <w:rFonts w:ascii="Arial" w:cs="Arial" w:eastAsia="Arial" w:hAnsi="Arial"/>
                <w:sz w:val="22"/>
                <w:szCs w:val="22"/>
                <w:color w:val="auto"/>
              </w:rPr>
              <w:t>SECTION 9. AMENDMENT, SUSPENSION, OR TERMINATION</w:t>
            </w:r>
          </w:p>
        </w:tc>
        <w:tc>
          <w:tcPr>
            <w:tcW w:w="2080" w:type="dxa"/>
            <w:vAlign w:val="bottom"/>
          </w:tcPr>
          <w:p>
            <w:pPr>
              <w:ind w:left="1840"/>
              <w:spacing w:after="0"/>
              <w:rPr>
                <w:sz w:val="20"/>
                <w:szCs w:val="20"/>
                <w:color w:val="auto"/>
              </w:rPr>
            </w:pPr>
            <w:r>
              <w:rPr>
                <w:rFonts w:ascii="Arial" w:cs="Arial" w:eastAsia="Arial" w:hAnsi="Arial"/>
                <w:sz w:val="22"/>
                <w:szCs w:val="22"/>
                <w:color w:val="auto"/>
                <w:w w:val="89"/>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 i -</w:t>
      </w:r>
    </w:p>
    <w:p>
      <w:pPr>
        <w:sectPr>
          <w:pgSz w:w="11900" w:h="16838" w:orient="portrait"/>
          <w:cols w:equalWidth="0" w:num="1">
            <w:col w:w="10840"/>
          </w:cols>
          <w:pgMar w:left="400" w:top="1440" w:right="659" w:bottom="1440" w:gutter="0" w:footer="0" w:header="0"/>
        </w:sectPr>
      </w:pPr>
    </w:p>
    <w:bookmarkStart w:id="294" w:name="page295"/>
    <w:bookmarkEnd w:id="294"/>
    <w:p>
      <w:pPr>
        <w:jc w:val="center"/>
        <w:ind w:right="-59"/>
        <w:spacing w:after="0"/>
        <w:rPr>
          <w:sz w:val="20"/>
          <w:szCs w:val="20"/>
          <w:color w:val="auto"/>
        </w:rPr>
      </w:pPr>
      <w:r>
        <w:rPr>
          <w:rFonts w:ascii="Arial" w:cs="Arial" w:eastAsia="Arial" w:hAnsi="Arial"/>
          <w:sz w:val="22"/>
          <w:szCs w:val="22"/>
          <w:b w:val="1"/>
          <w:bCs w:val="1"/>
          <w:color w:val="auto"/>
        </w:rPr>
        <w:t>The Loxo Oncology, Inc. Bonus Plan</w:t>
      </w:r>
    </w:p>
    <w:p>
      <w:pPr>
        <w:jc w:val="center"/>
        <w:ind w:right="-59"/>
        <w:spacing w:after="0"/>
        <w:rPr>
          <w:sz w:val="20"/>
          <w:szCs w:val="20"/>
          <w:color w:val="auto"/>
        </w:rPr>
      </w:pPr>
      <w:r>
        <w:rPr>
          <w:rFonts w:ascii="Arial" w:cs="Arial" w:eastAsia="Arial" w:hAnsi="Arial"/>
          <w:sz w:val="22"/>
          <w:szCs w:val="22"/>
          <w:b w:val="1"/>
          <w:bCs w:val="1"/>
          <w:color w:val="auto"/>
        </w:rPr>
        <w:t>(effective January 1, 2021)</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SECTION 1. PURPOSE</w:t>
      </w:r>
    </w:p>
    <w:p>
      <w:pPr>
        <w:spacing w:after="0" w:line="212" w:lineRule="exact"/>
        <w:rPr>
          <w:sz w:val="20"/>
          <w:szCs w:val="20"/>
          <w:color w:val="auto"/>
        </w:rPr>
      </w:pPr>
    </w:p>
    <w:p>
      <w:pPr>
        <w:ind w:right="200"/>
        <w:spacing w:after="0" w:line="218" w:lineRule="auto"/>
        <w:rPr>
          <w:sz w:val="20"/>
          <w:szCs w:val="20"/>
          <w:color w:val="auto"/>
        </w:rPr>
      </w:pPr>
      <w:r>
        <w:rPr>
          <w:rFonts w:ascii="Arial" w:cs="Arial" w:eastAsia="Arial" w:hAnsi="Arial"/>
          <w:sz w:val="22"/>
          <w:szCs w:val="22"/>
          <w:color w:val="auto"/>
        </w:rPr>
        <w:t>The purpose of The Loxo Oncology, Inc. Bonus Plan is to encourage and promote eligible employees to create and deliver innovative pharmaceutical-based health care solutions that enable people to live longer, healthier and more active lives, to outgrow our competitors through a constant stream of pharmaceutical innovation, and to materially increase shareholder value. The Plan is designed to accomplish the following key objectives:</w:t>
      </w:r>
    </w:p>
    <w:p>
      <w:pPr>
        <w:spacing w:after="0" w:line="188" w:lineRule="exact"/>
        <w:rPr>
          <w:sz w:val="20"/>
          <w:szCs w:val="20"/>
          <w:color w:val="auto"/>
        </w:rPr>
      </w:pPr>
    </w:p>
    <w:p>
      <w:pPr>
        <w:ind w:left="1580" w:right="40" w:hanging="924"/>
        <w:spacing w:after="0" w:line="223" w:lineRule="auto"/>
        <w:tabs>
          <w:tab w:leader="none" w:pos="1568" w:val="left"/>
        </w:tabs>
        <w:numPr>
          <w:ilvl w:val="0"/>
          <w:numId w:val="305"/>
        </w:numPr>
        <w:rPr>
          <w:rFonts w:ascii="Arial" w:cs="Arial" w:eastAsia="Arial" w:hAnsi="Arial"/>
          <w:sz w:val="22"/>
          <w:szCs w:val="22"/>
          <w:color w:val="auto"/>
        </w:rPr>
      </w:pPr>
      <w:r>
        <w:rPr>
          <w:rFonts w:ascii="Arial" w:cs="Arial" w:eastAsia="Arial" w:hAnsi="Arial"/>
          <w:sz w:val="22"/>
          <w:szCs w:val="22"/>
          <w:color w:val="auto"/>
        </w:rPr>
        <w:t>motivate superior employee performance through the implementation of a Company performance-based bonus system for all eligible management employees, United States employees and other employees as may be designated from time to time;</w:t>
      </w:r>
    </w:p>
    <w:p>
      <w:pPr>
        <w:spacing w:after="0" w:line="185" w:lineRule="exact"/>
        <w:rPr>
          <w:rFonts w:ascii="Arial" w:cs="Arial" w:eastAsia="Arial" w:hAnsi="Arial"/>
          <w:sz w:val="22"/>
          <w:szCs w:val="22"/>
          <w:color w:val="auto"/>
        </w:rPr>
      </w:pPr>
    </w:p>
    <w:p>
      <w:pPr>
        <w:ind w:left="1580" w:hanging="924"/>
        <w:spacing w:after="0"/>
        <w:tabs>
          <w:tab w:leader="none" w:pos="1580" w:val="left"/>
        </w:tabs>
        <w:numPr>
          <w:ilvl w:val="0"/>
          <w:numId w:val="305"/>
        </w:numPr>
        <w:rPr>
          <w:rFonts w:ascii="Arial" w:cs="Arial" w:eastAsia="Arial" w:hAnsi="Arial"/>
          <w:sz w:val="21"/>
          <w:szCs w:val="21"/>
          <w:color w:val="auto"/>
        </w:rPr>
      </w:pPr>
      <w:r>
        <w:rPr>
          <w:rFonts w:ascii="Arial" w:cs="Arial" w:eastAsia="Arial" w:hAnsi="Arial"/>
          <w:sz w:val="21"/>
          <w:szCs w:val="21"/>
          <w:color w:val="auto"/>
        </w:rPr>
        <w:t>create a direct relationship between key company measurements and individual bonus payouts; and</w:t>
      </w:r>
    </w:p>
    <w:p>
      <w:pPr>
        <w:spacing w:after="0" w:line="217" w:lineRule="exact"/>
        <w:rPr>
          <w:rFonts w:ascii="Arial" w:cs="Arial" w:eastAsia="Arial" w:hAnsi="Arial"/>
          <w:sz w:val="21"/>
          <w:szCs w:val="21"/>
          <w:color w:val="auto"/>
        </w:rPr>
      </w:pPr>
    </w:p>
    <w:p>
      <w:pPr>
        <w:ind w:left="1580" w:hanging="924"/>
        <w:spacing w:after="0" w:line="268" w:lineRule="auto"/>
        <w:tabs>
          <w:tab w:leader="none" w:pos="1568"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enable the Company to attract and retain employees that will be instrumental in driving sustained growth and performance of the Company by providing a competitive bonus program that rewards outstanding performance consistent with the Company’s mission, values and increased shareholder value of Lilly.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SECTION 2. DEFINITIONS</w:t>
      </w:r>
    </w:p>
    <w:p>
      <w:pPr>
        <w:spacing w:after="0" w:line="212" w:lineRule="exact"/>
        <w:rPr>
          <w:sz w:val="20"/>
          <w:szCs w:val="20"/>
          <w:color w:val="auto"/>
        </w:rPr>
      </w:pPr>
    </w:p>
    <w:p>
      <w:pPr>
        <w:ind w:right="460"/>
        <w:spacing w:after="0" w:line="232" w:lineRule="auto"/>
        <w:rPr>
          <w:sz w:val="20"/>
          <w:szCs w:val="20"/>
          <w:color w:val="auto"/>
        </w:rPr>
      </w:pPr>
      <w:r>
        <w:rPr>
          <w:rFonts w:ascii="Arial" w:cs="Arial" w:eastAsia="Arial" w:hAnsi="Arial"/>
          <w:sz w:val="22"/>
          <w:szCs w:val="22"/>
          <w:color w:val="auto"/>
        </w:rPr>
        <w:t>The following words and phrases as used in this Plan will have the following meanings unless a different meaning is clearly required by the context. Masculine pronouns will refer both to males and to females:</w:t>
      </w:r>
    </w:p>
    <w:p>
      <w:pPr>
        <w:spacing w:after="0" w:line="186" w:lineRule="exact"/>
        <w:rPr>
          <w:sz w:val="20"/>
          <w:szCs w:val="20"/>
          <w:color w:val="auto"/>
        </w:rPr>
      </w:pPr>
    </w:p>
    <w:p>
      <w:pPr>
        <w:ind w:left="660" w:right="120" w:hanging="647"/>
        <w:spacing w:after="0" w:line="223"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u w:val="single" w:color="auto"/>
          <w:color w:val="auto"/>
        </w:rPr>
        <w:t xml:space="preserve">Additional Cash Award </w:t>
      </w:r>
      <w:r>
        <w:rPr>
          <w:rFonts w:ascii="Arial" w:cs="Arial" w:eastAsia="Arial" w:hAnsi="Arial"/>
          <w:sz w:val="22"/>
          <w:szCs w:val="22"/>
          <w:color w:val="auto"/>
        </w:rPr>
        <w:t>means an additional incentive opportunity for Eligible Employees as described in subsection 5.4</w:t>
      </w:r>
      <w:r>
        <w:rPr>
          <w:rFonts w:ascii="Arial" w:cs="Arial" w:eastAsia="Arial" w:hAnsi="Arial"/>
          <w:sz w:val="22"/>
          <w:szCs w:val="22"/>
          <w:u w:val="single" w:color="auto"/>
          <w:color w:val="auto"/>
        </w:rPr>
        <w:t xml:space="preserve"> </w:t>
      </w:r>
      <w:r>
        <w:rPr>
          <w:rFonts w:ascii="Arial" w:cs="Arial" w:eastAsia="Arial" w:hAnsi="Arial"/>
          <w:sz w:val="22"/>
          <w:szCs w:val="22"/>
          <w:color w:val="auto"/>
        </w:rPr>
        <w:t>below. The Additional Cash Award is available to Eligible Employees beginning with the 2020 Applicable Year and thereafter.</w:t>
      </w:r>
    </w:p>
    <w:p>
      <w:pPr>
        <w:spacing w:after="0" w:line="186" w:lineRule="exact"/>
        <w:rPr>
          <w:sz w:val="20"/>
          <w:szCs w:val="20"/>
          <w:color w:val="auto"/>
        </w:rPr>
      </w:pPr>
    </w:p>
    <w:p>
      <w:pPr>
        <w:ind w:left="660" w:right="60" w:hanging="647"/>
        <w:spacing w:after="0" w:line="223"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 xml:space="preserve">Applicable Year </w:t>
      </w:r>
      <w:r>
        <w:rPr>
          <w:rFonts w:ascii="Arial" w:cs="Arial" w:eastAsia="Arial" w:hAnsi="Arial"/>
          <w:sz w:val="22"/>
          <w:szCs w:val="22"/>
          <w:color w:val="auto"/>
        </w:rPr>
        <w:t>means the calendar year immediately preceding the year in which payment of the Company Bonus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for 2020 and thereafter, Additional Cash Award) is payable pursuant to Section 6. For example, the Applicable Year for 2022 payout is January 1, 2021 through December 31, 2021.</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 xml:space="preserve">Bonus Target </w:t>
      </w:r>
      <w:r>
        <w:rPr>
          <w:rFonts w:ascii="Arial" w:cs="Arial" w:eastAsia="Arial" w:hAnsi="Arial"/>
          <w:sz w:val="19"/>
          <w:szCs w:val="19"/>
          <w:color w:val="auto"/>
        </w:rPr>
        <w:t>means the percentage of Participant Earnings for each Participant as described in Section 5.3(a) below.</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 xml:space="preserve">Code </w:t>
      </w:r>
      <w:r>
        <w:rPr>
          <w:rFonts w:ascii="Arial" w:cs="Arial" w:eastAsia="Arial" w:hAnsi="Arial"/>
          <w:sz w:val="19"/>
          <w:szCs w:val="19"/>
          <w:color w:val="auto"/>
        </w:rPr>
        <w:t>means the Internal Revenue Code of 1986, as amended from time to time.</w:t>
      </w:r>
    </w:p>
    <w:p>
      <w:pPr>
        <w:spacing w:after="0" w:line="206" w:lineRule="exact"/>
        <w:rPr>
          <w:sz w:val="20"/>
          <w:szCs w:val="20"/>
          <w:color w:val="auto"/>
        </w:rPr>
      </w:pPr>
    </w:p>
    <w:p>
      <w:pPr>
        <w:ind w:left="660" w:right="40" w:hanging="647"/>
        <w:spacing w:after="0" w:line="232" w:lineRule="auto"/>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u w:val="single" w:color="auto"/>
          <w:color w:val="auto"/>
        </w:rPr>
        <w:t xml:space="preserve">Committee </w:t>
      </w:r>
      <w:r>
        <w:rPr>
          <w:rFonts w:ascii="Arial" w:cs="Arial" w:eastAsia="Arial" w:hAnsi="Arial"/>
          <w:sz w:val="22"/>
          <w:szCs w:val="22"/>
          <w:color w:val="auto"/>
        </w:rPr>
        <w:t>means (i) with respect to members of the Committee, the Lilly Review Committee; and (ii) with respect to all</w:t>
      </w:r>
      <w:r>
        <w:rPr>
          <w:rFonts w:ascii="Arial" w:cs="Arial" w:eastAsia="Arial" w:hAnsi="Arial"/>
          <w:sz w:val="22"/>
          <w:szCs w:val="22"/>
          <w:u w:val="single" w:color="auto"/>
          <w:color w:val="auto"/>
        </w:rPr>
        <w:t xml:space="preserve"> </w:t>
      </w:r>
      <w:r>
        <w:rPr>
          <w:rFonts w:ascii="Arial" w:cs="Arial" w:eastAsia="Arial" w:hAnsi="Arial"/>
          <w:sz w:val="22"/>
          <w:szCs w:val="22"/>
          <w:color w:val="auto"/>
        </w:rPr>
        <w:t>other Eligible Employees, the Loxo Oncology Steering Committee or its designee.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 xml:space="preserve">Company </w:t>
      </w:r>
      <w:r>
        <w:rPr>
          <w:rFonts w:ascii="Arial" w:cs="Arial" w:eastAsia="Arial" w:hAnsi="Arial"/>
          <w:sz w:val="19"/>
          <w:szCs w:val="19"/>
          <w:color w:val="auto"/>
        </w:rPr>
        <w:t>means Loxo Oncology, Inc.</w:t>
      </w:r>
    </w:p>
    <w:p>
      <w:pPr>
        <w:spacing w:after="0" w:line="206" w:lineRule="exact"/>
        <w:rPr>
          <w:sz w:val="20"/>
          <w:szCs w:val="20"/>
          <w:color w:val="auto"/>
        </w:rPr>
      </w:pPr>
    </w:p>
    <w:p>
      <w:pPr>
        <w:ind w:left="660" w:right="480" w:hanging="647"/>
        <w:spacing w:after="0" w:line="232" w:lineRule="auto"/>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2"/>
          <w:szCs w:val="22"/>
          <w:u w:val="single" w:color="auto"/>
          <w:color w:val="auto"/>
        </w:rPr>
        <w:t xml:space="preserve">Company Bonus </w:t>
      </w:r>
      <w:r>
        <w:rPr>
          <w:rFonts w:ascii="Arial" w:cs="Arial" w:eastAsia="Arial" w:hAnsi="Arial"/>
          <w:sz w:val="22"/>
          <w:szCs w:val="22"/>
          <w:color w:val="auto"/>
        </w:rPr>
        <w:t>means the amount of bonus compensation payable to a Participant as described in Section 5 below.</w:t>
      </w:r>
      <w:r>
        <w:rPr>
          <w:rFonts w:ascii="Arial" w:cs="Arial" w:eastAsia="Arial" w:hAnsi="Arial"/>
          <w:sz w:val="22"/>
          <w:szCs w:val="22"/>
          <w:u w:val="single" w:color="auto"/>
          <w:color w:val="auto"/>
        </w:rPr>
        <w:t xml:space="preserve"> </w:t>
      </w:r>
      <w:r>
        <w:rPr>
          <w:rFonts w:ascii="Arial" w:cs="Arial" w:eastAsia="Arial" w:hAnsi="Arial"/>
          <w:sz w:val="22"/>
          <w:szCs w:val="22"/>
          <w:color w:val="auto"/>
        </w:rPr>
        <w:t>Notwithstanding the foregoing, however,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- 1 -</w:t>
      </w:r>
    </w:p>
    <w:p>
      <w:pPr>
        <w:sectPr>
          <w:pgSz w:w="11900" w:h="16838" w:orient="portrait"/>
          <w:cols w:equalWidth="0" w:num="1">
            <w:col w:w="11180"/>
          </w:cols>
          <w:pgMar w:left="320" w:top="1395" w:right="399" w:bottom="1440" w:gutter="0" w:footer="0" w:header="0"/>
        </w:sectPr>
      </w:pPr>
    </w:p>
    <w:bookmarkStart w:id="295" w:name="page296"/>
    <w:bookmarkEnd w:id="295"/>
    <w:p>
      <w:pPr>
        <w:jc w:val="both"/>
        <w:ind w:left="660"/>
        <w:spacing w:after="0" w:line="268" w:lineRule="auto"/>
        <w:rPr>
          <w:sz w:val="20"/>
          <w:szCs w:val="20"/>
          <w:color w:val="auto"/>
        </w:rPr>
      </w:pPr>
      <w:r>
        <w:rPr>
          <w:rFonts w:ascii="Arial" w:cs="Arial" w:eastAsia="Arial" w:hAnsi="Arial"/>
          <w:sz w:val="19"/>
          <w:szCs w:val="19"/>
          <w:color w:val="auto"/>
        </w:rPr>
        <w:t>may determine, in its sole discretion, to reduce the amount of a Participant’s Company Bonus if such Participant becomes eligible to participate in such other bonus program of the Company as may be specifically designated by the Committee. Such reduction may be by a stated percentage up to and including 100% of the Company Bonus.</w:t>
      </w:r>
    </w:p>
    <w:p>
      <w:pPr>
        <w:spacing w:after="0" w:line="159" w:lineRule="exact"/>
        <w:rPr>
          <w:sz w:val="20"/>
          <w:szCs w:val="20"/>
          <w:color w:val="auto"/>
        </w:rPr>
      </w:pPr>
    </w:p>
    <w:p>
      <w:pPr>
        <w:ind w:left="660" w:right="60" w:hanging="647"/>
        <w:spacing w:after="0" w:line="232" w:lineRule="auto"/>
        <w:tabs>
          <w:tab w:leader="none" w:pos="6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2"/>
          <w:szCs w:val="22"/>
          <w:u w:val="single" w:color="auto"/>
          <w:color w:val="auto"/>
        </w:rPr>
        <w:t xml:space="preserve">Company Performance Bonus Multiple </w:t>
      </w:r>
      <w:r>
        <w:rPr>
          <w:rFonts w:ascii="Arial" w:cs="Arial" w:eastAsia="Arial" w:hAnsi="Arial"/>
          <w:sz w:val="22"/>
          <w:szCs w:val="22"/>
          <w:color w:val="auto"/>
        </w:rPr>
        <w:t>means the phrase as defined by the terms of The Lilly Bonus Plan and calculated</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consistent with the terms of such plan.</w:t>
      </w:r>
    </w:p>
    <w:p>
      <w:pPr>
        <w:spacing w:after="0" w:line="186" w:lineRule="exact"/>
        <w:rPr>
          <w:sz w:val="20"/>
          <w:szCs w:val="20"/>
          <w:color w:val="auto"/>
        </w:rPr>
      </w:pPr>
    </w:p>
    <w:p>
      <w:pPr>
        <w:ind w:left="660" w:right="300" w:hanging="647"/>
        <w:spacing w:after="0" w:line="218" w:lineRule="auto"/>
        <w:tabs>
          <w:tab w:leader="none" w:pos="6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2"/>
          <w:szCs w:val="22"/>
          <w:u w:val="single" w:color="auto"/>
          <w:color w:val="auto"/>
        </w:rPr>
        <w:t xml:space="preserve">Disabled </w:t>
      </w:r>
      <w:r>
        <w:rPr>
          <w:rFonts w:ascii="Arial" w:cs="Arial" w:eastAsia="Arial" w:hAnsi="Arial"/>
          <w:sz w:val="22"/>
          <w:szCs w:val="22"/>
          <w:color w:val="auto"/>
        </w:rPr>
        <w:t>means a Participant employed by the Company who has become eligible for a payment under The TriNet IV</w:t>
      </w:r>
      <w:r>
        <w:rPr>
          <w:rFonts w:ascii="Arial" w:cs="Arial" w:eastAsia="Arial" w:hAnsi="Arial"/>
          <w:sz w:val="22"/>
          <w:szCs w:val="22"/>
          <w:u w:val="single" w:color="auto"/>
          <w:color w:val="auto"/>
        </w:rPr>
        <w:t xml:space="preserve"> </w:t>
      </w:r>
      <w:r>
        <w:rPr>
          <w:rFonts w:ascii="Arial" w:cs="Arial" w:eastAsia="Arial" w:hAnsi="Arial"/>
          <w:sz w:val="22"/>
          <w:szCs w:val="22"/>
          <w:color w:val="auto"/>
        </w:rPr>
        <w:t>Long-Term Disability Plan, assuming eligibility to participate in that plan; or a Participant employed by Lilly who has become eligible for a payment under The Eli Lilly and Company Long Term Disability Plan, assuming eligibility to participate in that plan.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 xml:space="preserve">Effective Date </w:t>
      </w:r>
      <w:r>
        <w:rPr>
          <w:rFonts w:ascii="Arial" w:cs="Arial" w:eastAsia="Arial" w:hAnsi="Arial"/>
          <w:sz w:val="19"/>
          <w:szCs w:val="19"/>
          <w:color w:val="auto"/>
        </w:rPr>
        <w:t>means January 1, 2020, as amended from time to time.</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 xml:space="preserve">Eligible Employee </w:t>
      </w:r>
      <w:r>
        <w:rPr>
          <w:rFonts w:ascii="Arial" w:cs="Arial" w:eastAsia="Arial" w:hAnsi="Arial"/>
          <w:sz w:val="19"/>
          <w:szCs w:val="19"/>
          <w:color w:val="auto"/>
        </w:rPr>
        <w:t>means:</w:t>
      </w:r>
    </w:p>
    <w:p>
      <w:pPr>
        <w:spacing w:after="0" w:line="206" w:lineRule="exact"/>
        <w:rPr>
          <w:sz w:val="20"/>
          <w:szCs w:val="20"/>
          <w:color w:val="auto"/>
        </w:rPr>
      </w:pPr>
    </w:p>
    <w:p>
      <w:pPr>
        <w:ind w:left="980" w:hanging="324"/>
        <w:spacing w:after="0" w:line="218" w:lineRule="auto"/>
        <w:tabs>
          <w:tab w:leader="none" w:pos="968" w:val="left"/>
        </w:tabs>
        <w:numPr>
          <w:ilvl w:val="0"/>
          <w:numId w:val="306"/>
        </w:numPr>
        <w:rPr>
          <w:rFonts w:ascii="Arial" w:cs="Arial" w:eastAsia="Arial" w:hAnsi="Arial"/>
          <w:sz w:val="22"/>
          <w:szCs w:val="22"/>
          <w:color w:val="auto"/>
        </w:rPr>
      </w:pPr>
      <w:r>
        <w:rPr>
          <w:rFonts w:ascii="Arial" w:cs="Arial" w:eastAsia="Arial" w:hAnsi="Arial"/>
          <w:sz w:val="22"/>
          <w:szCs w:val="22"/>
          <w:color w:val="auto"/>
        </w:rPr>
        <w:t>a person who is (1) employed as an employee by the Company on a scheduled basis of twenty (20) or more hours per week and is scheduled to work at least five (5) months per year; and (2) receiving compensation, including short-term disability under The TriNet IV Short-Term Disability Program or similar short-term disability program from the Company for services rendered as an employee; and</w:t>
      </w:r>
    </w:p>
    <w:p>
      <w:pPr>
        <w:spacing w:after="0" w:line="187" w:lineRule="exact"/>
        <w:rPr>
          <w:rFonts w:ascii="Arial" w:cs="Arial" w:eastAsia="Arial" w:hAnsi="Arial"/>
          <w:sz w:val="22"/>
          <w:szCs w:val="22"/>
          <w:color w:val="auto"/>
        </w:rPr>
      </w:pPr>
    </w:p>
    <w:p>
      <w:pPr>
        <w:ind w:left="980" w:right="60" w:hanging="324"/>
        <w:spacing w:after="0" w:line="252" w:lineRule="auto"/>
        <w:tabs>
          <w:tab w:leader="none" w:pos="98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a person who is (1) employed as an employee by Lilly or a wholly-owned subsidiary of Lilly on a scheduled basis of twenty (20) or more hours per week and is scheduled to work at least five (5) months per year; and (2) receiving compensation, including short-term disability under Lilly’s Short-Term Disability Illness Pay Program for services rendered as an employee; and (3) designated by the Committee (either on an individual, group, or combined basis) as a member of “Loxo Oncology at Lilly” for purposes of eligibility to participate in this Plan.</w:t>
      </w:r>
    </w:p>
    <w:p>
      <w:pPr>
        <w:spacing w:after="0" w:line="175" w:lineRule="exact"/>
        <w:rPr>
          <w:rFonts w:ascii="Arial" w:cs="Arial" w:eastAsia="Arial" w:hAnsi="Arial"/>
          <w:sz w:val="19"/>
          <w:szCs w:val="19"/>
          <w:color w:val="auto"/>
        </w:rPr>
      </w:pPr>
    </w:p>
    <w:p>
      <w:pPr>
        <w:ind w:left="960" w:hanging="304"/>
        <w:spacing w:after="0"/>
        <w:tabs>
          <w:tab w:leader="none" w:pos="96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term “Eligible Employee” will not include:</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a person who is Disabled;</w:t>
      </w:r>
    </w:p>
    <w:p>
      <w:pPr>
        <w:spacing w:after="0" w:line="206" w:lineRule="exact"/>
        <w:rPr>
          <w:rFonts w:ascii="Arial" w:cs="Arial" w:eastAsia="Arial" w:hAnsi="Arial"/>
          <w:sz w:val="22"/>
          <w:szCs w:val="22"/>
          <w:color w:val="auto"/>
        </w:rPr>
      </w:pPr>
    </w:p>
    <w:p>
      <w:pPr>
        <w:ind w:left="1960" w:right="140" w:hanging="656"/>
        <w:spacing w:after="0" w:line="223" w:lineRule="auto"/>
        <w:tabs>
          <w:tab w:leader="none" w:pos="1955" w:val="left"/>
        </w:tabs>
        <w:numPr>
          <w:ilvl w:val="1"/>
          <w:numId w:val="306"/>
        </w:numPr>
        <w:rPr>
          <w:rFonts w:ascii="Arial" w:cs="Arial" w:eastAsia="Arial" w:hAnsi="Arial"/>
          <w:sz w:val="22"/>
          <w:szCs w:val="22"/>
          <w:color w:val="auto"/>
        </w:rPr>
      </w:pPr>
      <w:r>
        <w:rPr>
          <w:rFonts w:ascii="Arial" w:cs="Arial" w:eastAsia="Arial" w:hAnsi="Arial"/>
          <w:sz w:val="22"/>
          <w:szCs w:val="22"/>
          <w:color w:val="auto"/>
        </w:rPr>
        <w:t>a person who is a “leased employee” within the meaning of Section 414(n) of the Internal Revenue Code of 1986, as amended, or whose basic compensation for services on behalf of the Company is not paid directly by the Company;</w:t>
      </w:r>
    </w:p>
    <w:p>
      <w:pPr>
        <w:spacing w:after="0" w:line="185" w:lineRule="exact"/>
        <w:rPr>
          <w:rFonts w:ascii="Arial" w:cs="Arial" w:eastAsia="Arial" w:hAnsi="Arial"/>
          <w:sz w:val="22"/>
          <w:szCs w:val="22"/>
          <w:color w:val="auto"/>
        </w:rPr>
      </w:pPr>
    </w:p>
    <w:p>
      <w:pPr>
        <w:ind w:left="1960" w:right="620" w:hanging="656"/>
        <w:spacing w:after="0" w:line="232" w:lineRule="auto"/>
        <w:tabs>
          <w:tab w:leader="none" w:pos="1955" w:val="left"/>
        </w:tabs>
        <w:numPr>
          <w:ilvl w:val="1"/>
          <w:numId w:val="306"/>
        </w:numPr>
        <w:rPr>
          <w:rFonts w:ascii="Arial" w:cs="Arial" w:eastAsia="Arial" w:hAnsi="Arial"/>
          <w:sz w:val="22"/>
          <w:szCs w:val="22"/>
          <w:color w:val="auto"/>
        </w:rPr>
      </w:pPr>
      <w:r>
        <w:rPr>
          <w:rFonts w:ascii="Arial" w:cs="Arial" w:eastAsia="Arial" w:hAnsi="Arial"/>
          <w:sz w:val="22"/>
          <w:szCs w:val="22"/>
          <w:color w:val="auto"/>
        </w:rPr>
        <w:t>a person who is classified as a special status employee because his employment status is temporary, seasonal, or otherwise inconsistent with regular employment status;</w:t>
      </w:r>
    </w:p>
    <w:p>
      <w:pPr>
        <w:spacing w:after="0" w:line="185" w:lineRule="exact"/>
        <w:rPr>
          <w:rFonts w:ascii="Arial" w:cs="Arial" w:eastAsia="Arial" w:hAnsi="Arial"/>
          <w:sz w:val="22"/>
          <w:szCs w:val="22"/>
          <w:color w:val="auto"/>
        </w:rPr>
      </w:pPr>
    </w:p>
    <w:p>
      <w:pPr>
        <w:ind w:left="1960" w:right="40" w:hanging="656"/>
        <w:spacing w:after="0" w:line="247" w:lineRule="auto"/>
        <w:tabs>
          <w:tab w:leader="none" w:pos="1955" w:val="left"/>
        </w:tabs>
        <w:numPr>
          <w:ilvl w:val="1"/>
          <w:numId w:val="306"/>
        </w:numPr>
        <w:rPr>
          <w:rFonts w:ascii="Arial" w:cs="Arial" w:eastAsia="Arial" w:hAnsi="Arial"/>
          <w:sz w:val="21"/>
          <w:szCs w:val="21"/>
          <w:color w:val="auto"/>
        </w:rPr>
      </w:pPr>
      <w:r>
        <w:rPr>
          <w:rFonts w:ascii="Arial" w:cs="Arial" w:eastAsia="Arial" w:hAnsi="Arial"/>
          <w:sz w:val="21"/>
          <w:szCs w:val="21"/>
          <w:color w:val="auto"/>
        </w:rPr>
        <w:t>a person who is eligible to participate in a separate bonus or incentive plan for eligible employees of Loxo Oncology, Inc. as may be specifically designated by the Committee or its designee;</w:t>
      </w:r>
    </w:p>
    <w:p>
      <w:pPr>
        <w:spacing w:after="0" w:line="177" w:lineRule="exact"/>
        <w:rPr>
          <w:rFonts w:ascii="Arial" w:cs="Arial" w:eastAsia="Arial" w:hAnsi="Arial"/>
          <w:sz w:val="21"/>
          <w:szCs w:val="21"/>
          <w:color w:val="auto"/>
        </w:rPr>
      </w:pPr>
    </w:p>
    <w:p>
      <w:pPr>
        <w:ind w:left="1960" w:right="840" w:hanging="656"/>
        <w:spacing w:after="0" w:line="232" w:lineRule="auto"/>
        <w:tabs>
          <w:tab w:leader="none" w:pos="1955" w:val="left"/>
        </w:tabs>
        <w:numPr>
          <w:ilvl w:val="1"/>
          <w:numId w:val="306"/>
        </w:numPr>
        <w:rPr>
          <w:rFonts w:ascii="Arial" w:cs="Arial" w:eastAsia="Arial" w:hAnsi="Arial"/>
          <w:sz w:val="22"/>
          <w:szCs w:val="22"/>
          <w:color w:val="auto"/>
        </w:rPr>
      </w:pPr>
      <w:r>
        <w:rPr>
          <w:rFonts w:ascii="Arial" w:cs="Arial" w:eastAsia="Arial" w:hAnsi="Arial"/>
          <w:sz w:val="22"/>
          <w:szCs w:val="22"/>
          <w:color w:val="auto"/>
        </w:rPr>
        <w:t>a person who submits to the Committee in writing a request that he not be considered eligible for participation in the Plan;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ind w:left="5580" w:hanging="136"/>
        <w:spacing w:after="0"/>
        <w:tabs>
          <w:tab w:leader="none" w:pos="5580" w:val="left"/>
        </w:tabs>
        <w:numPr>
          <w:ilvl w:val="2"/>
          <w:numId w:val="30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160"/>
          </w:cols>
          <w:pgMar w:left="320" w:top="1414" w:right="419" w:bottom="1440" w:gutter="0" w:footer="0" w:header="0"/>
        </w:sectPr>
      </w:pPr>
    </w:p>
    <w:bookmarkStart w:id="296" w:name="page297"/>
    <w:bookmarkEnd w:id="296"/>
    <w:p>
      <w:pPr>
        <w:ind w:left="1960" w:right="800" w:hanging="656"/>
        <w:spacing w:after="0" w:line="232" w:lineRule="auto"/>
        <w:tabs>
          <w:tab w:leader="none" w:pos="1955" w:val="left"/>
        </w:tabs>
        <w:numPr>
          <w:ilvl w:val="1"/>
          <w:numId w:val="307"/>
        </w:numPr>
        <w:rPr>
          <w:rFonts w:ascii="Arial" w:cs="Arial" w:eastAsia="Arial" w:hAnsi="Arial"/>
          <w:sz w:val="22"/>
          <w:szCs w:val="22"/>
          <w:color w:val="auto"/>
        </w:rPr>
      </w:pPr>
      <w:r>
        <w:rPr>
          <w:rFonts w:ascii="Arial" w:cs="Arial" w:eastAsia="Arial" w:hAnsi="Arial"/>
          <w:sz w:val="22"/>
          <w:szCs w:val="22"/>
          <w:color w:val="auto"/>
        </w:rPr>
        <w:t>any other category of employees designated by the Committee in its discretion with respect to any Applicable Year.</w:t>
      </w:r>
    </w:p>
    <w:p>
      <w:pPr>
        <w:spacing w:after="0" w:line="185" w:lineRule="exact"/>
        <w:rPr>
          <w:rFonts w:ascii="Arial" w:cs="Arial" w:eastAsia="Arial" w:hAnsi="Arial"/>
          <w:sz w:val="22"/>
          <w:szCs w:val="22"/>
          <w:color w:val="auto"/>
        </w:rPr>
      </w:pPr>
    </w:p>
    <w:p>
      <w:pPr>
        <w:ind w:left="980" w:hanging="324"/>
        <w:spacing w:after="0" w:line="252" w:lineRule="auto"/>
        <w:tabs>
          <w:tab w:leader="none" w:pos="980" w:val="left"/>
        </w:tabs>
        <w:numPr>
          <w:ilvl w:val="0"/>
          <w:numId w:val="308"/>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term Eligible Employee will not include any person who is not so recorded on the payroll records of the Company, including any such person who is subsequently reclassified by a court of law or regulatory body as a common law employee of the Company. Consistent with the foregoing, and for purposes of clarification only, the term employee or Eligible Employee does not include any individual who performs services for the Company as an independent contractor or under any other non-employee classification.</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 xml:space="preserve">Lilly </w:t>
      </w:r>
      <w:r>
        <w:rPr>
          <w:rFonts w:ascii="Arial" w:cs="Arial" w:eastAsia="Arial" w:hAnsi="Arial"/>
          <w:sz w:val="19"/>
          <w:szCs w:val="19"/>
          <w:color w:val="auto"/>
        </w:rPr>
        <w:t>means Eli Lilly and Company.</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 xml:space="preserve">Participant </w:t>
      </w:r>
      <w:r>
        <w:rPr>
          <w:rFonts w:ascii="Arial" w:cs="Arial" w:eastAsia="Arial" w:hAnsi="Arial"/>
          <w:sz w:val="19"/>
          <w:szCs w:val="19"/>
          <w:color w:val="auto"/>
        </w:rPr>
        <w:t>means an Eligible Employee who is participating in the Plan.</w:t>
      </w:r>
    </w:p>
    <w:p>
      <w:pPr>
        <w:spacing w:after="0" w:line="206" w:lineRule="exact"/>
        <w:rPr>
          <w:sz w:val="20"/>
          <w:szCs w:val="20"/>
          <w:color w:val="auto"/>
        </w:rPr>
      </w:pPr>
    </w:p>
    <w:p>
      <w:pPr>
        <w:ind w:left="660" w:right="340" w:hanging="647"/>
        <w:spacing w:after="0" w:line="232" w:lineRule="auto"/>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2"/>
          <w:szCs w:val="22"/>
          <w:u w:val="single" w:color="auto"/>
          <w:color w:val="auto"/>
        </w:rPr>
        <w:t xml:space="preserve">Participant Earnings </w:t>
      </w:r>
      <w:r>
        <w:rPr>
          <w:rFonts w:ascii="Arial" w:cs="Arial" w:eastAsia="Arial" w:hAnsi="Arial"/>
          <w:sz w:val="22"/>
          <w:szCs w:val="22"/>
          <w:color w:val="auto"/>
        </w:rPr>
        <w:t>means (A) those amounts described below that are paid during the portion of the Applicable Year</w:t>
      </w:r>
      <w:r>
        <w:rPr>
          <w:rFonts w:ascii="Arial" w:cs="Arial" w:eastAsia="Arial" w:hAnsi="Arial"/>
          <w:sz w:val="22"/>
          <w:szCs w:val="22"/>
          <w:u w:val="single" w:color="auto"/>
          <w:color w:val="auto"/>
        </w:rPr>
        <w:t xml:space="preserve"> </w:t>
      </w:r>
      <w:r>
        <w:rPr>
          <w:rFonts w:ascii="Arial" w:cs="Arial" w:eastAsia="Arial" w:hAnsi="Arial"/>
          <w:sz w:val="22"/>
          <w:szCs w:val="22"/>
          <w:color w:val="auto"/>
        </w:rPr>
        <w:t>during which the employee is a Participant in the Plan:</w:t>
      </w:r>
    </w:p>
    <w:p>
      <w:pPr>
        <w:spacing w:after="0" w:line="186" w:lineRule="exact"/>
        <w:rPr>
          <w:sz w:val="20"/>
          <w:szCs w:val="20"/>
          <w:color w:val="auto"/>
        </w:rPr>
      </w:pPr>
    </w:p>
    <w:p>
      <w:pPr>
        <w:ind w:left="2760" w:right="500" w:hanging="646"/>
        <w:spacing w:after="0" w:line="247" w:lineRule="auto"/>
        <w:tabs>
          <w:tab w:leader="none" w:pos="2748" w:val="left"/>
        </w:tabs>
        <w:numPr>
          <w:ilvl w:val="1"/>
          <w:numId w:val="309"/>
        </w:numPr>
        <w:rPr>
          <w:rFonts w:ascii="Arial" w:cs="Arial" w:eastAsia="Arial" w:hAnsi="Arial"/>
          <w:sz w:val="19"/>
          <w:szCs w:val="19"/>
          <w:color w:val="auto"/>
        </w:rPr>
      </w:pPr>
      <w:r>
        <w:rPr>
          <w:rFonts w:ascii="Arial" w:cs="Arial" w:eastAsia="Arial" w:hAnsi="Arial"/>
          <w:sz w:val="19"/>
          <w:szCs w:val="19"/>
          <w:color w:val="auto"/>
        </w:rPr>
        <w:t>regular compensation, overtime, shift premiums and other forms of additional compensation determined by and paid currently pursuant to an established formula or procedure;</w:t>
      </w:r>
    </w:p>
    <w:p>
      <w:pPr>
        <w:ind w:left="2760" w:right="80" w:hanging="646"/>
        <w:spacing w:after="0" w:line="204" w:lineRule="auto"/>
        <w:tabs>
          <w:tab w:leader="none" w:pos="2754" w:val="left"/>
        </w:tabs>
        <w:numPr>
          <w:ilvl w:val="1"/>
          <w:numId w:val="309"/>
        </w:numPr>
        <w:rPr>
          <w:rFonts w:ascii="Arial" w:cs="Arial" w:eastAsia="Arial" w:hAnsi="Arial"/>
          <w:sz w:val="22"/>
          <w:szCs w:val="22"/>
          <w:color w:val="auto"/>
        </w:rPr>
      </w:pPr>
      <w:r>
        <w:rPr>
          <w:rFonts w:ascii="Arial" w:cs="Arial" w:eastAsia="Arial" w:hAnsi="Arial"/>
          <w:sz w:val="22"/>
          <w:szCs w:val="22"/>
          <w:color w:val="auto"/>
        </w:rPr>
        <w:t>salary reduction contributions to The Loxo Oncology, Inc. 401(k) Plan or The Lilly Employee 401(k) Plan or elective contributions under any similar tax-qualified plan that is intended to meet the requirements of Section 401(k) of the Internal Revenue Code or similar Company savings program;</w:t>
      </w:r>
    </w:p>
    <w:p>
      <w:pPr>
        <w:spacing w:after="0" w:line="3" w:lineRule="exact"/>
        <w:rPr>
          <w:rFonts w:ascii="Arial" w:cs="Arial" w:eastAsia="Arial" w:hAnsi="Arial"/>
          <w:sz w:val="22"/>
          <w:szCs w:val="22"/>
          <w:color w:val="auto"/>
        </w:rPr>
      </w:pPr>
    </w:p>
    <w:p>
      <w:pPr>
        <w:ind w:left="2760" w:right="280" w:hanging="646"/>
        <w:spacing w:after="0" w:line="204" w:lineRule="auto"/>
        <w:tabs>
          <w:tab w:leader="none" w:pos="2760" w:val="left"/>
        </w:tabs>
        <w:numPr>
          <w:ilvl w:val="1"/>
          <w:numId w:val="309"/>
        </w:numPr>
        <w:rPr>
          <w:rFonts w:ascii="Arial" w:cs="Arial" w:eastAsia="Arial" w:hAnsi="Arial"/>
          <w:sz w:val="22"/>
          <w:szCs w:val="22"/>
          <w:color w:val="auto"/>
        </w:rPr>
      </w:pPr>
      <w:r>
        <w:rPr>
          <w:rFonts w:ascii="Arial" w:cs="Arial" w:eastAsia="Arial" w:hAnsi="Arial"/>
          <w:sz w:val="22"/>
          <w:szCs w:val="22"/>
          <w:color w:val="auto"/>
        </w:rPr>
        <w:t>elective contributions to any cafeteria plan that is intended to meet the requirements of Section 125 of the Internal Revenue Code or other pre-tax contributions to a similar Company benefit plan;</w:t>
      </w:r>
    </w:p>
    <w:p>
      <w:pPr>
        <w:spacing w:after="0" w:line="2" w:lineRule="exact"/>
        <w:rPr>
          <w:rFonts w:ascii="Arial" w:cs="Arial" w:eastAsia="Arial" w:hAnsi="Arial"/>
          <w:sz w:val="22"/>
          <w:szCs w:val="22"/>
          <w:color w:val="auto"/>
        </w:rPr>
      </w:pPr>
    </w:p>
    <w:p>
      <w:pPr>
        <w:ind w:left="2760" w:right="60" w:hanging="646"/>
        <w:spacing w:after="0" w:line="214" w:lineRule="auto"/>
        <w:tabs>
          <w:tab w:leader="none" w:pos="2748" w:val="left"/>
        </w:tabs>
        <w:numPr>
          <w:ilvl w:val="1"/>
          <w:numId w:val="309"/>
        </w:numPr>
        <w:rPr>
          <w:rFonts w:ascii="Arial" w:cs="Arial" w:eastAsia="Arial" w:hAnsi="Arial"/>
          <w:sz w:val="21"/>
          <w:szCs w:val="21"/>
          <w:color w:val="auto"/>
        </w:rPr>
      </w:pPr>
      <w:r>
        <w:rPr>
          <w:rFonts w:ascii="Arial" w:cs="Arial" w:eastAsia="Arial" w:hAnsi="Arial"/>
          <w:sz w:val="21"/>
          <w:szCs w:val="21"/>
          <w:color w:val="auto"/>
        </w:rPr>
        <w:t>payments made under the terms of The TriNet IV Short-Term Disability Program or other similar Company program during an Applicable Year to a Participant who is on approved leave of absence and is receiving one hundred percent (100%) of his base pay; and</w:t>
      </w:r>
    </w:p>
    <w:p>
      <w:pPr>
        <w:spacing w:after="0" w:line="2" w:lineRule="exact"/>
        <w:rPr>
          <w:rFonts w:ascii="Arial" w:cs="Arial" w:eastAsia="Arial" w:hAnsi="Arial"/>
          <w:sz w:val="21"/>
          <w:szCs w:val="21"/>
          <w:color w:val="auto"/>
        </w:rPr>
      </w:pPr>
    </w:p>
    <w:p>
      <w:pPr>
        <w:ind w:left="2760" w:hanging="646"/>
        <w:spacing w:after="0"/>
        <w:tabs>
          <w:tab w:leader="none" w:pos="2760" w:val="left"/>
        </w:tabs>
        <w:numPr>
          <w:ilvl w:val="1"/>
          <w:numId w:val="309"/>
        </w:numPr>
        <w:rPr>
          <w:rFonts w:ascii="Arial" w:cs="Arial" w:eastAsia="Arial" w:hAnsi="Arial"/>
          <w:sz w:val="19"/>
          <w:szCs w:val="19"/>
          <w:color w:val="auto"/>
        </w:rPr>
      </w:pPr>
      <w:r>
        <w:rPr>
          <w:rFonts w:ascii="Arial" w:cs="Arial" w:eastAsia="Arial" w:hAnsi="Arial"/>
          <w:sz w:val="19"/>
          <w:szCs w:val="19"/>
          <w:color w:val="auto"/>
        </w:rPr>
        <w:t>other legally-mandated or otherwise required pre-tax deductions from a Participant’s base salary.</w:t>
      </w:r>
    </w:p>
    <w:p>
      <w:pPr>
        <w:spacing w:after="0" w:line="222" w:lineRule="exact"/>
        <w:rPr>
          <w:rFonts w:ascii="Arial" w:cs="Arial" w:eastAsia="Arial" w:hAnsi="Arial"/>
          <w:sz w:val="19"/>
          <w:szCs w:val="19"/>
          <w:color w:val="auto"/>
        </w:rPr>
      </w:pPr>
    </w:p>
    <w:p>
      <w:pPr>
        <w:ind w:left="1800" w:hanging="496"/>
        <w:spacing w:after="0"/>
        <w:tabs>
          <w:tab w:leader="none" w:pos="180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Notwithstanding the foregoing, the term "Participant Earnings" does not include:</w:t>
      </w:r>
    </w:p>
    <w:p>
      <w:pPr>
        <w:spacing w:after="0" w:line="187" w:lineRule="exact"/>
        <w:rPr>
          <w:rFonts w:ascii="Arial" w:cs="Arial" w:eastAsia="Arial" w:hAnsi="Arial"/>
          <w:sz w:val="22"/>
          <w:szCs w:val="22"/>
          <w:color w:val="auto"/>
        </w:rPr>
      </w:pPr>
    </w:p>
    <w:p>
      <w:pPr>
        <w:ind w:left="2800" w:hanging="686"/>
        <w:spacing w:after="0"/>
        <w:tabs>
          <w:tab w:leader="none" w:pos="2800" w:val="left"/>
        </w:tabs>
        <w:numPr>
          <w:ilvl w:val="1"/>
          <w:numId w:val="310"/>
        </w:numPr>
        <w:rPr>
          <w:rFonts w:ascii="Arial" w:cs="Arial" w:eastAsia="Arial" w:hAnsi="Arial"/>
          <w:sz w:val="22"/>
          <w:szCs w:val="22"/>
          <w:color w:val="auto"/>
        </w:rPr>
      </w:pPr>
      <w:r>
        <w:rPr>
          <w:rFonts w:ascii="Arial" w:cs="Arial" w:eastAsia="Arial" w:hAnsi="Arial"/>
          <w:sz w:val="22"/>
          <w:szCs w:val="22"/>
          <w:color w:val="auto"/>
        </w:rPr>
        <w:t>compensation paid in lieu of earned vacation;</w:t>
      </w:r>
    </w:p>
    <w:p>
      <w:pPr>
        <w:ind w:left="2760" w:right="20" w:hanging="646"/>
        <w:spacing w:after="0" w:line="204" w:lineRule="auto"/>
        <w:tabs>
          <w:tab w:leader="none" w:pos="2754" w:val="left"/>
        </w:tabs>
        <w:numPr>
          <w:ilvl w:val="1"/>
          <w:numId w:val="310"/>
        </w:numPr>
        <w:rPr>
          <w:rFonts w:ascii="Arial" w:cs="Arial" w:eastAsia="Arial" w:hAnsi="Arial"/>
          <w:sz w:val="22"/>
          <w:szCs w:val="22"/>
          <w:color w:val="auto"/>
        </w:rPr>
      </w:pPr>
      <w:r>
        <w:rPr>
          <w:rFonts w:ascii="Arial" w:cs="Arial" w:eastAsia="Arial" w:hAnsi="Arial"/>
          <w:sz w:val="22"/>
          <w:szCs w:val="22"/>
          <w:color w:val="auto"/>
        </w:rPr>
        <w:t>amounts contributed to a qualified plan (as described in ERISA), except as provided in clause (A) (ii), above;</w:t>
      </w:r>
    </w:p>
    <w:p>
      <w:pPr>
        <w:spacing w:after="0" w:line="1" w:lineRule="exact"/>
        <w:rPr>
          <w:rFonts w:ascii="Arial" w:cs="Arial" w:eastAsia="Arial" w:hAnsi="Arial"/>
          <w:sz w:val="22"/>
          <w:szCs w:val="22"/>
          <w:color w:val="auto"/>
        </w:rPr>
      </w:pPr>
    </w:p>
    <w:p>
      <w:pPr>
        <w:ind w:left="2760" w:right="40" w:hanging="646"/>
        <w:spacing w:after="0" w:line="214" w:lineRule="auto"/>
        <w:tabs>
          <w:tab w:leader="none" w:pos="2760" w:val="left"/>
        </w:tabs>
        <w:numPr>
          <w:ilvl w:val="1"/>
          <w:numId w:val="310"/>
        </w:numPr>
        <w:rPr>
          <w:rFonts w:ascii="Arial" w:cs="Arial" w:eastAsia="Arial" w:hAnsi="Arial"/>
          <w:sz w:val="21"/>
          <w:szCs w:val="21"/>
          <w:color w:val="auto"/>
        </w:rPr>
      </w:pPr>
      <w:r>
        <w:rPr>
          <w:rFonts w:ascii="Arial" w:cs="Arial" w:eastAsia="Arial" w:hAnsi="Arial"/>
          <w:sz w:val="21"/>
          <w:szCs w:val="21"/>
          <w:color w:val="auto"/>
        </w:rPr>
        <w:t>payments made under the terms of The TriNet IV Short-Term Disability Program or other similar Company leave program during an Applicable Year to a Participant who is on approved leave of absence and is receiving less than the full amount of his base pay;</w:t>
      </w:r>
    </w:p>
    <w:p>
      <w:pPr>
        <w:spacing w:after="0" w:line="2" w:lineRule="exact"/>
        <w:rPr>
          <w:rFonts w:ascii="Arial" w:cs="Arial" w:eastAsia="Arial" w:hAnsi="Arial"/>
          <w:sz w:val="21"/>
          <w:szCs w:val="21"/>
          <w:color w:val="auto"/>
        </w:rPr>
      </w:pPr>
    </w:p>
    <w:p>
      <w:pPr>
        <w:ind w:left="2740" w:hanging="626"/>
        <w:spacing w:after="0" w:line="204" w:lineRule="auto"/>
        <w:tabs>
          <w:tab w:leader="none" w:pos="2740" w:val="left"/>
        </w:tabs>
        <w:numPr>
          <w:ilvl w:val="1"/>
          <w:numId w:val="310"/>
        </w:numPr>
        <w:rPr>
          <w:rFonts w:ascii="Arial" w:cs="Arial" w:eastAsia="Arial" w:hAnsi="Arial"/>
          <w:sz w:val="22"/>
          <w:szCs w:val="22"/>
          <w:color w:val="auto"/>
        </w:rPr>
      </w:pPr>
      <w:r>
        <w:rPr>
          <w:rFonts w:ascii="Arial" w:cs="Arial" w:eastAsia="Arial" w:hAnsi="Arial"/>
          <w:sz w:val="22"/>
          <w:szCs w:val="22"/>
          <w:color w:val="auto"/>
        </w:rPr>
        <w:t>amounts paid under this Plan or other bonus or incentive program of the Company;</w:t>
      </w:r>
    </w:p>
    <w:p>
      <w:pPr>
        <w:ind w:left="2760" w:right="180" w:hanging="646"/>
        <w:spacing w:after="0" w:line="234" w:lineRule="auto"/>
        <w:tabs>
          <w:tab w:leader="none" w:pos="2755" w:val="left"/>
        </w:tabs>
        <w:numPr>
          <w:ilvl w:val="1"/>
          <w:numId w:val="310"/>
        </w:numPr>
        <w:rPr>
          <w:rFonts w:ascii="Arial" w:cs="Arial" w:eastAsia="Arial" w:hAnsi="Arial"/>
          <w:sz w:val="21"/>
          <w:szCs w:val="21"/>
          <w:color w:val="auto"/>
        </w:rPr>
      </w:pPr>
      <w:r>
        <w:rPr>
          <w:rFonts w:ascii="Arial" w:cs="Arial" w:eastAsia="Arial" w:hAnsi="Arial"/>
          <w:sz w:val="21"/>
          <w:szCs w:val="21"/>
          <w:color w:val="auto"/>
        </w:rPr>
        <w:t>payments made under any severance-type benefit (whether company-sponsored or mandated by law) arising out of or relating to a Participant’s termination of employment;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88" w:lineRule="exact"/>
        <w:rPr>
          <w:rFonts w:ascii="Arial" w:cs="Arial" w:eastAsia="Arial" w:hAnsi="Arial"/>
          <w:sz w:val="21"/>
          <w:szCs w:val="21"/>
          <w:color w:val="auto"/>
        </w:rPr>
      </w:pPr>
    </w:p>
    <w:p>
      <w:pPr>
        <w:ind w:left="5580" w:hanging="136"/>
        <w:spacing w:after="0"/>
        <w:tabs>
          <w:tab w:leader="none" w:pos="5580" w:val="left"/>
        </w:tabs>
        <w:numPr>
          <w:ilvl w:val="2"/>
          <w:numId w:val="310"/>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20"/>
          </w:cols>
          <w:pgMar w:left="320" w:top="1414" w:right="359" w:bottom="1440" w:gutter="0" w:footer="0" w:header="0"/>
        </w:sectPr>
      </w:pPr>
    </w:p>
    <w:bookmarkStart w:id="297" w:name="page298"/>
    <w:bookmarkEnd w:id="297"/>
    <w:p>
      <w:pPr>
        <w:ind w:left="2640" w:hanging="626"/>
        <w:spacing w:after="0"/>
        <w:tabs>
          <w:tab w:leader="none" w:pos="264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payments based upon the discretion of the Company;</w:t>
      </w:r>
    </w:p>
    <w:p>
      <w:pPr>
        <w:ind w:left="2660" w:hanging="646"/>
        <w:spacing w:after="0" w:line="237" w:lineRule="auto"/>
        <w:tabs>
          <w:tab w:leader="none" w:pos="2654" w:val="left"/>
        </w:tabs>
        <w:numPr>
          <w:ilvl w:val="0"/>
          <w:numId w:val="311"/>
        </w:numPr>
        <w:rPr>
          <w:rFonts w:ascii="Arial" w:cs="Arial" w:eastAsia="Arial" w:hAnsi="Arial"/>
          <w:sz w:val="19"/>
          <w:szCs w:val="19"/>
          <w:color w:val="auto"/>
        </w:rPr>
      </w:pPr>
      <w:r>
        <w:rPr>
          <w:rFonts w:ascii="Arial" w:cs="Arial" w:eastAsia="Arial" w:hAnsi="Arial"/>
          <w:sz w:val="19"/>
          <w:szCs w:val="19"/>
          <w:color w:val="auto"/>
        </w:rPr>
        <w:t>amounts paid as commissions, sales bonuses, or any premium payments paid to those deemed by the Company as essential onsite personnel in conjunction with COVID-19 efforts; or</w:t>
      </w:r>
    </w:p>
    <w:p>
      <w:pPr>
        <w:ind w:left="2660" w:right="80" w:hanging="646"/>
        <w:spacing w:after="0" w:line="217" w:lineRule="auto"/>
        <w:tabs>
          <w:tab w:leader="none" w:pos="266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earnings with respect to the exercise, vesting, or payment of any equity-based awards, including but not limited to stock options, restricted stock units, restricted stock, and performance share units.</w:t>
      </w:r>
    </w:p>
    <w:p>
      <w:pPr>
        <w:spacing w:after="0" w:line="187" w:lineRule="exact"/>
        <w:rPr>
          <w:sz w:val="20"/>
          <w:szCs w:val="20"/>
          <w:color w:val="auto"/>
        </w:rPr>
      </w:pPr>
    </w:p>
    <w:p>
      <w:pPr>
        <w:ind w:left="560" w:hanging="647"/>
        <w:spacing w:after="0" w:line="268" w:lineRule="auto"/>
        <w:tabs>
          <w:tab w:leader="none" w:pos="5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 xml:space="preserve">Plan </w:t>
      </w:r>
      <w:r>
        <w:rPr>
          <w:rFonts w:ascii="Arial" w:cs="Arial" w:eastAsia="Arial" w:hAnsi="Arial"/>
          <w:sz w:val="19"/>
          <w:szCs w:val="19"/>
          <w:color w:val="auto"/>
        </w:rPr>
        <w:t>means The Loxo Oncology, Inc. Bonus Plan as set forth herein and as hereafter modified or amended from time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time. The Plan is an incentive compensation program and is not subject to the Employee Retirement Income Security Act of 1974, as amended (“ERISA”), pursuant to Department of Labor Regulation Section 2510.3.</w:t>
      </w:r>
    </w:p>
    <w:p>
      <w:pPr>
        <w:spacing w:after="0" w:line="159" w:lineRule="exact"/>
        <w:rPr>
          <w:sz w:val="20"/>
          <w:szCs w:val="20"/>
          <w:color w:val="auto"/>
        </w:rPr>
      </w:pPr>
    </w:p>
    <w:p>
      <w:pPr>
        <w:ind w:left="560" w:right="900" w:hanging="647"/>
        <w:spacing w:after="0" w:line="232" w:lineRule="auto"/>
        <w:tabs>
          <w:tab w:leader="none" w:pos="5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u w:val="single" w:color="auto"/>
          <w:color w:val="auto"/>
        </w:rPr>
        <w:t xml:space="preserve">Plant Closing </w:t>
      </w:r>
      <w:r>
        <w:rPr>
          <w:rFonts w:ascii="Arial" w:cs="Arial" w:eastAsia="Arial" w:hAnsi="Arial"/>
          <w:sz w:val="22"/>
          <w:szCs w:val="22"/>
          <w:color w:val="auto"/>
        </w:rPr>
        <w:t>means the closing of a plant site or other Company location that directly results in termination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employment.</w:t>
      </w:r>
    </w:p>
    <w:p>
      <w:pPr>
        <w:spacing w:after="0" w:line="186" w:lineRule="exact"/>
        <w:rPr>
          <w:sz w:val="20"/>
          <w:szCs w:val="20"/>
          <w:color w:val="auto"/>
        </w:rPr>
      </w:pPr>
    </w:p>
    <w:p>
      <w:pPr>
        <w:ind w:left="560" w:right="220" w:hanging="647"/>
        <w:spacing w:after="0" w:line="232" w:lineRule="auto"/>
        <w:tabs>
          <w:tab w:leader="none" w:pos="5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22"/>
          <w:szCs w:val="22"/>
          <w:u w:val="single" w:color="auto"/>
          <w:color w:val="auto"/>
        </w:rPr>
        <w:t xml:space="preserve">Reduction in Workforce </w:t>
      </w:r>
      <w:r>
        <w:rPr>
          <w:rFonts w:ascii="Arial" w:cs="Arial" w:eastAsia="Arial" w:hAnsi="Arial"/>
          <w:sz w:val="22"/>
          <w:szCs w:val="22"/>
          <w:color w:val="auto"/>
        </w:rPr>
        <w:t>means the elimination of a work group, functional or business unit or other broadly applicable</w:t>
      </w:r>
      <w:r>
        <w:rPr>
          <w:rFonts w:ascii="Arial" w:cs="Arial" w:eastAsia="Arial" w:hAnsi="Arial"/>
          <w:sz w:val="22"/>
          <w:szCs w:val="22"/>
          <w:u w:val="single" w:color="auto"/>
          <w:color w:val="auto"/>
        </w:rPr>
        <w:t xml:space="preserve"> </w:t>
      </w:r>
      <w:r>
        <w:rPr>
          <w:rFonts w:ascii="Arial" w:cs="Arial" w:eastAsia="Arial" w:hAnsi="Arial"/>
          <w:sz w:val="22"/>
          <w:szCs w:val="22"/>
          <w:color w:val="auto"/>
        </w:rPr>
        <w:t>reduction in job positions that directly results in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040"/>
          </w:cols>
          <w:pgMar w:left="420" w:top="1395" w:right="439" w:bottom="1440" w:gutter="0" w:footer="0" w:header="0"/>
        </w:sectPr>
      </w:pPr>
    </w:p>
    <w:bookmarkStart w:id="298" w:name="page299"/>
    <w:bookmarkEnd w:id="298"/>
    <w:p>
      <w:pPr>
        <w:jc w:val="center"/>
        <w:ind w:right="-39"/>
        <w:spacing w:after="0"/>
        <w:rPr>
          <w:sz w:val="20"/>
          <w:szCs w:val="20"/>
          <w:color w:val="auto"/>
        </w:rPr>
      </w:pPr>
      <w:r>
        <w:rPr>
          <w:rFonts w:ascii="Arial" w:cs="Arial" w:eastAsia="Arial" w:hAnsi="Arial"/>
          <w:sz w:val="22"/>
          <w:szCs w:val="22"/>
          <w:b w:val="1"/>
          <w:bCs w:val="1"/>
          <w:color w:val="auto"/>
        </w:rPr>
        <w:t>SECTION 3. ADMINISTRATION</w:t>
      </w:r>
    </w:p>
    <w:p>
      <w:pPr>
        <w:spacing w:after="0" w:line="212" w:lineRule="exact"/>
        <w:rPr>
          <w:sz w:val="20"/>
          <w:szCs w:val="20"/>
          <w:color w:val="auto"/>
        </w:rPr>
      </w:pPr>
    </w:p>
    <w:p>
      <w:pPr>
        <w:ind w:left="660" w:hanging="647"/>
        <w:spacing w:after="0" w:line="226"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Committee</w:t>
      </w:r>
      <w:r>
        <w:rPr>
          <w:rFonts w:ascii="Arial" w:cs="Arial" w:eastAsia="Arial" w:hAnsi="Arial"/>
          <w:sz w:val="21"/>
          <w:szCs w:val="21"/>
          <w:color w:val="auto"/>
        </w:rPr>
        <w:t>. The Plan will be administered by the Committee or, if the name of the Committee is changed, the Plan will be</w:t>
      </w:r>
      <w:r>
        <w:rPr>
          <w:rFonts w:ascii="Arial" w:cs="Arial" w:eastAsia="Arial" w:hAnsi="Arial"/>
          <w:sz w:val="21"/>
          <w:szCs w:val="21"/>
          <w:u w:val="single" w:color="auto"/>
          <w:color w:val="auto"/>
        </w:rPr>
        <w:t xml:space="preserve"> </w:t>
      </w:r>
      <w:r>
        <w:rPr>
          <w:rFonts w:ascii="Arial" w:cs="Arial" w:eastAsia="Arial" w:hAnsi="Arial"/>
          <w:sz w:val="21"/>
          <w:szCs w:val="21"/>
          <w:color w:val="auto"/>
        </w:rPr>
        <w:t>administered by such successor committee. For all Eligible Employees other than members of the Committee, the Committee may delegate all or a portion of its responsibilities within its sole discretion by resolution. Any reference in this Plan to the Committee or its authority will be deemed to include such designees (other than with respect to decisions relating to members of the Committee or for purposes of Section 9).</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Powers of the Committee</w:t>
      </w:r>
      <w:r>
        <w:rPr>
          <w:rFonts w:ascii="Arial" w:cs="Arial" w:eastAsia="Arial" w:hAnsi="Arial"/>
          <w:sz w:val="19"/>
          <w:szCs w:val="19"/>
          <w:color w:val="auto"/>
        </w:rPr>
        <w:t>. The Committee will have the full power and authority in its discretion to</w:t>
      </w:r>
    </w:p>
    <w:p>
      <w:pPr>
        <w:spacing w:after="0" w:line="206" w:lineRule="exact"/>
        <w:rPr>
          <w:sz w:val="20"/>
          <w:szCs w:val="20"/>
          <w:color w:val="auto"/>
        </w:rPr>
      </w:pPr>
    </w:p>
    <w:p>
      <w:pPr>
        <w:ind w:left="980" w:right="60" w:hanging="324"/>
        <w:spacing w:after="0" w:line="223" w:lineRule="auto"/>
        <w:tabs>
          <w:tab w:leader="none" w:pos="968" w:val="left"/>
        </w:tabs>
        <w:numPr>
          <w:ilvl w:val="0"/>
          <w:numId w:val="312"/>
        </w:numPr>
        <w:rPr>
          <w:rFonts w:ascii="Arial" w:cs="Arial" w:eastAsia="Arial" w:hAnsi="Arial"/>
          <w:sz w:val="22"/>
          <w:szCs w:val="22"/>
          <w:color w:val="auto"/>
        </w:rPr>
      </w:pPr>
      <w:r>
        <w:rPr>
          <w:rFonts w:ascii="Arial" w:cs="Arial" w:eastAsia="Arial" w:hAnsi="Arial"/>
          <w:sz w:val="22"/>
          <w:szCs w:val="22"/>
          <w:color w:val="auto"/>
        </w:rPr>
        <w:t>interpret the terms and provisions of the Plan and to determine any and all questions arising under the Plan, including, without limitation, the right to remedy possible ambiguities, inconsistencies, or omissions by a general rule or particular decision;</w:t>
      </w:r>
    </w:p>
    <w:p>
      <w:pPr>
        <w:spacing w:after="0" w:line="185" w:lineRule="exact"/>
        <w:rPr>
          <w:rFonts w:ascii="Arial" w:cs="Arial" w:eastAsia="Arial" w:hAnsi="Arial"/>
          <w:sz w:val="22"/>
          <w:szCs w:val="22"/>
          <w:color w:val="auto"/>
        </w:rPr>
      </w:pPr>
    </w:p>
    <w:p>
      <w:pPr>
        <w:ind w:left="980" w:hanging="324"/>
        <w:spacing w:after="0"/>
        <w:tabs>
          <w:tab w:leader="none" w:pos="98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adopt, amend and rescind rules consistent with the Plan;</w:t>
      </w:r>
    </w:p>
    <w:p>
      <w:pPr>
        <w:spacing w:after="0" w:line="206" w:lineRule="exact"/>
        <w:rPr>
          <w:rFonts w:ascii="Arial" w:cs="Arial" w:eastAsia="Arial" w:hAnsi="Arial"/>
          <w:sz w:val="22"/>
          <w:szCs w:val="22"/>
          <w:color w:val="auto"/>
        </w:rPr>
      </w:pPr>
    </w:p>
    <w:p>
      <w:pPr>
        <w:ind w:left="980" w:right="600" w:hanging="324"/>
        <w:spacing w:after="0" w:line="232" w:lineRule="auto"/>
        <w:tabs>
          <w:tab w:leader="none" w:pos="968" w:val="left"/>
        </w:tabs>
        <w:numPr>
          <w:ilvl w:val="0"/>
          <w:numId w:val="312"/>
        </w:numPr>
        <w:rPr>
          <w:rFonts w:ascii="Arial" w:cs="Arial" w:eastAsia="Arial" w:hAnsi="Arial"/>
          <w:sz w:val="22"/>
          <w:szCs w:val="22"/>
          <w:color w:val="auto"/>
        </w:rPr>
      </w:pPr>
      <w:r>
        <w:rPr>
          <w:rFonts w:ascii="Arial" w:cs="Arial" w:eastAsia="Arial" w:hAnsi="Arial"/>
          <w:sz w:val="22"/>
          <w:szCs w:val="22"/>
          <w:color w:val="auto"/>
        </w:rPr>
        <w:t>make exceptions in particular cases to the rules of eligibility for participation in the Plan (except with respect to Eligible Employees who are members of the Committee);</w:t>
      </w:r>
    </w:p>
    <w:p>
      <w:pPr>
        <w:spacing w:after="0" w:line="185" w:lineRule="exact"/>
        <w:rPr>
          <w:rFonts w:ascii="Arial" w:cs="Arial" w:eastAsia="Arial" w:hAnsi="Arial"/>
          <w:sz w:val="22"/>
          <w:szCs w:val="22"/>
          <w:color w:val="auto"/>
        </w:rPr>
      </w:pPr>
    </w:p>
    <w:p>
      <w:pPr>
        <w:ind w:left="980" w:right="160" w:hanging="324"/>
        <w:spacing w:after="0" w:line="298" w:lineRule="auto"/>
        <w:tabs>
          <w:tab w:leader="none" w:pos="98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determine whether, to what extent, and under what circumstances payments made or to be made should be recovered or forfeited under Lilly’s Executive Compensation Recovery Policy as in effect from time to time; and</w:t>
      </w:r>
    </w:p>
    <w:p>
      <w:pPr>
        <w:spacing w:after="0" w:line="132" w:lineRule="exact"/>
        <w:rPr>
          <w:rFonts w:ascii="Arial" w:cs="Arial" w:eastAsia="Arial" w:hAnsi="Arial"/>
          <w:sz w:val="19"/>
          <w:szCs w:val="19"/>
          <w:color w:val="auto"/>
        </w:rPr>
      </w:pPr>
    </w:p>
    <w:p>
      <w:pPr>
        <w:ind w:left="980" w:right="420" w:hanging="324"/>
        <w:spacing w:after="0" w:line="298" w:lineRule="auto"/>
        <w:tabs>
          <w:tab w:leader="none" w:pos="968" w:val="left"/>
        </w:tabs>
        <w:numPr>
          <w:ilvl w:val="0"/>
          <w:numId w:val="312"/>
        </w:numPr>
        <w:rPr>
          <w:rFonts w:ascii="Arial" w:cs="Arial" w:eastAsia="Arial" w:hAnsi="Arial"/>
          <w:sz w:val="19"/>
          <w:szCs w:val="19"/>
          <w:color w:val="auto"/>
        </w:rPr>
      </w:pPr>
      <w:r>
        <w:rPr>
          <w:rFonts w:ascii="Arial" w:cs="Arial" w:eastAsia="Arial" w:hAnsi="Arial"/>
          <w:sz w:val="19"/>
          <w:szCs w:val="19"/>
          <w:color w:val="auto"/>
        </w:rPr>
        <w:t>delegate authority for administration of the Plan with respect to any Eligible Employee except for members of the Committee. The Committee will take all necessary action to approve the timing of payments, as necessary.</w:t>
      </w:r>
    </w:p>
    <w:p>
      <w:pPr>
        <w:spacing w:after="0" w:line="132" w:lineRule="exact"/>
        <w:rPr>
          <w:sz w:val="20"/>
          <w:szCs w:val="20"/>
          <w:color w:val="auto"/>
        </w:rPr>
      </w:pPr>
    </w:p>
    <w:p>
      <w:pPr>
        <w:ind w:left="660" w:right="380" w:hanging="647"/>
        <w:spacing w:after="0" w:line="234"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u w:val="single" w:color="auto"/>
          <w:color w:val="auto"/>
        </w:rPr>
        <w:t>Certification of Results</w:t>
      </w:r>
      <w:r>
        <w:rPr>
          <w:rFonts w:ascii="Arial" w:cs="Arial" w:eastAsia="Arial" w:hAnsi="Arial"/>
          <w:sz w:val="21"/>
          <w:szCs w:val="21"/>
          <w:color w:val="auto"/>
        </w:rPr>
        <w:t>. Before any amount is paid under the Plan, the Committee will confirm the certification of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Company Performance Bonus Multiple for the Applicable Year from Lilly in writing and the satisfaction of all other material terms of the calculation of the Company Bonus as well as any Additional Cash Award.</w:t>
      </w:r>
    </w:p>
    <w:p>
      <w:pPr>
        <w:spacing w:after="0" w:line="185" w:lineRule="exact"/>
        <w:rPr>
          <w:sz w:val="20"/>
          <w:szCs w:val="20"/>
          <w:color w:val="auto"/>
        </w:rPr>
      </w:pPr>
    </w:p>
    <w:p>
      <w:pPr>
        <w:ind w:left="660" w:right="160" w:hanging="647"/>
        <w:spacing w:after="0" w:line="244" w:lineRule="auto"/>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Finality of Committee Determinations</w:t>
      </w:r>
      <w:r>
        <w:rPr>
          <w:rFonts w:ascii="Arial" w:cs="Arial" w:eastAsia="Arial" w:hAnsi="Arial"/>
          <w:sz w:val="19"/>
          <w:szCs w:val="19"/>
          <w:color w:val="auto"/>
        </w:rPr>
        <w:t>. Any determination by the Committee of the Company Performance Bonus</w:t>
      </w:r>
      <w:r>
        <w:rPr>
          <w:rFonts w:ascii="Arial" w:cs="Arial" w:eastAsia="Arial" w:hAnsi="Arial"/>
          <w:sz w:val="19"/>
          <w:szCs w:val="19"/>
          <w:u w:val="single" w:color="auto"/>
          <w:color w:val="auto"/>
        </w:rPr>
        <w:t xml:space="preserve"> </w:t>
      </w:r>
      <w:r>
        <w:rPr>
          <w:rFonts w:ascii="Arial" w:cs="Arial" w:eastAsia="Arial" w:hAnsi="Arial"/>
          <w:sz w:val="19"/>
          <w:szCs w:val="19"/>
          <w:color w:val="auto"/>
        </w:rPr>
        <w:t>Multiple or any other performance measure, and the level and entitlement to Company Bonus, Additional Cash Award, and any interpretation, rule, or decision adopted by the Committee under the Plan or in carrying out or administering the Plan, will be final and binding for all purposes and upon all interested persons, their heirs, and personal representatives. The Committee may rely conclusively on determinations made by Lilly and its auditors to determine the Company Performance Bonus Multiple, Additional Cash Award, and related information for administration of the Plan, whether such information is determined by the Company, Lilly, auditors or a third-party vendor engaged specifically to provide such information to the Company. This subsection is not intended to limit the Committee’s power, to the extent it deems proper in its discretion, to take any action permitted under the Plan.</w:t>
      </w:r>
    </w:p>
    <w:p>
      <w:pPr>
        <w:spacing w:after="0" w:line="200" w:lineRule="exact"/>
        <w:rPr>
          <w:sz w:val="20"/>
          <w:szCs w:val="20"/>
          <w:color w:val="auto"/>
        </w:rPr>
      </w:pPr>
    </w:p>
    <w:p>
      <w:pPr>
        <w:spacing w:after="0" w:line="225"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SECTION 4. PARTICIPATION IN THE PLAN</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General Rule</w:t>
      </w:r>
      <w:r>
        <w:rPr>
          <w:rFonts w:ascii="Arial" w:cs="Arial" w:eastAsia="Arial" w:hAnsi="Arial"/>
          <w:sz w:val="19"/>
          <w:szCs w:val="19"/>
          <w:color w:val="auto"/>
        </w:rPr>
        <w:t>. Only Eligible Employees may participate in and receive payments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20"/>
          </w:cols>
          <w:pgMar w:left="320" w:top="1408" w:right="359" w:bottom="1440" w:gutter="0" w:footer="0" w:header="0"/>
        </w:sectPr>
      </w:pPr>
    </w:p>
    <w:bookmarkStart w:id="299" w:name="page300"/>
    <w:bookmarkEnd w:id="299"/>
    <w:p>
      <w:pPr>
        <w:ind w:left="660" w:right="340" w:hanging="647"/>
        <w:spacing w:after="0" w:line="232"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u w:val="single" w:color="auto"/>
          <w:color w:val="auto"/>
        </w:rPr>
        <w:t>Commencement of Participation</w:t>
      </w:r>
      <w:r>
        <w:rPr>
          <w:rFonts w:ascii="Arial" w:cs="Arial" w:eastAsia="Arial" w:hAnsi="Arial"/>
          <w:sz w:val="22"/>
          <w:szCs w:val="22"/>
          <w:color w:val="auto"/>
        </w:rPr>
        <w:t>. An Eligible Employee will become a Participant in the Plan on the date on which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individual completes at least one hour of employment as an Eligible Employee.</w:t>
      </w:r>
    </w:p>
    <w:p>
      <w:pPr>
        <w:spacing w:after="0" w:line="186" w:lineRule="exact"/>
        <w:rPr>
          <w:sz w:val="20"/>
          <w:szCs w:val="20"/>
          <w:color w:val="auto"/>
        </w:rPr>
      </w:pPr>
    </w:p>
    <w:p>
      <w:pPr>
        <w:ind w:left="660" w:right="220" w:hanging="647"/>
        <w:spacing w:after="0" w:line="218"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u w:val="single" w:color="auto"/>
          <w:color w:val="auto"/>
        </w:rPr>
        <w:t>Termination of Participation</w:t>
      </w:r>
      <w:r>
        <w:rPr>
          <w:rFonts w:ascii="Arial" w:cs="Arial" w:eastAsia="Arial" w:hAnsi="Arial"/>
          <w:sz w:val="22"/>
          <w:szCs w:val="22"/>
          <w:color w:val="auto"/>
        </w:rPr>
        <w:t>. An Eligible Employee will cease to be a Participant upon termination of employment with</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Company for any reason, or at the time he otherwise ceases to be an Eligible Employee under the Plan; provided, however, a terminated Participant shall be eligible for a Company Bonus and Additional Cash Award to the extent provided in Section 5.6.</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5. DEFINITION AND COMPUTATION OF COMPANY BONUS</w:t>
      </w:r>
    </w:p>
    <w:p>
      <w:pPr>
        <w:jc w:val="center"/>
        <w:ind w:right="-19"/>
        <w:spacing w:after="0"/>
        <w:rPr>
          <w:sz w:val="20"/>
          <w:szCs w:val="20"/>
          <w:color w:val="auto"/>
        </w:rPr>
      </w:pPr>
      <w:r>
        <w:rPr>
          <w:rFonts w:ascii="Arial" w:cs="Arial" w:eastAsia="Arial" w:hAnsi="Arial"/>
          <w:sz w:val="22"/>
          <w:szCs w:val="22"/>
          <w:b w:val="1"/>
          <w:bCs w:val="1"/>
          <w:color w:val="auto"/>
        </w:rPr>
        <w:t>AND ADDITIONAL CASH AWARD</w:t>
      </w:r>
    </w:p>
    <w:p>
      <w:pPr>
        <w:spacing w:after="0" w:line="188" w:lineRule="exact"/>
        <w:rPr>
          <w:sz w:val="20"/>
          <w:szCs w:val="20"/>
          <w:color w:val="auto"/>
        </w:rPr>
      </w:pPr>
    </w:p>
    <w:p>
      <w:pPr>
        <w:ind w:left="660" w:hanging="647"/>
        <w:spacing w:after="0" w:line="252"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Computation of Company Bonus for Eligible Employees</w:t>
      </w:r>
      <w:r>
        <w:rPr>
          <w:rFonts w:ascii="Arial" w:cs="Arial" w:eastAsia="Arial" w:hAnsi="Arial"/>
          <w:sz w:val="19"/>
          <w:szCs w:val="19"/>
          <w:color w:val="auto"/>
        </w:rPr>
        <w:t>. Company Bonus amounts will depend significantly on Lilly</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performance. As more specifically described below, a Participant’s Company Bonus is calculated by multiplying the Participant’s Bonus Target by his Participant Earnings and the Company Performance Bonus Multiple. For certain eligible employees, whether an individual met their job expectations may also impact the Company Bonus calculation, as described in Section 5.3(c) below. Company Bonuses are paid out to eligible Participants in the manner provided below.</w:t>
      </w:r>
    </w:p>
    <w:p>
      <w:pPr>
        <w:spacing w:after="0" w:line="176" w:lineRule="exact"/>
        <w:rPr>
          <w:sz w:val="20"/>
          <w:szCs w:val="20"/>
          <w:color w:val="auto"/>
        </w:rPr>
      </w:pPr>
    </w:p>
    <w:p>
      <w:pPr>
        <w:ind w:left="660" w:right="440" w:hanging="647"/>
        <w:spacing w:after="0" w:line="243" w:lineRule="auto"/>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 xml:space="preserve">Company Performance Bonus Multiple Threshold and Ceiling; Committee’s Downward Discretion. </w:t>
      </w:r>
      <w:r>
        <w:rPr>
          <w:rFonts w:ascii="Arial" w:cs="Arial" w:eastAsia="Arial" w:hAnsi="Arial"/>
          <w:sz w:val="19"/>
          <w:szCs w:val="19"/>
          <w:color w:val="auto"/>
        </w:rPr>
        <w:t>The Company</w:t>
      </w:r>
      <w:r>
        <w:rPr>
          <w:rFonts w:ascii="Arial" w:cs="Arial" w:eastAsia="Arial" w:hAnsi="Arial"/>
          <w:sz w:val="19"/>
          <w:szCs w:val="19"/>
          <w:u w:val="single" w:color="auto"/>
          <w:color w:val="auto"/>
        </w:rPr>
        <w:t xml:space="preserve"> </w:t>
      </w:r>
      <w:r>
        <w:rPr>
          <w:rFonts w:ascii="Arial" w:cs="Arial" w:eastAsia="Arial" w:hAnsi="Arial"/>
          <w:sz w:val="19"/>
          <w:szCs w:val="19"/>
          <w:color w:val="auto"/>
        </w:rPr>
        <w:t>Performance Bonus Multiple will not be less than 0.25 or greater than 2.0 in an Applicable Year. Notwithstanding the foregoing, at any time prior to certification as described in Section 3.3, the Committee in its discretion may reduce</w:t>
      </w:r>
    </w:p>
    <w:p>
      <w:pPr>
        <w:spacing w:after="0" w:line="2" w:lineRule="exact"/>
        <w:rPr>
          <w:sz w:val="20"/>
          <w:szCs w:val="20"/>
          <w:color w:val="auto"/>
        </w:rPr>
      </w:pPr>
    </w:p>
    <w:p>
      <w:pPr>
        <w:ind w:left="660" w:right="220"/>
        <w:spacing w:after="0" w:line="224" w:lineRule="auto"/>
        <w:rPr>
          <w:sz w:val="20"/>
          <w:szCs w:val="20"/>
          <w:color w:val="auto"/>
        </w:rPr>
      </w:pPr>
      <w:r>
        <w:rPr>
          <w:rFonts w:ascii="Arial" w:cs="Arial" w:eastAsia="Arial" w:hAnsi="Arial"/>
          <w:sz w:val="22"/>
          <w:szCs w:val="22"/>
          <w:color w:val="auto"/>
        </w:rPr>
        <w:t>the Company Performance Bonus Multiple (including but not limited to a reduction below 0.25) for some or all Eligible Employees.</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Participant Company Bonus</w:t>
      </w:r>
      <w:r>
        <w:rPr>
          <w:rFonts w:ascii="Arial" w:cs="Arial" w:eastAsia="Arial" w:hAnsi="Arial"/>
          <w:sz w:val="19"/>
          <w:szCs w:val="19"/>
          <w:color w:val="auto"/>
        </w:rPr>
        <w:t>.</w:t>
      </w:r>
    </w:p>
    <w:p>
      <w:pPr>
        <w:spacing w:after="0" w:line="206" w:lineRule="exact"/>
        <w:rPr>
          <w:sz w:val="20"/>
          <w:szCs w:val="20"/>
          <w:color w:val="auto"/>
        </w:rPr>
      </w:pPr>
    </w:p>
    <w:p>
      <w:pPr>
        <w:ind w:left="980" w:right="40" w:hanging="324"/>
        <w:spacing w:after="0" w:line="220" w:lineRule="auto"/>
        <w:tabs>
          <w:tab w:leader="none" w:pos="968" w:val="left"/>
        </w:tabs>
        <w:numPr>
          <w:ilvl w:val="0"/>
          <w:numId w:val="313"/>
        </w:numPr>
        <w:rPr>
          <w:rFonts w:ascii="Arial" w:cs="Arial" w:eastAsia="Arial" w:hAnsi="Arial"/>
          <w:sz w:val="21"/>
          <w:szCs w:val="21"/>
          <w:color w:val="auto"/>
        </w:rPr>
      </w:pPr>
      <w:r>
        <w:rPr>
          <w:rFonts w:ascii="Arial" w:cs="Arial" w:eastAsia="Arial" w:hAnsi="Arial"/>
          <w:sz w:val="21"/>
          <w:szCs w:val="21"/>
          <w:u w:val="single" w:color="auto"/>
          <w:color w:val="auto"/>
        </w:rPr>
        <w:t>Bonus Target</w:t>
      </w:r>
      <w:r>
        <w:rPr>
          <w:rFonts w:ascii="Arial" w:cs="Arial" w:eastAsia="Arial" w:hAnsi="Arial"/>
          <w:sz w:val="21"/>
          <w:szCs w:val="21"/>
          <w:color w:val="auto"/>
        </w:rPr>
        <w:t>. Not later than 90 days after the beginning of the Applicable Year, the Bonus Target for each Participant, whether such Participant is designated on an individual basis or by specified job categories, classifications, levels, or other appropriate classification, will be determined by the Committee on a basis that takes into consideration a Participant's pay grade level and job responsibilities. The Bonus Target for each Participant for the Applicable Year will be expressed as a percentage of Participant Earnings as of December 31 of the Applicable Year. No later than early in the Applicable Year, each Participant will receive information regarding the Participant’s Bonus Target. In the event that a Participant’s pay grade level changes during the Applicable Year (e.g., because of promotion, demotion or otherwise), the Participant’s Bonus Target will be prorated based on the Bonus Target applicable to each pay grade level (with related job responsibilities) and the percentage of time that the Participant is employed at each pay grade level during the Applicable Year.</w:t>
      </w:r>
    </w:p>
    <w:p>
      <w:pPr>
        <w:spacing w:after="0" w:line="189" w:lineRule="exact"/>
        <w:rPr>
          <w:rFonts w:ascii="Arial" w:cs="Arial" w:eastAsia="Arial" w:hAnsi="Arial"/>
          <w:sz w:val="21"/>
          <w:szCs w:val="21"/>
          <w:color w:val="auto"/>
        </w:rPr>
      </w:pPr>
    </w:p>
    <w:p>
      <w:pPr>
        <w:ind w:left="980" w:right="140" w:hanging="324"/>
        <w:spacing w:after="0" w:line="223" w:lineRule="auto"/>
        <w:tabs>
          <w:tab w:leader="none" w:pos="980" w:val="left"/>
        </w:tabs>
        <w:numPr>
          <w:ilvl w:val="0"/>
          <w:numId w:val="313"/>
        </w:numPr>
        <w:rPr>
          <w:rFonts w:ascii="Arial" w:cs="Arial" w:eastAsia="Arial" w:hAnsi="Arial"/>
          <w:sz w:val="22"/>
          <w:szCs w:val="22"/>
          <w:color w:val="auto"/>
        </w:rPr>
      </w:pPr>
      <w:r>
        <w:rPr>
          <w:rFonts w:ascii="Arial" w:cs="Arial" w:eastAsia="Arial" w:hAnsi="Arial"/>
          <w:sz w:val="22"/>
          <w:szCs w:val="22"/>
          <w:u w:val="single" w:color="auto"/>
          <w:color w:val="auto"/>
        </w:rPr>
        <w:t>Company Bonus Calculation</w:t>
      </w:r>
      <w:r>
        <w:rPr>
          <w:rFonts w:ascii="Arial" w:cs="Arial" w:eastAsia="Arial" w:hAnsi="Arial"/>
          <w:sz w:val="22"/>
          <w:szCs w:val="22"/>
          <w:color w:val="auto"/>
        </w:rPr>
        <w:t>. Except as described in Section 5.3(c) below, a Participant’s Company Bonus will equal the product of the Company Performance Bonus Multiple and the Participant’s Bonus Target and the Participant’s Earnings.</w:t>
      </w:r>
    </w:p>
    <w:p>
      <w:pPr>
        <w:spacing w:after="0" w:line="166" w:lineRule="exact"/>
        <w:rPr>
          <w:rFonts w:ascii="Arial" w:cs="Arial" w:eastAsia="Arial" w:hAnsi="Arial"/>
          <w:sz w:val="22"/>
          <w:szCs w:val="22"/>
          <w:color w:val="auto"/>
        </w:rPr>
      </w:pPr>
    </w:p>
    <w:p>
      <w:pPr>
        <w:ind w:left="960" w:hanging="304"/>
        <w:spacing w:after="0"/>
        <w:tabs>
          <w:tab w:leader="none" w:pos="960" w:val="left"/>
        </w:tabs>
        <w:numPr>
          <w:ilvl w:val="0"/>
          <w:numId w:val="313"/>
        </w:numPr>
        <w:rPr>
          <w:rFonts w:ascii="Arial" w:cs="Arial" w:eastAsia="Arial" w:hAnsi="Arial"/>
          <w:sz w:val="22"/>
          <w:szCs w:val="22"/>
          <w:color w:val="auto"/>
        </w:rPr>
      </w:pPr>
      <w:r>
        <w:rPr>
          <w:rFonts w:ascii="Arial" w:cs="Arial" w:eastAsia="Arial" w:hAnsi="Arial"/>
          <w:sz w:val="22"/>
          <w:szCs w:val="22"/>
          <w:u w:val="single" w:color="auto"/>
          <w:color w:val="auto"/>
        </w:rPr>
        <w:t>Adjustment for Individual Performance Multiplier, if Applicable</w:t>
      </w:r>
      <w:r>
        <w:rPr>
          <w:rFonts w:ascii="Arial" w:cs="Arial" w:eastAsia="Arial" w:hAnsi="Arial"/>
          <w:sz w:val="22"/>
          <w:szCs w:val="22"/>
          <w:color w:val="auto"/>
        </w:rPr>
        <w:t>.</w:t>
      </w:r>
    </w:p>
    <w:p>
      <w:pPr>
        <w:ind w:left="980" w:right="20"/>
        <w:spacing w:after="0" w:line="258" w:lineRule="auto"/>
        <w:rPr>
          <w:rFonts w:ascii="Arial" w:cs="Arial" w:eastAsia="Arial" w:hAnsi="Arial"/>
          <w:sz w:val="22"/>
          <w:szCs w:val="22"/>
          <w:color w:val="auto"/>
        </w:rPr>
      </w:pPr>
      <w:r>
        <w:rPr>
          <w:rFonts w:ascii="Arial" w:cs="Arial" w:eastAsia="Arial" w:hAnsi="Arial"/>
          <w:sz w:val="19"/>
          <w:szCs w:val="19"/>
          <w:color w:val="auto"/>
        </w:rPr>
        <w:t>Notwithstanding anything herein to the contrary, all Participants may be subject to individual performance multipliers. For any such Participants subject to an individual performance multiplier, the amount calculated in Section 5.3(b) above will be adjusted based on whether the Participant met job expectations as determined by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0" w:lineRule="exact"/>
        <w:rPr>
          <w:rFonts w:ascii="Arial" w:cs="Arial" w:eastAsia="Arial" w:hAnsi="Arial"/>
          <w:sz w:val="22"/>
          <w:szCs w:val="22"/>
          <w:color w:val="auto"/>
        </w:rPr>
      </w:pPr>
    </w:p>
    <w:p>
      <w:pPr>
        <w:ind w:left="5580" w:hanging="136"/>
        <w:spacing w:after="0"/>
        <w:tabs>
          <w:tab w:leader="none" w:pos="5580" w:val="left"/>
        </w:tabs>
        <w:numPr>
          <w:ilvl w:val="1"/>
          <w:numId w:val="313"/>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240"/>
          </w:cols>
          <w:pgMar w:left="320" w:top="1414" w:right="339" w:bottom="1440" w:gutter="0" w:footer="0" w:header="0"/>
        </w:sectPr>
      </w:pPr>
    </w:p>
    <w:bookmarkStart w:id="300" w:name="page301"/>
    <w:bookmarkEnd w:id="300"/>
    <w:p>
      <w:pPr>
        <w:ind w:left="980"/>
        <w:spacing w:after="0" w:line="220" w:lineRule="auto"/>
        <w:rPr>
          <w:sz w:val="20"/>
          <w:szCs w:val="20"/>
          <w:color w:val="auto"/>
        </w:rPr>
      </w:pPr>
      <w:r>
        <w:rPr>
          <w:rFonts w:ascii="Arial" w:cs="Arial" w:eastAsia="Arial" w:hAnsi="Arial"/>
          <w:sz w:val="21"/>
          <w:szCs w:val="21"/>
          <w:color w:val="auto"/>
        </w:rPr>
        <w:t>Company at the end of the Applicable Year. If a Participant does not meet such job expectations, the Participant will receive an individual performance multiplier equal to either 0.0 or 0.5, as determined by the Company. In that event, the individual performance multiplier will be multiplied by the amount described in Section 5.3(b) above to calculate the Participant’s Company Bonus. If a Participant meets job expectations, the Participant’s Company Bonus will equal the amount calculated in Section 5.3(b) above. In addition, if a Participant meets job expectations, the Company may increase the Participant’s Company Bonus by an additional amount based on its determination of the Participant’s individual performance and related factors. Not later than 90 days after the beginning of the Applicable Year, the Committee will determine applicable multipliers for meeting job expectations or ranges for the applicable rating system in effect for the Participant. For each such Participant, such rating will be determined by the Participant’s supervision.</w:t>
      </w:r>
    </w:p>
    <w:p>
      <w:pPr>
        <w:spacing w:after="0" w:line="189" w:lineRule="exact"/>
        <w:rPr>
          <w:sz w:val="20"/>
          <w:szCs w:val="20"/>
          <w:color w:val="auto"/>
        </w:rPr>
      </w:pPr>
    </w:p>
    <w:p>
      <w:pPr>
        <w:jc w:val="both"/>
        <w:ind w:right="40"/>
        <w:spacing w:after="0" w:line="223" w:lineRule="auto"/>
        <w:rPr>
          <w:sz w:val="20"/>
          <w:szCs w:val="20"/>
          <w:color w:val="auto"/>
        </w:rPr>
      </w:pPr>
      <w:r>
        <w:rPr>
          <w:rFonts w:ascii="Arial" w:cs="Arial" w:eastAsia="Arial" w:hAnsi="Arial"/>
          <w:sz w:val="22"/>
          <w:szCs w:val="22"/>
          <w:color w:val="auto"/>
        </w:rPr>
        <w:t>In the event that a Participant does not receive a year-end performance rating, but is otherwise eligible for a Company Bonus, the amount calculated in Section 5.3(b) will be multiplied by 1.0 so that the Participant’s actual Company Bonus will be the amount calculated in Section 5.3(b) above.</w:t>
      </w:r>
    </w:p>
    <w:p>
      <w:pPr>
        <w:spacing w:after="0" w:line="186" w:lineRule="exact"/>
        <w:rPr>
          <w:sz w:val="20"/>
          <w:szCs w:val="20"/>
          <w:color w:val="auto"/>
        </w:rPr>
      </w:pPr>
    </w:p>
    <w:p>
      <w:pPr>
        <w:ind w:left="660" w:right="120" w:hanging="647"/>
        <w:spacing w:after="0" w:line="214" w:lineRule="auto"/>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u w:val="single" w:color="auto"/>
          <w:color w:val="auto"/>
        </w:rPr>
        <w:t>Computation of Additional Cash Award</w:t>
      </w:r>
      <w:r>
        <w:rPr>
          <w:rFonts w:ascii="Arial" w:cs="Arial" w:eastAsia="Arial" w:hAnsi="Arial"/>
          <w:sz w:val="22"/>
          <w:szCs w:val="22"/>
          <w:color w:val="auto"/>
        </w:rPr>
        <w:t>. In addition to Company Bonus amounts described above, Eligible Employees</w:t>
      </w:r>
      <w:r>
        <w:rPr>
          <w:rFonts w:ascii="Arial" w:cs="Arial" w:eastAsia="Arial" w:hAnsi="Arial"/>
          <w:sz w:val="22"/>
          <w:szCs w:val="22"/>
          <w:u w:val="single" w:color="auto"/>
          <w:color w:val="auto"/>
        </w:rPr>
        <w:t xml:space="preserve"> </w:t>
      </w:r>
      <w:r>
        <w:rPr>
          <w:rFonts w:ascii="Arial" w:cs="Arial" w:eastAsia="Arial" w:hAnsi="Arial"/>
          <w:sz w:val="22"/>
          <w:szCs w:val="22"/>
          <w:color w:val="auto"/>
        </w:rPr>
        <w:t>may be eligible for an Additional Cash Award beginning with the 2020 Applicable Year and thereafter. The Additional Cash Award amounts will depend significantly on Loxo company performance. In general, a Participant’s Additional Cash Award will equal the product of the Additional Cash Award Multiple and the Participant’s Bonus Target and the Participant’s Earnings. The Additional Cash Award Multiple may range from 0 to 2.0 and will be calculated as described below.</w:t>
      </w:r>
    </w:p>
    <w:p>
      <w:pPr>
        <w:spacing w:after="0" w:line="186" w:lineRule="exact"/>
        <w:rPr>
          <w:sz w:val="20"/>
          <w:szCs w:val="20"/>
          <w:color w:val="auto"/>
        </w:rPr>
      </w:pPr>
    </w:p>
    <w:p>
      <w:pPr>
        <w:ind w:left="660" w:right="140"/>
        <w:spacing w:after="0" w:line="221" w:lineRule="auto"/>
        <w:rPr>
          <w:sz w:val="20"/>
          <w:szCs w:val="20"/>
          <w:color w:val="auto"/>
        </w:rPr>
      </w:pPr>
      <w:r>
        <w:rPr>
          <w:rFonts w:ascii="Arial" w:cs="Arial" w:eastAsia="Arial" w:hAnsi="Arial"/>
          <w:sz w:val="21"/>
          <w:szCs w:val="21"/>
          <w:color w:val="auto"/>
        </w:rPr>
        <w:t>Specifically, the Company will adopt a combination of business objectives that will be assessed at the end of each Applicable Year (beginning with the 2020 Applicable Year) by Lilly for determining whether Loxo will provide an Additional Cash Award to Eligible Employees. Beginning with the 2021 Applicable Year, such metrics may include, but are not limited to, milestones established by the Company relating to preclinical, clinical, external innovation and/or scientific disclosure objectives. The achievement of each business objective will result in a point being awarded toward the overall evaluation of Company achievement with critical development milestones carrying more weight than other achievements as defined by the Committee. Company achievements will result in an Additional Cash Award Multiple between 0 to 2.0 as assessed by Lilly.</w:t>
      </w:r>
    </w:p>
    <w:p>
      <w:pPr>
        <w:spacing w:after="0" w:line="192" w:lineRule="exact"/>
        <w:rPr>
          <w:sz w:val="20"/>
          <w:szCs w:val="20"/>
          <w:color w:val="auto"/>
        </w:rPr>
      </w:pPr>
    </w:p>
    <w:p>
      <w:pPr>
        <w:ind w:left="660" w:right="340" w:hanging="647"/>
        <w:spacing w:after="0" w:line="234" w:lineRule="auto"/>
        <w:tabs>
          <w:tab w:leader="none" w:pos="6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u w:val="single" w:color="auto"/>
          <w:color w:val="auto"/>
        </w:rPr>
        <w:t>Conditions on Company Bonus and Additional Cash Award</w:t>
      </w:r>
      <w:r>
        <w:rPr>
          <w:rFonts w:ascii="Arial" w:cs="Arial" w:eastAsia="Arial" w:hAnsi="Arial"/>
          <w:sz w:val="21"/>
          <w:szCs w:val="21"/>
          <w:color w:val="auto"/>
        </w:rPr>
        <w:t>. Payment of any Company Bonus and/or Additional Cash</w:t>
      </w:r>
      <w:r>
        <w:rPr>
          <w:rFonts w:ascii="Arial" w:cs="Arial" w:eastAsia="Arial" w:hAnsi="Arial"/>
          <w:sz w:val="21"/>
          <w:szCs w:val="21"/>
          <w:u w:val="single" w:color="auto"/>
          <w:color w:val="auto"/>
        </w:rPr>
        <w:t xml:space="preserve"> </w:t>
      </w:r>
      <w:r>
        <w:rPr>
          <w:rFonts w:ascii="Arial" w:cs="Arial" w:eastAsia="Arial" w:hAnsi="Arial"/>
          <w:sz w:val="21"/>
          <w:szCs w:val="21"/>
          <w:color w:val="auto"/>
        </w:rPr>
        <w:t>Award is neither guaranteed nor automatic. A Participant’s Company Bonus and Additional Cash Award are not considered to be any form of compensation, wages, or benefits, unless and until paid.</w:t>
      </w:r>
    </w:p>
    <w:p>
      <w:pPr>
        <w:spacing w:after="0" w:line="185" w:lineRule="exact"/>
        <w:rPr>
          <w:sz w:val="20"/>
          <w:szCs w:val="20"/>
          <w:color w:val="auto"/>
        </w:rPr>
      </w:pPr>
    </w:p>
    <w:p>
      <w:pPr>
        <w:ind w:left="660" w:right="140" w:hanging="647"/>
        <w:spacing w:after="0" w:line="218" w:lineRule="auto"/>
        <w:tabs>
          <w:tab w:leader="none" w:pos="6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u w:val="single" w:color="auto"/>
          <w:color w:val="auto"/>
        </w:rPr>
        <w:t>Required Employment</w:t>
      </w:r>
      <w:r>
        <w:rPr>
          <w:rFonts w:ascii="Arial" w:cs="Arial" w:eastAsia="Arial" w:hAnsi="Arial"/>
          <w:sz w:val="22"/>
          <w:szCs w:val="22"/>
          <w:color w:val="auto"/>
        </w:rPr>
        <w:t>. Except as provided below in this Section 5.6, required by applicable law or as otherwise</w:t>
      </w:r>
      <w:r>
        <w:rPr>
          <w:rFonts w:ascii="Arial" w:cs="Arial" w:eastAsia="Arial" w:hAnsi="Arial"/>
          <w:sz w:val="22"/>
          <w:szCs w:val="22"/>
          <w:u w:val="single" w:color="auto"/>
          <w:color w:val="auto"/>
        </w:rPr>
        <w:t xml:space="preserve"> </w:t>
      </w:r>
      <w:r>
        <w:rPr>
          <w:rFonts w:ascii="Arial" w:cs="Arial" w:eastAsia="Arial" w:hAnsi="Arial"/>
          <w:sz w:val="22"/>
          <w:szCs w:val="22"/>
          <w:color w:val="auto"/>
        </w:rPr>
        <w:t>designated by the Committee, if a Participant is not employed by the Company on the last day of the Applicable Year, or is otherwise not an Eligible Employee on that date, the Participant is not entitled to any Company Bonus payment or Additional Cash Award under this Plan for that Applicable Year.</w:t>
      </w:r>
    </w:p>
    <w:p>
      <w:pPr>
        <w:spacing w:after="0" w:line="188" w:lineRule="exact"/>
        <w:rPr>
          <w:sz w:val="20"/>
          <w:szCs w:val="20"/>
          <w:color w:val="auto"/>
        </w:rPr>
      </w:pPr>
    </w:p>
    <w:p>
      <w:pPr>
        <w:ind w:left="1300" w:right="140" w:hanging="320"/>
        <w:spacing w:after="0" w:line="223" w:lineRule="auto"/>
        <w:tabs>
          <w:tab w:leader="none" w:pos="1288" w:val="left"/>
        </w:tabs>
        <w:numPr>
          <w:ilvl w:val="0"/>
          <w:numId w:val="314"/>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A Participant who, on the last day of the Applicable Year, is on approved leave of absence under the Family and Medical Leave Act of 1993, military leave under the Uniformed Services Employment and Reemployment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7" w:lineRule="exact"/>
        <w:rPr>
          <w:rFonts w:ascii="Arial" w:cs="Arial" w:eastAsia="Arial" w:hAnsi="Arial"/>
          <w:sz w:val="22"/>
          <w:szCs w:val="22"/>
          <w:color w:val="auto"/>
        </w:rPr>
      </w:pPr>
    </w:p>
    <w:p>
      <w:pPr>
        <w:ind w:left="5580" w:hanging="136"/>
        <w:spacing w:after="0"/>
        <w:tabs>
          <w:tab w:leader="none" w:pos="5580" w:val="left"/>
        </w:tabs>
        <w:numPr>
          <w:ilvl w:val="1"/>
          <w:numId w:val="314"/>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200"/>
          </w:cols>
          <w:pgMar w:left="320" w:top="1414" w:right="379" w:bottom="1440" w:gutter="0" w:footer="0" w:header="0"/>
        </w:sectPr>
      </w:pPr>
    </w:p>
    <w:bookmarkStart w:id="301" w:name="page302"/>
    <w:bookmarkEnd w:id="301"/>
    <w:p>
      <w:pPr>
        <w:ind w:left="1280" w:right="20"/>
        <w:spacing w:after="0" w:line="232" w:lineRule="auto"/>
        <w:rPr>
          <w:sz w:val="20"/>
          <w:szCs w:val="20"/>
          <w:color w:val="auto"/>
        </w:rPr>
      </w:pPr>
      <w:r>
        <w:rPr>
          <w:rFonts w:ascii="Arial" w:cs="Arial" w:eastAsia="Arial" w:hAnsi="Arial"/>
          <w:sz w:val="22"/>
          <w:szCs w:val="22"/>
          <w:color w:val="auto"/>
        </w:rPr>
        <w:t>Rights Act, or such other approved leave of absence will be considered to be an Eligible Employee on that date for purposes of this Plan.</w:t>
      </w:r>
    </w:p>
    <w:p>
      <w:pPr>
        <w:spacing w:after="0" w:line="186" w:lineRule="exact"/>
        <w:rPr>
          <w:sz w:val="20"/>
          <w:szCs w:val="20"/>
          <w:color w:val="auto"/>
        </w:rPr>
      </w:pPr>
    </w:p>
    <w:p>
      <w:pPr>
        <w:ind w:left="1280" w:right="40" w:hanging="320"/>
        <w:spacing w:after="0" w:line="214" w:lineRule="auto"/>
        <w:tabs>
          <w:tab w:leader="none" w:pos="1280" w:val="left"/>
        </w:tabs>
        <w:numPr>
          <w:ilvl w:val="0"/>
          <w:numId w:val="315"/>
        </w:numPr>
        <w:rPr>
          <w:rFonts w:ascii="Arial" w:cs="Arial" w:eastAsia="Arial" w:hAnsi="Arial"/>
          <w:sz w:val="22"/>
          <w:szCs w:val="22"/>
          <w:color w:val="auto"/>
        </w:rPr>
      </w:pPr>
      <w:r>
        <w:rPr>
          <w:rFonts w:ascii="Arial" w:cs="Arial" w:eastAsia="Arial" w:hAnsi="Arial"/>
          <w:sz w:val="22"/>
          <w:szCs w:val="22"/>
          <w:u w:val="single" w:color="auto"/>
          <w:color w:val="auto"/>
        </w:rPr>
        <w:t>Transfer</w:t>
      </w:r>
      <w:r>
        <w:rPr>
          <w:rFonts w:ascii="Arial" w:cs="Arial" w:eastAsia="Arial" w:hAnsi="Arial"/>
          <w:sz w:val="22"/>
          <w:szCs w:val="22"/>
          <w:color w:val="auto"/>
        </w:rPr>
        <w:t>. An employee who is a Participant in this Plan for a portion of the Applicable Year and then transfers to a position within the Company in which he is ineligible to participate in this Plan, but who remains employed by the Company on the last day of the Applicable Year, will be treated as satisfying the last-day-of-Applicable Year requirement for purposes of this Plan. In that event, his Company Bonus and Additional Cash Award will be based on his Participant Earnings for the portion of the Applicable Year in which the employee was a Participant in the Plan.</w:t>
      </w:r>
    </w:p>
    <w:p>
      <w:pPr>
        <w:spacing w:after="0" w:line="185" w:lineRule="exact"/>
        <w:rPr>
          <w:rFonts w:ascii="Arial" w:cs="Arial" w:eastAsia="Arial" w:hAnsi="Arial"/>
          <w:sz w:val="22"/>
          <w:szCs w:val="22"/>
          <w:color w:val="auto"/>
        </w:rPr>
      </w:pPr>
    </w:p>
    <w:p>
      <w:pPr>
        <w:ind w:left="1280" w:right="120" w:hanging="320"/>
        <w:spacing w:after="0" w:line="218" w:lineRule="auto"/>
        <w:tabs>
          <w:tab w:leader="none" w:pos="1268" w:val="left"/>
        </w:tabs>
        <w:numPr>
          <w:ilvl w:val="0"/>
          <w:numId w:val="315"/>
        </w:numPr>
        <w:rPr>
          <w:rFonts w:ascii="Arial" w:cs="Arial" w:eastAsia="Arial" w:hAnsi="Arial"/>
          <w:sz w:val="22"/>
          <w:szCs w:val="22"/>
          <w:color w:val="auto"/>
        </w:rPr>
      </w:pPr>
      <w:r>
        <w:rPr>
          <w:rFonts w:ascii="Arial" w:cs="Arial" w:eastAsia="Arial" w:hAnsi="Arial"/>
          <w:sz w:val="22"/>
          <w:szCs w:val="22"/>
          <w:u w:val="single" w:color="auto"/>
          <w:color w:val="auto"/>
        </w:rPr>
        <w:t>Disability or Death</w:t>
      </w:r>
      <w:r>
        <w:rPr>
          <w:rFonts w:ascii="Arial" w:cs="Arial" w:eastAsia="Arial" w:hAnsi="Arial"/>
          <w:sz w:val="22"/>
          <w:szCs w:val="22"/>
          <w:color w:val="auto"/>
        </w:rPr>
        <w:t>. Except as described below, a Participant who was an Eligible Employee for some portion of the Applicable Year and then becomes and remains Disabled through the end of the Applicable Year, or dies during the Applicable Year will be considered to satisfy the last-day-of-Applicable-Year requirement described in this Section 5.6 for purposes of this Plan.</w:t>
      </w:r>
    </w:p>
    <w:p>
      <w:pPr>
        <w:spacing w:after="0" w:line="187" w:lineRule="exact"/>
        <w:rPr>
          <w:rFonts w:ascii="Arial" w:cs="Arial" w:eastAsia="Arial" w:hAnsi="Arial"/>
          <w:sz w:val="22"/>
          <w:szCs w:val="22"/>
          <w:color w:val="auto"/>
        </w:rPr>
      </w:pPr>
    </w:p>
    <w:p>
      <w:pPr>
        <w:ind w:left="1280" w:right="40" w:hanging="320"/>
        <w:spacing w:after="0" w:line="214" w:lineRule="auto"/>
        <w:tabs>
          <w:tab w:leader="none" w:pos="1280" w:val="left"/>
        </w:tabs>
        <w:numPr>
          <w:ilvl w:val="0"/>
          <w:numId w:val="315"/>
        </w:numPr>
        <w:rPr>
          <w:rFonts w:ascii="Arial" w:cs="Arial" w:eastAsia="Arial" w:hAnsi="Arial"/>
          <w:sz w:val="22"/>
          <w:szCs w:val="22"/>
          <w:color w:val="auto"/>
        </w:rPr>
      </w:pPr>
      <w:r>
        <w:rPr>
          <w:rFonts w:ascii="Arial" w:cs="Arial" w:eastAsia="Arial" w:hAnsi="Arial"/>
          <w:sz w:val="22"/>
          <w:szCs w:val="22"/>
          <w:u w:val="single" w:color="auto"/>
          <w:color w:val="auto"/>
        </w:rPr>
        <w:t>Plant Closing or Reduction in Workforce</w:t>
      </w:r>
      <w:r>
        <w:rPr>
          <w:rFonts w:ascii="Arial" w:cs="Arial" w:eastAsia="Arial" w:hAnsi="Arial"/>
          <w:sz w:val="22"/>
          <w:szCs w:val="22"/>
          <w:color w:val="auto"/>
        </w:rPr>
        <w:t>. A Participant who was an Eligible Employee for some portion of the Applicable Year and whose employment is terminated as a result of his failure to locate a position following a Plant Closing or Reduction in Workforce will be considered to satisfy the last-day-of-Applicable Year requirement described in this Section 5.6 for purposes of this Plan. The Committee or its designee’s determination regarding whether a Participant’s termination is a direct result of either a Plant Closing or a Reduction in Workforce will be final and binding.</w:t>
      </w:r>
    </w:p>
    <w:p>
      <w:pPr>
        <w:spacing w:after="0" w:line="185" w:lineRule="exact"/>
        <w:rPr>
          <w:rFonts w:ascii="Arial" w:cs="Arial" w:eastAsia="Arial" w:hAnsi="Arial"/>
          <w:sz w:val="22"/>
          <w:szCs w:val="22"/>
          <w:color w:val="auto"/>
        </w:rPr>
      </w:pPr>
    </w:p>
    <w:p>
      <w:pPr>
        <w:ind w:left="1280" w:right="180" w:hanging="320"/>
        <w:spacing w:after="0" w:line="257" w:lineRule="auto"/>
        <w:tabs>
          <w:tab w:leader="none" w:pos="1268" w:val="left"/>
        </w:tabs>
        <w:numPr>
          <w:ilvl w:val="0"/>
          <w:numId w:val="315"/>
        </w:numPr>
        <w:rPr>
          <w:rFonts w:ascii="Arial" w:cs="Arial" w:eastAsia="Arial" w:hAnsi="Arial"/>
          <w:sz w:val="19"/>
          <w:szCs w:val="19"/>
          <w:color w:val="auto"/>
        </w:rPr>
      </w:pPr>
      <w:r>
        <w:rPr>
          <w:rFonts w:ascii="Arial" w:cs="Arial" w:eastAsia="Arial" w:hAnsi="Arial"/>
          <w:sz w:val="19"/>
          <w:szCs w:val="19"/>
          <w:u w:val="single" w:color="auto"/>
          <w:color w:val="auto"/>
        </w:rPr>
        <w:t>Notice of Resignation</w:t>
      </w:r>
      <w:r>
        <w:rPr>
          <w:rFonts w:ascii="Arial" w:cs="Arial" w:eastAsia="Arial" w:hAnsi="Arial"/>
          <w:sz w:val="19"/>
          <w:szCs w:val="19"/>
          <w:color w:val="auto"/>
        </w:rPr>
        <w:t>. In addition, a Participant who submits a notice of resignation from employment with the Company prior to the end of the Applicable Year and whose effective date of resignation is two (2) weeks or less from the date of notice of resignation (or as otherwise required by law) will be considered employed by the Company for purposes of this Plan until the end of his specified notice period.</w:t>
      </w:r>
    </w:p>
    <w:p>
      <w:pPr>
        <w:spacing w:after="0" w:line="171" w:lineRule="exact"/>
        <w:rPr>
          <w:sz w:val="20"/>
          <w:szCs w:val="20"/>
          <w:color w:val="auto"/>
        </w:rPr>
      </w:pPr>
    </w:p>
    <w:p>
      <w:pPr>
        <w:ind w:left="640" w:hanging="647"/>
        <w:spacing w:after="0" w:line="243" w:lineRule="auto"/>
        <w:tabs>
          <w:tab w:leader="none" w:pos="62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New Participants</w:t>
      </w:r>
      <w:r>
        <w:rPr>
          <w:rFonts w:ascii="Arial" w:cs="Arial" w:eastAsia="Arial" w:hAnsi="Arial"/>
          <w:sz w:val="19"/>
          <w:szCs w:val="19"/>
          <w:color w:val="auto"/>
        </w:rPr>
        <w:t>. If an Eligible Employee began participation in the Plan during an Applicable Year and is eligible for a</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Bonus, his Company Bonus will be based on Participant Earnings paid after the employee became a Participant. If an Eligible Employee began participation in the Plan during the 2020 Applicable Year before May 1, 2020, remains an Eligible Employee throughout the Applicable Year, and is eligible for an Additional Cash Award, his Additional Cash Award will be based on Participant Earnings for the entire 2020 Applicable Year. If, however, an Eligible Employee began participation in the Plan during the 2020 Applicable Year on or after May 1, 2020, remains an Eligible Employee throughout the remainder of the Applicable Year, and is eligible for an Additional Cash Award, his Additional Cash Award will be based on Participant Earnings prorated for the period of time between May 1, 2020 and December 31, 2020 that the individual participated in the Plan. Similarly, any Additional Cash Award for an Eligible Employee who begins participation in the Plan during the 2021 Applicable Year or after (and is otherwise eligible for an Additional Cash Award) will be based on Participant Earnings paid during the Applicable Year.</w:t>
      </w:r>
    </w:p>
    <w:p>
      <w:pPr>
        <w:spacing w:after="0" w:line="186" w:lineRule="exact"/>
        <w:rPr>
          <w:sz w:val="20"/>
          <w:szCs w:val="20"/>
          <w:color w:val="auto"/>
        </w:rPr>
      </w:pPr>
    </w:p>
    <w:p>
      <w:pPr>
        <w:ind w:left="640" w:right="120" w:hanging="647"/>
        <w:spacing w:after="0" w:line="268" w:lineRule="auto"/>
        <w:tabs>
          <w:tab w:leader="none" w:pos="6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Minimum Amount</w:t>
      </w:r>
      <w:r>
        <w:rPr>
          <w:rFonts w:ascii="Arial" w:cs="Arial" w:eastAsia="Arial" w:hAnsi="Arial"/>
          <w:sz w:val="19"/>
          <w:szCs w:val="19"/>
          <w:color w:val="auto"/>
        </w:rPr>
        <w:t>. Notwithstanding any other provision of the Plan, the minimum total amount of Company Bonus</w:t>
      </w:r>
      <w:r>
        <w:rPr>
          <w:rFonts w:ascii="Arial" w:cs="Arial" w:eastAsia="Arial" w:hAnsi="Arial"/>
          <w:sz w:val="19"/>
          <w:szCs w:val="19"/>
          <w:u w:val="single" w:color="auto"/>
          <w:color w:val="auto"/>
        </w:rPr>
        <w:t xml:space="preserve"> </w:t>
      </w:r>
      <w:r>
        <w:rPr>
          <w:rFonts w:ascii="Arial" w:cs="Arial" w:eastAsia="Arial" w:hAnsi="Arial"/>
          <w:sz w:val="19"/>
          <w:szCs w:val="19"/>
          <w:color w:val="auto"/>
        </w:rPr>
        <w:t>and/or Additional Cash Award payable to Participants in the aggregate as a group or applicable subgroup (the “Minimum Amount”) may be fixed through a resolution of the Board of Directors of Lilly or the Committee, made before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20"/>
          </w:cols>
          <w:pgMar w:left="340" w:top="1414" w:right="339" w:bottom="1440" w:gutter="0" w:footer="0" w:header="0"/>
        </w:sectPr>
      </w:pPr>
    </w:p>
    <w:bookmarkStart w:id="302" w:name="page303"/>
    <w:bookmarkEnd w:id="302"/>
    <w:p>
      <w:pPr>
        <w:spacing w:after="0" w:line="224" w:lineRule="auto"/>
        <w:rPr>
          <w:sz w:val="20"/>
          <w:szCs w:val="20"/>
          <w:color w:val="auto"/>
        </w:rPr>
      </w:pPr>
      <w:r>
        <w:rPr>
          <w:rFonts w:ascii="Arial" w:cs="Arial" w:eastAsia="Arial" w:hAnsi="Arial"/>
          <w:sz w:val="21"/>
          <w:szCs w:val="21"/>
          <w:color w:val="auto"/>
        </w:rPr>
        <w:t>end of the Applicable Year. The Minimum Amount shall not be reduced or eliminated by the Company, including by either the Board of Directors of the Company or the Committee, following the end of the Applicable Year, but shall be payable to Participants as determined by the Company and consistent with the terms of the Plan. In addition, the Minimum Amount shall not be reduced by any discretionary action to reduce a particular Participant’s Company Bonus or Additional Cash Award and shall be payable to persons, as determined by the Company, who are Participants in the Plan during the Applicable Year and eligible to receive a Company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0560"/>
          </w:cols>
          <w:pgMar w:left="980" w:top="1414" w:right="359" w:bottom="1440" w:gutter="0" w:footer="0" w:header="0"/>
        </w:sectPr>
      </w:pPr>
    </w:p>
    <w:bookmarkStart w:id="303" w:name="page304"/>
    <w:bookmarkEnd w:id="303"/>
    <w:p>
      <w:pPr>
        <w:jc w:val="center"/>
        <w:spacing w:after="0"/>
        <w:rPr>
          <w:sz w:val="20"/>
          <w:szCs w:val="20"/>
          <w:color w:val="auto"/>
        </w:rPr>
      </w:pPr>
      <w:r>
        <w:rPr>
          <w:rFonts w:ascii="Arial" w:cs="Arial" w:eastAsia="Arial" w:hAnsi="Arial"/>
          <w:sz w:val="22"/>
          <w:szCs w:val="22"/>
          <w:b w:val="1"/>
          <w:bCs w:val="1"/>
          <w:color w:val="auto"/>
        </w:rPr>
        <w:t>SECTION 6. TIME OF PAYMENT</w:t>
      </w:r>
    </w:p>
    <w:p>
      <w:pPr>
        <w:spacing w:after="0" w:line="212" w:lineRule="exact"/>
        <w:rPr>
          <w:sz w:val="20"/>
          <w:szCs w:val="20"/>
          <w:color w:val="auto"/>
        </w:rPr>
      </w:pPr>
    </w:p>
    <w:p>
      <w:pPr>
        <w:ind w:left="640" w:right="140" w:hanging="647"/>
        <w:spacing w:after="0" w:line="232" w:lineRule="auto"/>
        <w:tabs>
          <w:tab w:leader="none" w:pos="6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u w:val="single" w:color="auto"/>
          <w:color w:val="auto"/>
        </w:rPr>
        <w:t>General Rule</w:t>
      </w:r>
      <w:r>
        <w:rPr>
          <w:rFonts w:ascii="Arial" w:cs="Arial" w:eastAsia="Arial" w:hAnsi="Arial"/>
          <w:sz w:val="22"/>
          <w:szCs w:val="22"/>
          <w:color w:val="auto"/>
        </w:rPr>
        <w:t>. Payment under the Plan will be made in the year following the Applicable Year on or prior to March 15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such year.</w:t>
      </w:r>
    </w:p>
    <w:p>
      <w:pPr>
        <w:spacing w:after="0" w:line="186" w:lineRule="exact"/>
        <w:rPr>
          <w:sz w:val="20"/>
          <w:szCs w:val="20"/>
          <w:color w:val="auto"/>
        </w:rPr>
      </w:pPr>
    </w:p>
    <w:p>
      <w:pPr>
        <w:ind w:left="640" w:hanging="647"/>
        <w:spacing w:after="0" w:line="223" w:lineRule="auto"/>
        <w:tabs>
          <w:tab w:leader="none" w:pos="6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u w:val="single" w:color="auto"/>
          <w:color w:val="auto"/>
        </w:rPr>
        <w:t>Terminated Employee</w:t>
      </w:r>
      <w:r>
        <w:rPr>
          <w:rFonts w:ascii="Arial" w:cs="Arial" w:eastAsia="Arial" w:hAnsi="Arial"/>
          <w:sz w:val="22"/>
          <w:szCs w:val="22"/>
          <w:color w:val="auto"/>
        </w:rPr>
        <w:t>. Except as provided in Section 5.6 above, in the event an Eligible Employee’s employment with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Company ends for any reason prior to the last day of the Applicable Year, he will not receive any Company Bonus or Additional Cash Award for the Applicable Year.</w:t>
      </w:r>
    </w:p>
    <w:p>
      <w:pPr>
        <w:spacing w:after="0" w:line="186" w:lineRule="exact"/>
        <w:rPr>
          <w:sz w:val="20"/>
          <w:szCs w:val="20"/>
          <w:color w:val="auto"/>
        </w:rPr>
      </w:pPr>
    </w:p>
    <w:p>
      <w:pPr>
        <w:ind w:left="640" w:right="220" w:hanging="647"/>
        <w:spacing w:after="0" w:line="257" w:lineRule="auto"/>
        <w:tabs>
          <w:tab w:leader="none" w:pos="6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Deceased Eligible Employee</w:t>
      </w:r>
      <w:r>
        <w:rPr>
          <w:rFonts w:ascii="Arial" w:cs="Arial" w:eastAsia="Arial" w:hAnsi="Arial"/>
          <w:sz w:val="19"/>
          <w:szCs w:val="19"/>
          <w:color w:val="auto"/>
        </w:rPr>
        <w:t>. In the event an Eligible Employee dies before payment under the Plan is made,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Committee may, in its sole discretion, authorize the Company to pay to his personal representative or beneficiary an amount not to exceed the amount established by the Committee to reflect the payment accrued at the date of death. Any such payment would be paid consistent with the timing requirements described in subsection 6.1 above.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7. ADMINISTRATIVE GUIDELINES</w:t>
      </w:r>
    </w:p>
    <w:p>
      <w:pPr>
        <w:spacing w:after="0" w:line="212" w:lineRule="exact"/>
        <w:rPr>
          <w:sz w:val="20"/>
          <w:szCs w:val="20"/>
          <w:color w:val="auto"/>
        </w:rPr>
      </w:pPr>
    </w:p>
    <w:p>
      <w:pPr>
        <w:ind w:left="480" w:right="40" w:hanging="647"/>
        <w:spacing w:after="0" w:line="247" w:lineRule="auto"/>
        <w:tabs>
          <w:tab w:leader="none" w:pos="4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Establishment and Amendment by the Committee</w:t>
      </w:r>
      <w:r>
        <w:rPr>
          <w:rFonts w:ascii="Arial" w:cs="Arial" w:eastAsia="Arial" w:hAnsi="Arial"/>
          <w:sz w:val="19"/>
          <w:szCs w:val="19"/>
          <w:color w:val="auto"/>
        </w:rPr>
        <w:t>. The Committee may establish objective and nondiscriminatory written</w:t>
      </w:r>
      <w:r>
        <w:rPr>
          <w:rFonts w:ascii="Arial" w:cs="Arial" w:eastAsia="Arial" w:hAnsi="Arial"/>
          <w:sz w:val="19"/>
          <w:szCs w:val="19"/>
          <w:u w:val="single" w:color="auto"/>
          <w:color w:val="auto"/>
        </w:rPr>
        <w:t xml:space="preserve"> </w:t>
      </w:r>
      <w:r>
        <w:rPr>
          <w:rFonts w:ascii="Arial" w:cs="Arial" w:eastAsia="Arial" w:hAnsi="Arial"/>
          <w:sz w:val="19"/>
          <w:szCs w:val="19"/>
          <w:color w:val="auto"/>
        </w:rPr>
        <w:t>guidelines for administering those provisions of the Plan that expressly provide for the determination of eligibility, Company Bonus, Additional Cash Award or benefits on the basis of rules established by the Committee. The Committee may, from time to time, amend or supplement the administrative guidelines established in accordance with this subsection 7.1. The administrative guidelines established or amended in accordance with this subsection 7.1 will not be effective to the extent that they materially increase the Plan's liability, or to the extent that they are inconsistent with, or purport to amend, any provision of the Plan set forth in a document other than such administrative guidelines.</w:t>
      </w:r>
    </w:p>
    <w:p>
      <w:pPr>
        <w:spacing w:after="0" w:line="181" w:lineRule="exact"/>
        <w:rPr>
          <w:sz w:val="20"/>
          <w:szCs w:val="20"/>
          <w:color w:val="auto"/>
        </w:rPr>
      </w:pPr>
    </w:p>
    <w:p>
      <w:pPr>
        <w:ind w:left="520" w:right="20" w:hanging="647"/>
        <w:spacing w:after="0" w:line="223" w:lineRule="auto"/>
        <w:tabs>
          <w:tab w:leader="none" w:pos="5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u w:val="single" w:color="auto"/>
          <w:color w:val="auto"/>
        </w:rPr>
        <w:t>Amendment by Board of Directors</w:t>
      </w:r>
      <w:r>
        <w:rPr>
          <w:rFonts w:ascii="Arial" w:cs="Arial" w:eastAsia="Arial" w:hAnsi="Arial"/>
          <w:sz w:val="22"/>
          <w:szCs w:val="22"/>
          <w:color w:val="auto"/>
        </w:rPr>
        <w:t>. Any administrative guidelines established by the Committee pursuant to subsection 7.1</w:t>
      </w:r>
      <w:r>
        <w:rPr>
          <w:rFonts w:ascii="Arial" w:cs="Arial" w:eastAsia="Arial" w:hAnsi="Arial"/>
          <w:sz w:val="22"/>
          <w:szCs w:val="22"/>
          <w:u w:val="single" w:color="auto"/>
          <w:color w:val="auto"/>
        </w:rPr>
        <w:t xml:space="preserve"> </w:t>
      </w:r>
      <w:r>
        <w:rPr>
          <w:rFonts w:ascii="Arial" w:cs="Arial" w:eastAsia="Arial" w:hAnsi="Arial"/>
          <w:sz w:val="22"/>
          <w:szCs w:val="22"/>
          <w:color w:val="auto"/>
        </w:rPr>
        <w:t>may be amended or revoked by the Board of Directors, either prospectively or retroactively, in accordance with the general amendment procedures set forth in section 9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200"/>
          </w:cols>
          <w:pgMar w:left="340" w:top="1408" w:right="359" w:bottom="1440" w:gutter="0" w:footer="0" w:header="0"/>
        </w:sectPr>
      </w:pPr>
    </w:p>
    <w:bookmarkStart w:id="304" w:name="page305"/>
    <w:bookmarkEnd w:id="304"/>
    <w:p>
      <w:pPr>
        <w:jc w:val="center"/>
        <w:spacing w:after="0"/>
        <w:rPr>
          <w:sz w:val="20"/>
          <w:szCs w:val="20"/>
          <w:color w:val="auto"/>
        </w:rPr>
      </w:pPr>
      <w:r>
        <w:rPr>
          <w:rFonts w:ascii="Arial" w:cs="Arial" w:eastAsia="Arial" w:hAnsi="Arial"/>
          <w:sz w:val="22"/>
          <w:szCs w:val="22"/>
          <w:b w:val="1"/>
          <w:bCs w:val="1"/>
          <w:color w:val="auto"/>
        </w:rPr>
        <w:t>SECTION 8. MISCELLANEOUS</w:t>
      </w:r>
    </w:p>
    <w:p>
      <w:pPr>
        <w:spacing w:after="0" w:line="212" w:lineRule="exact"/>
        <w:rPr>
          <w:sz w:val="20"/>
          <w:szCs w:val="20"/>
          <w:color w:val="auto"/>
        </w:rPr>
      </w:pPr>
    </w:p>
    <w:p>
      <w:pPr>
        <w:ind w:left="620" w:right="120" w:hanging="647"/>
        <w:spacing w:after="0" w:line="247" w:lineRule="auto"/>
        <w:tabs>
          <w:tab w:leader="none" w:pos="6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u w:val="single" w:color="auto"/>
          <w:color w:val="auto"/>
        </w:rPr>
        <w:t>No Vested Right</w:t>
      </w:r>
      <w:r>
        <w:rPr>
          <w:rFonts w:ascii="Arial" w:cs="Arial" w:eastAsia="Arial" w:hAnsi="Arial"/>
          <w:sz w:val="21"/>
          <w:szCs w:val="21"/>
          <w:color w:val="auto"/>
        </w:rPr>
        <w:t>. No employee, participant, beneficiary, or other individual will have a vested right to a Company Bonus</w:t>
      </w:r>
      <w:r>
        <w:rPr>
          <w:rFonts w:ascii="Arial" w:cs="Arial" w:eastAsia="Arial" w:hAnsi="Arial"/>
          <w:sz w:val="21"/>
          <w:szCs w:val="21"/>
          <w:u w:val="single" w:color="auto"/>
          <w:color w:val="auto"/>
        </w:rPr>
        <w:t xml:space="preserve"> </w:t>
      </w:r>
      <w:r>
        <w:rPr>
          <w:rFonts w:ascii="Arial" w:cs="Arial" w:eastAsia="Arial" w:hAnsi="Arial"/>
          <w:sz w:val="21"/>
          <w:szCs w:val="21"/>
          <w:color w:val="auto"/>
        </w:rPr>
        <w:t>or Additional Cash Award or any part thereof until payment is made to him under Section 6.</w:t>
      </w:r>
    </w:p>
    <w:p>
      <w:pPr>
        <w:spacing w:after="0" w:line="178" w:lineRule="exact"/>
        <w:rPr>
          <w:sz w:val="20"/>
          <w:szCs w:val="20"/>
          <w:color w:val="auto"/>
        </w:rPr>
      </w:pPr>
    </w:p>
    <w:p>
      <w:pPr>
        <w:ind w:left="620" w:right="300" w:hanging="647"/>
        <w:spacing w:after="0" w:line="218" w:lineRule="auto"/>
        <w:tabs>
          <w:tab w:leader="none" w:pos="60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u w:val="single" w:color="auto"/>
          <w:color w:val="auto"/>
        </w:rPr>
        <w:t>No Employment Rights</w:t>
      </w:r>
      <w:r>
        <w:rPr>
          <w:rFonts w:ascii="Arial" w:cs="Arial" w:eastAsia="Arial" w:hAnsi="Arial"/>
          <w:sz w:val="22"/>
          <w:szCs w:val="22"/>
          <w:color w:val="auto"/>
        </w:rPr>
        <w:t>. No provision of the Plan or any action taken by the Company, the Board of Directors of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Company, or the Committee will give any person any right to be retained in the employ of the Company. The right and power of the Company to dismiss or discharge any Participant for any reason or no reason, with or without notice, is specifically reserved.</w:t>
      </w:r>
    </w:p>
    <w:p>
      <w:pPr>
        <w:spacing w:after="0" w:line="188" w:lineRule="exact"/>
        <w:rPr>
          <w:sz w:val="20"/>
          <w:szCs w:val="20"/>
          <w:color w:val="auto"/>
        </w:rPr>
      </w:pPr>
    </w:p>
    <w:p>
      <w:pPr>
        <w:ind w:left="620" w:right="200" w:hanging="647"/>
        <w:spacing w:after="0" w:line="216" w:lineRule="auto"/>
        <w:tabs>
          <w:tab w:leader="none" w:pos="60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u w:val="single" w:color="auto"/>
          <w:color w:val="auto"/>
        </w:rPr>
        <w:t>No Adjustments</w:t>
      </w:r>
      <w:r>
        <w:rPr>
          <w:rFonts w:ascii="Arial" w:cs="Arial" w:eastAsia="Arial" w:hAnsi="Arial"/>
          <w:sz w:val="22"/>
          <w:szCs w:val="22"/>
          <w:color w:val="auto"/>
        </w:rPr>
        <w:t>. After the certification of the calculation of EPS, EPS Change, Revenue, Revenue Change, Pipeline</w:t>
      </w:r>
      <w:r>
        <w:rPr>
          <w:rFonts w:ascii="Arial" w:cs="Arial" w:eastAsia="Arial" w:hAnsi="Arial"/>
          <w:sz w:val="22"/>
          <w:szCs w:val="22"/>
          <w:u w:val="single" w:color="auto"/>
          <w:color w:val="auto"/>
        </w:rPr>
        <w:t xml:space="preserve"> </w:t>
      </w:r>
      <w:r>
        <w:rPr>
          <w:rFonts w:ascii="Arial" w:cs="Arial" w:eastAsia="Arial" w:hAnsi="Arial"/>
          <w:sz w:val="22"/>
          <w:szCs w:val="22"/>
          <w:color w:val="auto"/>
        </w:rPr>
        <w:t>Metrics and any other material terms of the calculation of the Company Performance Bonus Multiple, Company Bonus and Additional Cash Award for the Applicable Year as described in Section 3.3 above, no adjustments will be made to reflect any subsequent change in accounting, the effect of federal, state, or municipal taxes later assessed or determined, or otherwise.</w:t>
      </w:r>
    </w:p>
    <w:p>
      <w:pPr>
        <w:spacing w:after="0" w:line="185" w:lineRule="exact"/>
        <w:rPr>
          <w:sz w:val="20"/>
          <w:szCs w:val="20"/>
          <w:color w:val="auto"/>
        </w:rPr>
      </w:pPr>
    </w:p>
    <w:p>
      <w:pPr>
        <w:ind w:left="620" w:right="180" w:hanging="647"/>
        <w:spacing w:after="0" w:line="226" w:lineRule="auto"/>
        <w:tabs>
          <w:tab w:leader="none" w:pos="60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1"/>
          <w:szCs w:val="21"/>
          <w:u w:val="single" w:color="auto"/>
          <w:color w:val="auto"/>
        </w:rPr>
        <w:t>Executive Compensation Recovery Policy</w:t>
      </w:r>
      <w:r>
        <w:rPr>
          <w:rFonts w:ascii="Arial" w:cs="Arial" w:eastAsia="Arial" w:hAnsi="Arial"/>
          <w:sz w:val="21"/>
          <w:szCs w:val="21"/>
          <w:color w:val="auto"/>
        </w:rPr>
        <w:t>. Notwithstanding any other provision of the Plan, including Section 8.3, all</w:t>
      </w:r>
      <w:r>
        <w:rPr>
          <w:rFonts w:ascii="Arial" w:cs="Arial" w:eastAsia="Arial" w:hAnsi="Arial"/>
          <w:sz w:val="21"/>
          <w:szCs w:val="21"/>
          <w:u w:val="single" w:color="auto"/>
          <w:color w:val="auto"/>
        </w:rPr>
        <w:t xml:space="preserve"> </w:t>
      </w:r>
      <w:r>
        <w:rPr>
          <w:rFonts w:ascii="Arial" w:cs="Arial" w:eastAsia="Arial" w:hAnsi="Arial"/>
          <w:sz w:val="21"/>
          <w:szCs w:val="21"/>
          <w:color w:val="auto"/>
        </w:rPr>
        <w:t>payments made or to be made pursuant to the Plan are subject to Lilly’s Executive Compensation Recovery Policy, as in effect from time to time. In addition, nothing herein shall limit the Company’s power to take such action as it deems necessary to remedy any misconduct, prevent its recurrence and, if appropriate, based on all relevant facts and circumstances, punish the wrongdoer in a manner that it deems appropriate.</w:t>
      </w:r>
    </w:p>
    <w:p>
      <w:pPr>
        <w:spacing w:after="0" w:line="186" w:lineRule="exact"/>
        <w:rPr>
          <w:sz w:val="20"/>
          <w:szCs w:val="20"/>
          <w:color w:val="auto"/>
        </w:rPr>
      </w:pPr>
    </w:p>
    <w:p>
      <w:pPr>
        <w:ind w:left="620" w:right="80" w:hanging="647"/>
        <w:spacing w:after="0" w:line="247" w:lineRule="auto"/>
        <w:tabs>
          <w:tab w:leader="none" w:pos="60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Other Representations</w:t>
      </w:r>
      <w:r>
        <w:rPr>
          <w:rFonts w:ascii="Arial" w:cs="Arial" w:eastAsia="Arial" w:hAnsi="Arial"/>
          <w:sz w:val="19"/>
          <w:szCs w:val="19"/>
          <w:color w:val="auto"/>
        </w:rPr>
        <w:t>. Nothing contained in this Plan, and no action taken pursuant to its provisions, will create or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construed to create a trust of any kind, or a fiduciary relationship between the Company and any employee, participant, beneficiary, legal representative, or any other person. Although Participants generally have no right to any payment from this Plan, to the extent that any Participant acquires a right to receive payments from the Company under the Plan, such right will be no greater than the right of an unsecured general creditor of the Company. All payments to be made hereunder will be paid from the general funds of the Company and no special or separate fund will be established, and no segregation of assets will be made, to assure payment of such amount.</w:t>
      </w:r>
    </w:p>
    <w:p>
      <w:pPr>
        <w:spacing w:after="0" w:line="181" w:lineRule="exact"/>
        <w:rPr>
          <w:sz w:val="20"/>
          <w:szCs w:val="20"/>
          <w:color w:val="auto"/>
        </w:rPr>
      </w:pPr>
    </w:p>
    <w:p>
      <w:pPr>
        <w:ind w:left="620" w:right="100" w:hanging="647"/>
        <w:spacing w:after="0" w:line="252" w:lineRule="auto"/>
        <w:tabs>
          <w:tab w:leader="none" w:pos="60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will make such provisions and take such steps as it may deem necessary or appropriate</w:t>
      </w:r>
      <w:r>
        <w:rPr>
          <w:rFonts w:ascii="Arial" w:cs="Arial" w:eastAsia="Arial" w:hAnsi="Arial"/>
          <w:sz w:val="19"/>
          <w:szCs w:val="19"/>
          <w:u w:val="single" w:color="auto"/>
          <w:color w:val="auto"/>
        </w:rPr>
        <w:t xml:space="preserve"> </w:t>
      </w:r>
      <w:r>
        <w:rPr>
          <w:rFonts w:ascii="Arial" w:cs="Arial" w:eastAsia="Arial" w:hAnsi="Arial"/>
          <w:sz w:val="19"/>
          <w:szCs w:val="19"/>
          <w:color w:val="auto"/>
        </w:rPr>
        <w:t>for the withholding of all federal, state, local, and other taxes required by law to be withheld with respect to Company Bonus and Additional Cash Award payments under the Plan, including, but not limited to, deducting the amount required to be withheld from the amount of cash otherwise payable under the Plan, or from salary or any other amount then or thereafter payable to an employee, Participant, beneficiary, or legal representative.</w:t>
      </w:r>
    </w:p>
    <w:p>
      <w:pPr>
        <w:spacing w:after="0" w:line="176" w:lineRule="exact"/>
        <w:rPr>
          <w:sz w:val="20"/>
          <w:szCs w:val="20"/>
          <w:color w:val="auto"/>
        </w:rPr>
      </w:pPr>
    </w:p>
    <w:p>
      <w:pPr>
        <w:jc w:val="both"/>
        <w:ind w:left="620" w:right="20" w:hanging="647"/>
        <w:spacing w:after="0" w:line="223" w:lineRule="auto"/>
        <w:tabs>
          <w:tab w:leader="none" w:pos="60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22"/>
          <w:szCs w:val="22"/>
          <w:u w:val="single" w:color="auto"/>
          <w:color w:val="auto"/>
        </w:rPr>
        <w:t>Currency</w:t>
      </w:r>
      <w:r>
        <w:rPr>
          <w:rFonts w:ascii="Arial" w:cs="Arial" w:eastAsia="Arial" w:hAnsi="Arial"/>
          <w:sz w:val="22"/>
          <w:szCs w:val="22"/>
          <w:color w:val="auto"/>
        </w:rPr>
        <w:t>. The Company Bonus and Additional Cash Award will be based on the currency in which the highest portion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base pay is regularly paid. The Committee will determine the appropriate foreign exchange conversion methodology in its discretion.</w:t>
      </w:r>
    </w:p>
    <w:p>
      <w:pPr>
        <w:spacing w:after="0" w:line="186" w:lineRule="exact"/>
        <w:rPr>
          <w:sz w:val="20"/>
          <w:szCs w:val="20"/>
          <w:color w:val="auto"/>
        </w:rPr>
      </w:pPr>
    </w:p>
    <w:p>
      <w:pPr>
        <w:ind w:left="620" w:hanging="647"/>
        <w:spacing w:after="0" w:line="223" w:lineRule="auto"/>
        <w:tabs>
          <w:tab w:leader="none" w:pos="60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2"/>
          <w:szCs w:val="22"/>
          <w:u w:val="single" w:color="auto"/>
          <w:color w:val="auto"/>
        </w:rPr>
        <w:t>Effect of Plan on other Company plans</w:t>
      </w:r>
      <w:r>
        <w:rPr>
          <w:rFonts w:ascii="Arial" w:cs="Arial" w:eastAsia="Arial" w:hAnsi="Arial"/>
          <w:sz w:val="22"/>
          <w:szCs w:val="22"/>
          <w:color w:val="auto"/>
        </w:rPr>
        <w:t>. Nothing contained in this Plan is intended to amend, modify, terminate, or rescind</w:t>
      </w:r>
      <w:r>
        <w:rPr>
          <w:rFonts w:ascii="Arial" w:cs="Arial" w:eastAsia="Arial" w:hAnsi="Arial"/>
          <w:sz w:val="22"/>
          <w:szCs w:val="22"/>
          <w:u w:val="single" w:color="auto"/>
          <w:color w:val="auto"/>
        </w:rPr>
        <w:t xml:space="preserve"> </w:t>
      </w:r>
      <w:r>
        <w:rPr>
          <w:rFonts w:ascii="Arial" w:cs="Arial" w:eastAsia="Arial" w:hAnsi="Arial"/>
          <w:sz w:val="22"/>
          <w:szCs w:val="22"/>
          <w:color w:val="auto"/>
        </w:rPr>
        <w:t>other benefit or compensation plans established or maintained by the Company. Whether and to what extent a Participant’s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180"/>
          </w:cols>
          <w:pgMar w:left="360" w:top="1408" w:right="359" w:bottom="1440" w:gutter="0" w:footer="0" w:header="0"/>
        </w:sectPr>
      </w:pPr>
    </w:p>
    <w:bookmarkStart w:id="305" w:name="page306"/>
    <w:bookmarkEnd w:id="305"/>
    <w:p>
      <w:pPr>
        <w:ind w:left="660" w:right="360"/>
        <w:spacing w:after="0" w:line="232" w:lineRule="auto"/>
        <w:rPr>
          <w:sz w:val="20"/>
          <w:szCs w:val="20"/>
          <w:color w:val="auto"/>
        </w:rPr>
      </w:pPr>
      <w:r>
        <w:rPr>
          <w:rFonts w:ascii="Arial" w:cs="Arial" w:eastAsia="Arial" w:hAnsi="Arial"/>
          <w:sz w:val="22"/>
          <w:szCs w:val="22"/>
          <w:color w:val="auto"/>
        </w:rPr>
        <w:t>Bonus and Additional Cash Award is taken into account under any other plan will be determined solely in accordance with the terms of such plan.</w:t>
      </w:r>
    </w:p>
    <w:p>
      <w:pPr>
        <w:spacing w:after="0" w:line="186" w:lineRule="exact"/>
        <w:rPr>
          <w:sz w:val="20"/>
          <w:szCs w:val="20"/>
          <w:color w:val="auto"/>
        </w:rPr>
      </w:pPr>
    </w:p>
    <w:p>
      <w:pPr>
        <w:ind w:left="660" w:right="180" w:hanging="647"/>
        <w:spacing w:after="0" w:line="232" w:lineRule="auto"/>
        <w:tabs>
          <w:tab w:leader="none" w:pos="64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22"/>
          <w:szCs w:val="22"/>
          <w:u w:val="single" w:color="auto"/>
          <w:color w:val="auto"/>
        </w:rPr>
        <w:t>Construction</w:t>
      </w:r>
      <w:r>
        <w:rPr>
          <w:rFonts w:ascii="Arial" w:cs="Arial" w:eastAsia="Arial" w:hAnsi="Arial"/>
          <w:sz w:val="22"/>
          <w:szCs w:val="22"/>
          <w:color w:val="auto"/>
        </w:rPr>
        <w:t>. This Plan and all the rights thereunder will be governed by, and construed in accordance with, the laws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state of Indiana, without reference to the principles of conflicts of law thereof.</w:t>
      </w:r>
    </w:p>
    <w:p>
      <w:pPr>
        <w:spacing w:after="0" w:line="186"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22"/>
          <w:szCs w:val="22"/>
          <w:u w:val="single" w:color="auto"/>
          <w:color w:val="auto"/>
        </w:rPr>
        <w:t>Notice</w:t>
      </w:r>
      <w:r>
        <w:rPr>
          <w:rFonts w:ascii="Arial" w:cs="Arial" w:eastAsia="Arial" w:hAnsi="Arial"/>
          <w:sz w:val="22"/>
          <w:szCs w:val="22"/>
          <w:color w:val="auto"/>
        </w:rPr>
        <w:t>. Any notice to be given to the Company or Committee pursuant to the provisions of the Plan will be in writing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directed to Secretary, Loxo Oncology, Inc., Lilly Corporate Center, Indianapolis, IN 46285.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SECTION 9. AMENDMENT, SUSPENSION, OR TERMINATION</w:t>
      </w:r>
    </w:p>
    <w:p>
      <w:pPr>
        <w:spacing w:after="0" w:line="22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Board of Directors of the Company will have the right to amend, modify, suspend, revoke, or terminate the Plan, in whole or in part, at any time and without notice, by written resolution of the Board of Directors. The Committee also will have the right to amend the Plan, except that the Committee may not amend this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180"/>
          </w:cols>
          <w:pgMar w:left="320" w:top="1414" w:right="399" w:bottom="1440" w:gutter="0" w:footer="0" w:header="0"/>
        </w:sectPr>
      </w:pPr>
    </w:p>
    <w:bookmarkStart w:id="306" w:name="page307"/>
    <w:bookmarkEnd w:id="306"/>
    <w:p>
      <w:pPr>
        <w:ind w:left="372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2021.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35"/>
        </w:trPr>
        <w:tc>
          <w:tcPr>
            <w:tcW w:w="6000" w:type="dxa"/>
            <w:vAlign w:val="bottom"/>
          </w:tcPr>
          <w:p>
            <w:pPr>
              <w:spacing w:after="0"/>
              <w:rPr>
                <w:sz w:val="11"/>
                <w:szCs w:val="11"/>
                <w:color w:val="auto"/>
              </w:rPr>
            </w:pPr>
          </w:p>
        </w:tc>
        <w:tc>
          <w:tcPr>
            <w:tcW w:w="5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Incorporation</w:t>
            </w:r>
          </w:p>
        </w:tc>
      </w:tr>
      <w:tr>
        <w:trPr>
          <w:trHeight w:val="175"/>
        </w:trPr>
        <w:tc>
          <w:tcPr>
            <w:tcW w:w="600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64"/>
        </w:trPr>
        <w:tc>
          <w:tcPr>
            <w:tcW w:w="6000" w:type="dxa"/>
            <w:vAlign w:val="bottom"/>
          </w:tcPr>
          <w:p>
            <w:pPr>
              <w:spacing w:after="0"/>
              <w:rPr>
                <w:sz w:val="20"/>
                <w:szCs w:val="20"/>
                <w:color w:val="auto"/>
              </w:rPr>
            </w:pPr>
            <w:r>
              <w:rPr>
                <w:rFonts w:ascii="Arial" w:cs="Arial" w:eastAsia="Arial" w:hAnsi="Arial"/>
                <w:sz w:val="18"/>
                <w:szCs w:val="18"/>
                <w:color w:val="auto"/>
              </w:rPr>
              <w:t>1096401 B.C. Unlimited Liability Company</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Acanthas Pharma,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Peru</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ARMO Biosciences,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AurKa Pharma,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Compania Farmaceutica Eli Lilly de Centro America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Dermira,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Dermira Canada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Disarm Therapeutics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Dista Ilac Ticaret Ltd. Sti.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Dista,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Elanco Switzerland Holding Sarl</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ELCO Dominicana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Dominican Republic</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ELCO Management,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rPr>
              <w:t>Bermuda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(Suisse)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New Zealand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Asia,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Benelux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B-H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Bosnia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1180"/>
          </w:cols>
          <w:pgMar w:left="340" w:top="886" w:right="379" w:bottom="1440" w:gutter="0" w:footer="0" w:header="0"/>
        </w:sectPr>
      </w:pPr>
    </w:p>
    <w:bookmarkStart w:id="307" w:name="page308"/>
    <w:bookmarkEnd w:id="3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35"/>
        </w:trPr>
        <w:tc>
          <w:tcPr>
            <w:tcW w:w="6000" w:type="dxa"/>
            <w:vAlign w:val="bottom"/>
          </w:tcPr>
          <w:p>
            <w:pPr>
              <w:spacing w:after="0"/>
              <w:rPr>
                <w:sz w:val="11"/>
                <w:szCs w:val="11"/>
                <w:color w:val="auto"/>
              </w:rPr>
            </w:pPr>
          </w:p>
        </w:tc>
        <w:tc>
          <w:tcPr>
            <w:tcW w:w="5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Incorporation</w:t>
            </w:r>
          </w:p>
        </w:tc>
      </w:tr>
      <w:tr>
        <w:trPr>
          <w:trHeight w:val="176"/>
        </w:trPr>
        <w:tc>
          <w:tcPr>
            <w:tcW w:w="600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63"/>
        </w:trPr>
        <w:tc>
          <w:tcPr>
            <w:tcW w:w="6000" w:type="dxa"/>
            <w:vAlign w:val="bottom"/>
          </w:tcPr>
          <w:p>
            <w:pPr>
              <w:spacing w:after="0"/>
              <w:rPr>
                <w:sz w:val="20"/>
                <w:szCs w:val="20"/>
                <w:color w:val="auto"/>
              </w:rPr>
            </w:pPr>
            <w:r>
              <w:rPr>
                <w:rFonts w:ascii="Arial" w:cs="Arial" w:eastAsia="Arial" w:hAnsi="Arial"/>
                <w:sz w:val="18"/>
                <w:szCs w:val="18"/>
                <w:color w:val="auto"/>
              </w:rPr>
              <w:t>Eli Lilly Canada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CR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Czech Republic</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Danmark A/S</w:t>
            </w:r>
          </w:p>
        </w:tc>
        <w:tc>
          <w:tcPr>
            <w:tcW w:w="5180" w:type="dxa"/>
            <w:vAlign w:val="bottom"/>
          </w:tcPr>
          <w:p>
            <w:pPr>
              <w:jc w:val="center"/>
              <w:spacing w:after="0"/>
              <w:rPr>
                <w:sz w:val="20"/>
                <w:szCs w:val="20"/>
                <w:color w:val="auto"/>
              </w:rPr>
            </w:pPr>
            <w:r>
              <w:rPr>
                <w:rFonts w:ascii="Arial" w:cs="Arial" w:eastAsia="Arial" w:hAnsi="Arial"/>
                <w:sz w:val="18"/>
                <w:szCs w:val="18"/>
                <w:color w:val="auto"/>
              </w:rPr>
              <w:t>Denmark</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Brazil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Egypt, for Trading</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Egypt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180" w:type="dxa"/>
            <w:vAlign w:val="bottom"/>
          </w:tcPr>
          <w:p>
            <w:pPr>
              <w:jc w:val="center"/>
              <w:spacing w:after="0"/>
              <w:rPr>
                <w:sz w:val="20"/>
                <w:szCs w:val="20"/>
                <w:color w:val="auto"/>
              </w:rPr>
            </w:pPr>
            <w:r>
              <w:rPr>
                <w:rFonts w:ascii="Arial" w:cs="Arial" w:eastAsia="Arial" w:hAnsi="Arial"/>
                <w:sz w:val="18"/>
                <w:szCs w:val="18"/>
                <w:color w:val="auto"/>
              </w:rPr>
              <w:t>Belgium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Export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180" w:type="dxa"/>
            <w:vAlign w:val="bottom"/>
          </w:tcPr>
          <w:p>
            <w:pPr>
              <w:jc w:val="center"/>
              <w:spacing w:after="0"/>
              <w:rPr>
                <w:sz w:val="20"/>
                <w:szCs w:val="20"/>
                <w:color w:val="auto"/>
              </w:rPr>
            </w:pPr>
            <w:r>
              <w:rPr>
                <w:rFonts w:ascii="Arial" w:cs="Arial" w:eastAsia="Arial" w:hAnsi="Arial"/>
                <w:sz w:val="18"/>
                <w:szCs w:val="18"/>
                <w:color w:val="auto"/>
              </w:rPr>
              <w:t>Slovenia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Finance,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Ges.m.b.H.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Holdings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Croatia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180" w:type="dxa"/>
            <w:vAlign w:val="bottom"/>
          </w:tcPr>
          <w:p>
            <w:pPr>
              <w:jc w:val="center"/>
              <w:spacing w:after="0"/>
              <w:rPr>
                <w:sz w:val="20"/>
                <w:szCs w:val="20"/>
                <w:color w:val="auto"/>
              </w:rPr>
            </w:pPr>
            <w:r>
              <w:rPr>
                <w:rFonts w:ascii="Arial" w:cs="Arial" w:eastAsia="Arial" w:hAnsi="Arial"/>
                <w:sz w:val="18"/>
                <w:szCs w:val="18"/>
                <w:color w:val="auto"/>
              </w:rPr>
              <w:t>Chile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Israel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Italia S.p.A.</w:t>
            </w:r>
          </w:p>
        </w:tc>
        <w:tc>
          <w:tcPr>
            <w:tcW w:w="518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Japan K.K.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Ireland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Nigeria Ltd.</w:t>
            </w:r>
          </w:p>
        </w:tc>
        <w:tc>
          <w:tcPr>
            <w:tcW w:w="5180" w:type="dxa"/>
            <w:vAlign w:val="bottom"/>
          </w:tcPr>
          <w:p>
            <w:pPr>
              <w:jc w:val="center"/>
              <w:spacing w:after="0"/>
              <w:rPr>
                <w:sz w:val="20"/>
                <w:szCs w:val="20"/>
                <w:color w:val="auto"/>
              </w:rPr>
            </w:pPr>
            <w:r>
              <w:rPr>
                <w:rFonts w:ascii="Arial" w:cs="Arial" w:eastAsia="Arial" w:hAnsi="Arial"/>
                <w:sz w:val="18"/>
                <w:szCs w:val="18"/>
                <w:color w:val="auto"/>
              </w:rPr>
              <w:t>Nigeria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Norge A.S.</w:t>
            </w:r>
          </w:p>
        </w:tc>
        <w:tc>
          <w:tcPr>
            <w:tcW w:w="5180" w:type="dxa"/>
            <w:vAlign w:val="bottom"/>
          </w:tcPr>
          <w:p>
            <w:pPr>
              <w:jc w:val="center"/>
              <w:spacing w:after="0"/>
              <w:rPr>
                <w:sz w:val="20"/>
                <w:szCs w:val="20"/>
                <w:color w:val="auto"/>
              </w:rPr>
            </w:pPr>
            <w:r>
              <w:rPr>
                <w:rFonts w:ascii="Arial" w:cs="Arial" w:eastAsia="Arial" w:hAnsi="Arial"/>
                <w:sz w:val="18"/>
                <w:szCs w:val="18"/>
                <w:color w:val="auto"/>
              </w:rPr>
              <w:t>Norway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180" w:type="dxa"/>
            <w:vAlign w:val="bottom"/>
          </w:tcPr>
          <w:p>
            <w:pPr>
              <w:jc w:val="center"/>
              <w:spacing w:after="0"/>
              <w:rPr>
                <w:sz w:val="20"/>
                <w:szCs w:val="20"/>
                <w:color w:val="auto"/>
              </w:rPr>
            </w:pPr>
            <w:r>
              <w:rPr>
                <w:rFonts w:ascii="Arial" w:cs="Arial" w:eastAsia="Arial" w:hAnsi="Arial"/>
                <w:sz w:val="18"/>
                <w:szCs w:val="18"/>
                <w:color w:val="auto"/>
              </w:rPr>
              <w:t>Pakistan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Polska Sp.z.o.o.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Romania SRL</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Saudi Arabia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Sweden AB</w:t>
            </w:r>
          </w:p>
        </w:tc>
        <w:tc>
          <w:tcPr>
            <w:tcW w:w="5180" w:type="dxa"/>
            <w:vAlign w:val="bottom"/>
          </w:tcPr>
          <w:p>
            <w:pPr>
              <w:jc w:val="center"/>
              <w:spacing w:after="0"/>
              <w:rPr>
                <w:sz w:val="20"/>
                <w:szCs w:val="20"/>
                <w:color w:val="auto"/>
              </w:rPr>
            </w:pPr>
            <w:r>
              <w:rPr>
                <w:rFonts w:ascii="Arial" w:cs="Arial" w:eastAsia="Arial" w:hAnsi="Arial"/>
                <w:sz w:val="18"/>
                <w:szCs w:val="18"/>
                <w:color w:val="auto"/>
              </w:rPr>
              <w:t>Sweden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180" w:type="dxa"/>
            <w:vAlign w:val="bottom"/>
          </w:tcPr>
          <w:p>
            <w:pPr>
              <w:jc w:val="center"/>
              <w:spacing w:after="0"/>
              <w:rPr>
                <w:sz w:val="20"/>
                <w:szCs w:val="20"/>
                <w:color w:val="auto"/>
              </w:rPr>
            </w:pPr>
            <w:r>
              <w:rPr>
                <w:rFonts w:ascii="Arial" w:cs="Arial" w:eastAsia="Arial" w:hAnsi="Arial"/>
                <w:sz w:val="18"/>
                <w:szCs w:val="18"/>
                <w:color w:val="auto"/>
              </w:rPr>
              <w:t>Mexico</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Glycostasis,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ICOS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Washington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GmbH</w:t>
            </w:r>
          </w:p>
        </w:tc>
        <w:tc>
          <w:tcPr>
            <w:tcW w:w="518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ImClone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Systems Holdings,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ImClone Systems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180"/>
          </w:cols>
          <w:pgMar w:left="340" w:top="924" w:right="379" w:bottom="1440" w:gutter="0" w:footer="0" w:header="0"/>
        </w:sectPr>
      </w:pPr>
    </w:p>
    <w:bookmarkStart w:id="308" w:name="page309"/>
    <w:bookmarkEnd w:id="3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35"/>
        </w:trPr>
        <w:tc>
          <w:tcPr>
            <w:tcW w:w="6000" w:type="dxa"/>
            <w:vAlign w:val="bottom"/>
          </w:tcPr>
          <w:p>
            <w:pPr>
              <w:spacing w:after="0"/>
              <w:rPr>
                <w:sz w:val="11"/>
                <w:szCs w:val="11"/>
                <w:color w:val="auto"/>
              </w:rPr>
            </w:pPr>
          </w:p>
        </w:tc>
        <w:tc>
          <w:tcPr>
            <w:tcW w:w="5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Incorporation</w:t>
            </w:r>
          </w:p>
        </w:tc>
      </w:tr>
      <w:tr>
        <w:trPr>
          <w:trHeight w:val="176"/>
        </w:trPr>
        <w:tc>
          <w:tcPr>
            <w:tcW w:w="600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263"/>
        </w:trPr>
        <w:tc>
          <w:tcPr>
            <w:tcW w:w="6000" w:type="dxa"/>
            <w:vAlign w:val="bottom"/>
          </w:tcPr>
          <w:p>
            <w:pPr>
              <w:spacing w:after="0"/>
              <w:rPr>
                <w:sz w:val="20"/>
                <w:szCs w:val="20"/>
                <w:color w:val="auto"/>
              </w:rPr>
            </w:pPr>
            <w:r>
              <w:rPr>
                <w:rFonts w:ascii="Arial" w:cs="Arial" w:eastAsia="Arial" w:hAnsi="Arial"/>
                <w:sz w:val="18"/>
                <w:szCs w:val="18"/>
                <w:color w:val="auto"/>
              </w:rPr>
              <w:t>Irisfarma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LDH I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Cayman Holdings</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Centre for Clinical Pharmacology PTE.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del Caribe, Inc.</w:t>
            </w:r>
          </w:p>
        </w:tc>
        <w:tc>
          <w:tcPr>
            <w:tcW w:w="518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France S.A.S.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Holding GmbH</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Holdings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Hungaria KFT</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ilaç ticaret limited şirketi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Japan Financing G.K.</w:t>
            </w:r>
          </w:p>
        </w:tc>
        <w:tc>
          <w:tcPr>
            <w:tcW w:w="5180" w:type="dxa"/>
            <w:vAlign w:val="bottom"/>
          </w:tcPr>
          <w:p>
            <w:pPr>
              <w:jc w:val="center"/>
              <w:spacing w:after="0"/>
              <w:rPr>
                <w:sz w:val="20"/>
                <w:szCs w:val="20"/>
                <w:color w:val="auto"/>
              </w:rPr>
            </w:pPr>
            <w:r>
              <w:rPr>
                <w:rFonts w:ascii="Arial" w:cs="Arial" w:eastAsia="Arial" w:hAnsi="Arial"/>
                <w:sz w:val="18"/>
                <w:szCs w:val="18"/>
                <w:color w:val="auto"/>
              </w:rPr>
              <w:t>Japan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Korea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Nederland Finance B.V. - GCC</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18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Pharma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Trading Co. LTD</w:t>
            </w:r>
          </w:p>
        </w:tc>
        <w:tc>
          <w:tcPr>
            <w:tcW w:w="518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Lilly USA,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Loxo Oncology,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Petra Pharma Corporation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Pharmaserve-Lilly S.A.C.I.</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SGX Pharmaceuticals, Inc.</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Spaly Bioquimica,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UAB Eli Lilly Lietuva</w:t>
            </w:r>
          </w:p>
        </w:tc>
        <w:tc>
          <w:tcPr>
            <w:tcW w:w="518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Valquifarma S.A.</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Vital Pharma Productos Farmaceuticos</w:t>
            </w:r>
          </w:p>
        </w:tc>
        <w:tc>
          <w:tcPr>
            <w:tcW w:w="518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180"/>
          </w:cols>
          <w:pgMar w:left="340" w:top="924" w:right="37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color w:val="auto"/>
        </w:rPr>
        <w:t>Exhibit 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spacing w:after="0" w:line="363" w:lineRule="auto"/>
        <w:rPr>
          <w:sz w:val="20"/>
          <w:szCs w:val="20"/>
          <w:color w:val="auto"/>
        </w:rPr>
      </w:pPr>
      <w:r>
        <w:rPr>
          <w:rFonts w:ascii="Arial" w:cs="Arial" w:eastAsia="Arial" w:hAnsi="Arial"/>
          <w:sz w:val="18"/>
          <w:szCs w:val="18"/>
          <w:color w:val="auto"/>
        </w:rPr>
        <w:t>We consent to the incorporation by reference in the Registration Statements (Form S-8 Nos. 333-104057, 333-172422, 333-258801, and 333-258803) of Eli Lilly and Company and in the related Prospectus of our reports dated February 23, 2022, with respect to the consolidated financial statements of Eli Lilly and Company and subsidiaries, and the effectiveness of internal control over financial reporting of Eli Lilly and Company and subsidiaries, included in this Annual Report (10-K) for the year ended December 31, 2021.</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180"/>
          </w:cols>
          <w:pgMar w:left="320" w:top="1440" w:right="39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color w:val="auto"/>
        </w:rPr>
        <w:t>EXHIBIT 31.1 Rule 13a-14(a) Certification of David A.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Chair, President, and Chief Executive Officer, certify that:</w:t>
      </w:r>
    </w:p>
    <w:p>
      <w:pPr>
        <w:spacing w:after="0" w:line="90" w:lineRule="exact"/>
        <w:rPr>
          <w:sz w:val="20"/>
          <w:szCs w:val="20"/>
          <w:color w:val="auto"/>
        </w:rPr>
      </w:pPr>
    </w:p>
    <w:p>
      <w:pPr>
        <w:ind w:left="640" w:hanging="308"/>
        <w:spacing w:after="0"/>
        <w:tabs>
          <w:tab w:leader="none" w:pos="6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56" w:lineRule="auto"/>
        <w:tabs>
          <w:tab w:leader="none" w:pos="64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4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hanging="328"/>
        <w:spacing w:after="0" w:line="256" w:lineRule="auto"/>
        <w:tabs>
          <w:tab w:leader="none" w:pos="64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300" w:hanging="320"/>
        <w:spacing w:after="0" w:line="256" w:lineRule="auto"/>
        <w:tabs>
          <w:tab w:leader="none" w:pos="128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300" w:right="520" w:hanging="320"/>
        <w:spacing w:after="0" w:line="278" w:lineRule="auto"/>
        <w:tabs>
          <w:tab w:leader="none" w:pos="1288" w:val="left"/>
        </w:tabs>
        <w:numPr>
          <w:ilvl w:val="1"/>
          <w:numId w:val="3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7"/>
          <w:szCs w:val="17"/>
          <w:color w:val="auto"/>
        </w:rPr>
      </w:pPr>
    </w:p>
    <w:p>
      <w:pPr>
        <w:ind w:left="1300" w:right="280" w:hanging="320"/>
        <w:spacing w:after="0" w:line="256" w:lineRule="auto"/>
        <w:tabs>
          <w:tab w:leader="none" w:pos="1291" w:val="left"/>
        </w:tabs>
        <w:numPr>
          <w:ilvl w:val="1"/>
          <w:numId w:val="3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300" w:right="40" w:hanging="320"/>
        <w:spacing w:after="0" w:line="256" w:lineRule="auto"/>
        <w:tabs>
          <w:tab w:leader="none" w:pos="128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4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20" w:hanging="320"/>
        <w:spacing w:after="0" w:line="256" w:lineRule="auto"/>
        <w:tabs>
          <w:tab w:leader="none" w:pos="128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300" w:right="760" w:hanging="320"/>
        <w:spacing w:after="0" w:line="261" w:lineRule="auto"/>
        <w:tabs>
          <w:tab w:leader="none" w:pos="128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A. Ricks</w:t>
            </w:r>
          </w:p>
        </w:tc>
      </w:tr>
      <w:tr>
        <w:trPr>
          <w:trHeight w:val="223"/>
        </w:trPr>
        <w:tc>
          <w:tcPr>
            <w:tcW w:w="60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David A. Ricks</w:t>
            </w:r>
          </w:p>
        </w:tc>
      </w:tr>
      <w:tr>
        <w:trPr>
          <w:trHeight w:val="229"/>
        </w:trPr>
        <w:tc>
          <w:tcPr>
            <w:tcW w:w="60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886" w:right="35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color w:val="auto"/>
        </w:rPr>
        <w:t>EXHIBIT 31.2 Rule 13a-14(a) Certification of Anat Ashkenazi, Senior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Anat Ashkenazi, Senior Vice President and Chief Financial Officer, certify that:</w:t>
      </w:r>
    </w:p>
    <w:p>
      <w:pPr>
        <w:spacing w:after="0" w:line="90" w:lineRule="exact"/>
        <w:rPr>
          <w:sz w:val="20"/>
          <w:szCs w:val="20"/>
          <w:color w:val="auto"/>
        </w:rPr>
      </w:pPr>
    </w:p>
    <w:p>
      <w:pPr>
        <w:ind w:left="640" w:hanging="308"/>
        <w:spacing w:after="0"/>
        <w:tabs>
          <w:tab w:leader="none" w:pos="6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60" w:hanging="328"/>
        <w:spacing w:after="0" w:line="256" w:lineRule="auto"/>
        <w:tabs>
          <w:tab w:leader="none" w:pos="64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4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hanging="328"/>
        <w:spacing w:after="0" w:line="256" w:lineRule="auto"/>
        <w:tabs>
          <w:tab w:leader="none" w:pos="64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300" w:hanging="320"/>
        <w:spacing w:after="0" w:line="256" w:lineRule="auto"/>
        <w:tabs>
          <w:tab w:leader="none" w:pos="128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300" w:right="520" w:hanging="320"/>
        <w:spacing w:after="0" w:line="278" w:lineRule="auto"/>
        <w:tabs>
          <w:tab w:leader="none" w:pos="1288" w:val="left"/>
        </w:tabs>
        <w:numPr>
          <w:ilvl w:val="1"/>
          <w:numId w:val="3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7"/>
          <w:szCs w:val="17"/>
          <w:color w:val="auto"/>
        </w:rPr>
      </w:pPr>
    </w:p>
    <w:p>
      <w:pPr>
        <w:ind w:left="1300" w:right="280" w:hanging="320"/>
        <w:spacing w:after="0" w:line="256" w:lineRule="auto"/>
        <w:tabs>
          <w:tab w:leader="none" w:pos="1291" w:val="left"/>
        </w:tabs>
        <w:numPr>
          <w:ilvl w:val="1"/>
          <w:numId w:val="3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300" w:right="40" w:hanging="320"/>
        <w:spacing w:after="0" w:line="256" w:lineRule="auto"/>
        <w:tabs>
          <w:tab w:leader="none" w:pos="128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4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20" w:hanging="320"/>
        <w:spacing w:after="0" w:line="256" w:lineRule="auto"/>
        <w:tabs>
          <w:tab w:leader="none" w:pos="128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300" w:right="760" w:hanging="320"/>
        <w:spacing w:after="0" w:line="261" w:lineRule="auto"/>
        <w:tabs>
          <w:tab w:leader="none" w:pos="128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Anat Ashkenazi</w:t>
            </w:r>
          </w:p>
        </w:tc>
      </w:tr>
      <w:tr>
        <w:trPr>
          <w:trHeight w:val="223"/>
        </w:trPr>
        <w:tc>
          <w:tcPr>
            <w:tcW w:w="60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Anat Ashkenazi</w:t>
            </w:r>
          </w:p>
        </w:tc>
      </w:tr>
      <w:tr>
        <w:trPr>
          <w:trHeight w:val="230"/>
        </w:trPr>
        <w:tc>
          <w:tcPr>
            <w:tcW w:w="60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20"/>
          </w:cols>
          <w:pgMar w:left="320" w:top="886" w:right="35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9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Annual Report on Form 10-K for the year ended December 31, 2021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310"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5080" w:type="dxa"/>
            <w:vAlign w:val="bottom"/>
          </w:tcPr>
          <w:p>
            <w:pPr>
              <w:spacing w:after="0"/>
              <w:rPr>
                <w:sz w:val="20"/>
                <w:szCs w:val="20"/>
                <w:color w:val="auto"/>
              </w:rPr>
            </w:pPr>
            <w:r>
              <w:rPr>
                <w:rFonts w:ascii="Arial" w:cs="Arial" w:eastAsia="Arial" w:hAnsi="Arial"/>
                <w:sz w:val="18"/>
                <w:szCs w:val="18"/>
                <w:color w:val="auto"/>
              </w:rPr>
              <w:t>Date: February 23, 2022</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David A. Ricks</w:t>
            </w:r>
          </w:p>
        </w:tc>
      </w:tr>
      <w:tr>
        <w:trPr>
          <w:trHeight w:val="223"/>
        </w:trPr>
        <w:tc>
          <w:tcPr>
            <w:tcW w:w="508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David A. Ricks</w:t>
            </w:r>
          </w:p>
        </w:tc>
      </w:tr>
      <w:tr>
        <w:trPr>
          <w:trHeight w:val="229"/>
        </w:trPr>
        <w:tc>
          <w:tcPr>
            <w:tcW w:w="508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Chair, President, and Chief Executive Officer</w:t>
            </w:r>
          </w:p>
        </w:tc>
      </w:tr>
      <w:tr>
        <w:trPr>
          <w:trHeight w:val="621"/>
        </w:trPr>
        <w:tc>
          <w:tcPr>
            <w:tcW w:w="5080" w:type="dxa"/>
            <w:vAlign w:val="bottom"/>
          </w:tcPr>
          <w:p>
            <w:pPr>
              <w:spacing w:after="0"/>
              <w:rPr>
                <w:sz w:val="20"/>
                <w:szCs w:val="20"/>
                <w:color w:val="auto"/>
              </w:rPr>
            </w:pPr>
            <w:r>
              <w:rPr>
                <w:rFonts w:ascii="Arial" w:cs="Arial" w:eastAsia="Arial" w:hAnsi="Arial"/>
                <w:sz w:val="18"/>
                <w:szCs w:val="18"/>
                <w:color w:val="auto"/>
              </w:rPr>
              <w:t>Date: February 23, 2022</w:t>
            </w:r>
          </w:p>
        </w:tc>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Anat Ashkenazi</w:t>
            </w:r>
          </w:p>
        </w:tc>
      </w:tr>
      <w:tr>
        <w:trPr>
          <w:trHeight w:val="223"/>
        </w:trPr>
        <w:tc>
          <w:tcPr>
            <w:tcW w:w="508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Anat Ashkenazi</w:t>
            </w:r>
          </w:p>
        </w:tc>
      </w:tr>
      <w:tr>
        <w:trPr>
          <w:trHeight w:val="188"/>
        </w:trPr>
        <w:tc>
          <w:tcPr>
            <w:tcW w:w="5080" w:type="dxa"/>
            <w:vAlign w:val="bottom"/>
          </w:tcPr>
          <w:p>
            <w:pPr>
              <w:spacing w:after="0"/>
              <w:rPr>
                <w:sz w:val="16"/>
                <w:szCs w:val="16"/>
                <w:color w:val="auto"/>
              </w:rPr>
            </w:pPr>
          </w:p>
        </w:tc>
        <w:tc>
          <w:tcPr>
            <w:tcW w:w="5900" w:type="dxa"/>
            <w:vAlign w:val="bottom"/>
          </w:tcPr>
          <w:p>
            <w:pPr>
              <w:ind w:left="160"/>
              <w:spacing w:after="0" w:line="189" w:lineRule="exact"/>
              <w:rPr>
                <w:sz w:val="20"/>
                <w:szCs w:val="20"/>
                <w:color w:val="auto"/>
              </w:rPr>
            </w:pPr>
            <w:r>
              <w:rPr>
                <w:rFonts w:ascii="Arial" w:cs="Arial" w:eastAsia="Arial" w:hAnsi="Arial"/>
                <w:sz w:val="18"/>
                <w:szCs w:val="18"/>
                <w:color w:val="auto"/>
              </w:rPr>
              <w:t>Senior Vice President and</w:t>
            </w:r>
          </w:p>
        </w:tc>
      </w:tr>
      <w:tr>
        <w:trPr>
          <w:trHeight w:val="217"/>
        </w:trPr>
        <w:tc>
          <w:tcPr>
            <w:tcW w:w="50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
      <w:numFmt w:val="bullet"/>
      <w:start w:val="1"/>
    </w:lvl>
  </w:abstractNum>
  <w:abstractNum w:abstractNumId="2">
    <w:nsid w:val="3F07ACC3"/>
    <w:multiLevelType w:val="hybridMultilevel"/>
    <w:lvl w:ilvl="0">
      <w:lvlJc w:val="left"/>
      <w:lvlText w:val="•"/>
      <w:numFmt w:val="bullet"/>
      <w:start w:val="1"/>
    </w:lvl>
  </w:abstractNum>
  <w:abstractNum w:abstractNumId="3">
    <w:nsid w:val="6B47F63E"/>
    <w:multiLevelType w:val="hybridMultilevel"/>
    <w:lvl w:ilvl="0">
      <w:lvlJc w:val="left"/>
      <w:lvlText w:val="•"/>
      <w:numFmt w:val="bullet"/>
      <w:start w:val="1"/>
    </w:lvl>
  </w:abstractNum>
  <w:abstractNum w:abstractNumId="4">
    <w:nsid w:val="5CB44A05"/>
    <w:multiLevelType w:val="hybridMultilevel"/>
    <w:lvl w:ilvl="0">
      <w:lvlJc w:val="left"/>
      <w:lvlText w:val="•"/>
      <w:numFmt w:val="bullet"/>
      <w:start w:val="1"/>
    </w:lvl>
  </w:abstractNum>
  <w:abstractNum w:abstractNumId="5">
    <w:nsid w:val="16CF80F1"/>
    <w:multiLevelType w:val="hybridMultilevel"/>
    <w:lvl w:ilvl="0">
      <w:lvlJc w:val="left"/>
      <w:lvlText w:val="•"/>
      <w:numFmt w:val="bullet"/>
      <w:start w:val="1"/>
    </w:lvl>
  </w:abstractNum>
  <w:abstractNum w:abstractNumId="6">
    <w:nsid w:val="1C695DEC"/>
    <w:multiLevelType w:val="hybridMultilevel"/>
    <w:lvl w:ilvl="0">
      <w:lvlJc w:val="left"/>
      <w:lvlText w:val="•"/>
      <w:numFmt w:val="bullet"/>
      <w:start w:val="1"/>
    </w:lvl>
  </w:abstractNum>
  <w:abstractNum w:abstractNumId="7">
    <w:nsid w:val="3FCFAED9"/>
    <w:multiLevelType w:val="hybridMultilevel"/>
    <w:lvl w:ilvl="0">
      <w:lvlJc w:val="left"/>
      <w:lvlText w:val="•"/>
      <w:numFmt w:val="bullet"/>
      <w:start w:val="1"/>
    </w:lvl>
  </w:abstractNum>
  <w:abstractNum w:abstractNumId="8">
    <w:nsid w:val="F856867"/>
    <w:multiLevelType w:val="hybridMultilevel"/>
    <w:lvl w:ilvl="0">
      <w:lvlJc w:val="left"/>
      <w:lvlText w:val="•"/>
      <w:numFmt w:val="bullet"/>
      <w:start w:val="1"/>
    </w:lvl>
  </w:abstractNum>
  <w:abstractNum w:abstractNumId="9">
    <w:nsid w:val="11B1CC33"/>
    <w:multiLevelType w:val="hybridMultilevel"/>
    <w:lvl w:ilvl="0">
      <w:lvlJc w:val="left"/>
      <w:lvlText w:val="•"/>
      <w:numFmt w:val="bullet"/>
      <w:start w:val="1"/>
    </w:lvl>
  </w:abstractNum>
  <w:abstractNum w:abstractNumId="10">
    <w:nsid w:val="2E22FBB7"/>
    <w:multiLevelType w:val="hybridMultilevel"/>
    <w:lvl w:ilvl="0">
      <w:lvlJc w:val="left"/>
      <w:lvlText w:val="•"/>
      <w:numFmt w:val="bullet"/>
      <w:start w:val="1"/>
    </w:lvl>
  </w:abstractNum>
  <w:abstractNum w:abstractNumId="11">
    <w:nsid w:val="29934699"/>
    <w:multiLevelType w:val="hybridMultilevel"/>
    <w:lvl w:ilvl="0">
      <w:lvlJc w:val="left"/>
      <w:lvlText w:val="•"/>
      <w:numFmt w:val="bullet"/>
      <w:start w:val="1"/>
    </w:lvl>
  </w:abstractNum>
  <w:abstractNum w:abstractNumId="12">
    <w:nsid w:val="77485850"/>
    <w:multiLevelType w:val="hybridMultilevel"/>
    <w:lvl w:ilvl="0">
      <w:lvlJc w:val="left"/>
      <w:lvlText w:val="•"/>
      <w:numFmt w:val="bullet"/>
      <w:start w:val="1"/>
    </w:lvl>
  </w:abstractNum>
  <w:abstractNum w:abstractNumId="13">
    <w:nsid w:val="744939A3"/>
    <w:multiLevelType w:val="hybridMultilevel"/>
    <w:lvl w:ilvl="0">
      <w:lvlJc w:val="left"/>
      <w:lvlText w:val="•"/>
      <w:numFmt w:val="bullet"/>
      <w:start w:val="1"/>
    </w:lvl>
  </w:abstractNum>
  <w:abstractNum w:abstractNumId="14">
    <w:nsid w:val="4FA0D2E3"/>
    <w:multiLevelType w:val="hybridMultilevel"/>
    <w:lvl w:ilvl="0">
      <w:lvlJc w:val="left"/>
      <w:lvlText w:val="•"/>
      <w:numFmt w:val="bullet"/>
      <w:start w:val="1"/>
    </w:lvl>
  </w:abstractNum>
  <w:abstractNum w:abstractNumId="15">
    <w:nsid w:val="6B1D2C14"/>
    <w:multiLevelType w:val="hybridMultilevel"/>
    <w:lvl w:ilvl="0">
      <w:lvlJc w:val="left"/>
      <w:lvlText w:val="•"/>
      <w:numFmt w:val="bullet"/>
      <w:start w:val="1"/>
    </w:lvl>
  </w:abstractNum>
  <w:abstractNum w:abstractNumId="16">
    <w:nsid w:val="68B867D3"/>
    <w:multiLevelType w:val="hybridMultilevel"/>
    <w:lvl w:ilvl="0">
      <w:lvlJc w:val="left"/>
      <w:lvlText w:val="•"/>
      <w:numFmt w:val="bullet"/>
      <w:start w:val="1"/>
    </w:lvl>
  </w:abstractNum>
  <w:abstractNum w:abstractNumId="17">
    <w:nsid w:val="3F7F5DD9"/>
    <w:multiLevelType w:val="hybridMultilevel"/>
    <w:lvl w:ilvl="0">
      <w:lvlJc w:val="left"/>
      <w:lvlText w:val="•"/>
      <w:numFmt w:val="bullet"/>
      <w:start w:val="1"/>
    </w:lvl>
  </w:abstractNum>
  <w:abstractNum w:abstractNumId="18">
    <w:nsid w:val="2AE05A34"/>
    <w:multiLevelType w:val="hybridMultilevel"/>
    <w:lvl w:ilvl="0">
      <w:lvlJc w:val="left"/>
      <w:lvlText w:val="•"/>
      <w:numFmt w:val="bullet"/>
      <w:start w:val="1"/>
    </w:lvl>
  </w:abstractNum>
  <w:abstractNum w:abstractNumId="19">
    <w:nsid w:val="32794FF7"/>
    <w:multiLevelType w:val="hybridMultilevel"/>
    <w:lvl w:ilvl="0">
      <w:lvlJc w:val="left"/>
      <w:lvlText w:val="•"/>
      <w:numFmt w:val="bullet"/>
      <w:start w:val="1"/>
    </w:lvl>
  </w:abstractNum>
  <w:abstractNum w:abstractNumId="20">
    <w:nsid w:val="5454945E"/>
    <w:multiLevelType w:val="hybridMultilevel"/>
    <w:lvl w:ilvl="0">
      <w:lvlJc w:val="left"/>
      <w:lvlText w:val="•"/>
      <w:numFmt w:val="bullet"/>
      <w:start w:val="1"/>
    </w:lvl>
  </w:abstractNum>
  <w:abstractNum w:abstractNumId="21">
    <w:nsid w:val="4DEFDFA0"/>
    <w:multiLevelType w:val="hybridMultilevel"/>
    <w:lvl w:ilvl="0">
      <w:lvlJc w:val="left"/>
      <w:lvlText w:val="•"/>
      <w:numFmt w:val="bullet"/>
      <w:start w:val="1"/>
    </w:lvl>
  </w:abstractNum>
  <w:abstractNum w:abstractNumId="22">
    <w:nsid w:val="2123D5F2"/>
    <w:multiLevelType w:val="hybridMultilevel"/>
    <w:lvl w:ilvl="0">
      <w:lvlJc w:val="left"/>
      <w:lvlText w:val="•"/>
      <w:numFmt w:val="bullet"/>
      <w:start w:val="1"/>
    </w:lvl>
  </w:abstractNum>
  <w:abstractNum w:abstractNumId="23">
    <w:nsid w:val="135B8110"/>
    <w:multiLevelType w:val="hybridMultilevel"/>
    <w:lvl w:ilvl="0">
      <w:lvlJc w:val="left"/>
      <w:lvlText w:val="•"/>
      <w:numFmt w:val="bullet"/>
      <w:start w:val="1"/>
    </w:lvl>
  </w:abstractNum>
  <w:abstractNum w:abstractNumId="24">
    <w:nsid w:val="94927A8"/>
    <w:multiLevelType w:val="hybridMultilevel"/>
    <w:lvl w:ilvl="0">
      <w:lvlJc w:val="left"/>
      <w:lvlText w:val="(%1)"/>
      <w:numFmt w:val="decimal"/>
      <w:start w:val="1"/>
    </w:lvl>
  </w:abstractNum>
  <w:abstractNum w:abstractNumId="25">
    <w:nsid w:val="DCDF8F6"/>
    <w:multiLevelType w:val="hybridMultilevel"/>
    <w:lvl w:ilvl="0">
      <w:lvlJc w:val="left"/>
      <w:lvlText w:val="•"/>
      <w:numFmt w:val="bullet"/>
      <w:start w:val="1"/>
    </w:lvl>
  </w:abstractNum>
  <w:abstractNum w:abstractNumId="26">
    <w:nsid w:val="52D7B105"/>
    <w:multiLevelType w:val="hybridMultilevel"/>
    <w:lvl w:ilvl="0">
      <w:lvlJc w:val="left"/>
      <w:lvlText w:val="•"/>
      <w:numFmt w:val="bullet"/>
      <w:start w:val="1"/>
    </w:lvl>
  </w:abstractNum>
  <w:abstractNum w:abstractNumId="27">
    <w:nsid w:val="2E8A6394"/>
    <w:multiLevelType w:val="hybridMultilevel"/>
    <w:lvl w:ilvl="0">
      <w:lvlJc w:val="left"/>
      <w:lvlText w:val="•"/>
      <w:numFmt w:val="bullet"/>
      <w:start w:val="1"/>
    </w:lvl>
  </w:abstractNum>
  <w:abstractNum w:abstractNumId="28">
    <w:nsid w:val="24E60401"/>
    <w:multiLevelType w:val="hybridMultilevel"/>
    <w:lvl w:ilvl="0">
      <w:lvlJc w:val="left"/>
      <w:lvlText w:val="•"/>
      <w:numFmt w:val="bullet"/>
      <w:start w:val="1"/>
    </w:lvl>
  </w:abstractNum>
  <w:abstractNum w:abstractNumId="29">
    <w:nsid w:val="2A6AD9BE"/>
    <w:multiLevelType w:val="hybridMultilevel"/>
    <w:lvl w:ilvl="0">
      <w:lvlJc w:val="left"/>
      <w:lvlText w:val="•"/>
      <w:numFmt w:val="bullet"/>
      <w:start w:val="1"/>
    </w:lvl>
  </w:abstractNum>
  <w:abstractNum w:abstractNumId="30">
    <w:nsid w:val="BAAC1B4"/>
    <w:multiLevelType w:val="hybridMultilevel"/>
    <w:lvl w:ilvl="0">
      <w:lvlJc w:val="left"/>
      <w:lvlText w:val="(%1)"/>
      <w:numFmt w:val="decimal"/>
      <w:start w:val="1"/>
    </w:lvl>
  </w:abstractNum>
  <w:abstractNum w:abstractNumId="31">
    <w:nsid w:val="36B2ACBC"/>
    <w:multiLevelType w:val="hybridMultilevel"/>
    <w:lvl w:ilvl="0">
      <w:lvlJc w:val="left"/>
      <w:lvlText w:val="(%1)"/>
      <w:numFmt w:val="decimal"/>
      <w:start w:val="1"/>
    </w:lvl>
  </w:abstractNum>
  <w:abstractNum w:abstractNumId="32">
    <w:nsid w:val="779D8544"/>
    <w:multiLevelType w:val="hybridMultilevel"/>
    <w:lvl w:ilvl="0">
      <w:lvlJc w:val="left"/>
      <w:lvlText w:val="(%1)"/>
      <w:numFmt w:val="decimal"/>
      <w:start w:val="1"/>
    </w:lvl>
  </w:abstractNum>
  <w:abstractNum w:abstractNumId="33">
    <w:nsid w:val="4AB26E78"/>
    <w:multiLevelType w:val="hybridMultilevel"/>
    <w:lvl w:ilvl="0">
      <w:lvlJc w:val="left"/>
      <w:lvlText w:val="•"/>
      <w:numFmt w:val="bullet"/>
      <w:start w:val="1"/>
    </w:lvl>
  </w:abstractNum>
  <w:abstractNum w:abstractNumId="34">
    <w:nsid w:val="21FAA2FA"/>
    <w:multiLevelType w:val="hybridMultilevel"/>
    <w:lvl w:ilvl="0">
      <w:lvlJc w:val="left"/>
      <w:lvlText w:val="(%1)"/>
      <w:numFmt w:val="decimal"/>
      <w:start w:val="1"/>
    </w:lvl>
  </w:abstractNum>
  <w:abstractNum w:abstractNumId="35">
    <w:nsid w:val="5451CF49"/>
    <w:multiLevelType w:val="hybridMultilevel"/>
    <w:lvl w:ilvl="0">
      <w:lvlJc w:val="left"/>
      <w:lvlText w:val="•"/>
      <w:numFmt w:val="bullet"/>
      <w:start w:val="1"/>
    </w:lvl>
  </w:abstractNum>
  <w:abstractNum w:abstractNumId="36">
    <w:nsid w:val="6181EF69"/>
    <w:multiLevelType w:val="hybridMultilevel"/>
    <w:lvl w:ilvl="0">
      <w:lvlJc w:val="left"/>
      <w:lvlText w:val="(%1)"/>
      <w:numFmt w:val="decimal"/>
      <w:start w:val="1"/>
    </w:lvl>
  </w:abstractNum>
  <w:abstractNum w:abstractNumId="37">
    <w:nsid w:val="3E6400E6"/>
    <w:multiLevelType w:val="hybridMultilevel"/>
    <w:lvl w:ilvl="0">
      <w:lvlJc w:val="left"/>
      <w:lvlText w:val="•"/>
      <w:numFmt w:val="bullet"/>
      <w:start w:val="1"/>
    </w:lvl>
  </w:abstractNum>
  <w:abstractNum w:abstractNumId="38">
    <w:nsid w:val="14217E23"/>
    <w:multiLevelType w:val="hybridMultilevel"/>
    <w:lvl w:ilvl="0">
      <w:lvlJc w:val="left"/>
      <w:lvlText w:val="•"/>
      <w:numFmt w:val="bullet"/>
      <w:start w:val="1"/>
    </w:lvl>
  </w:abstractNum>
  <w:abstractNum w:abstractNumId="39">
    <w:nsid w:val="710757D0"/>
    <w:multiLevelType w:val="hybridMultilevel"/>
    <w:lvl w:ilvl="0">
      <w:lvlJc w:val="left"/>
      <w:lvlText w:val="•"/>
      <w:numFmt w:val="bullet"/>
      <w:start w:val="1"/>
    </w:lvl>
  </w:abstractNum>
  <w:abstractNum w:abstractNumId="40">
    <w:nsid w:val="5015CD1A"/>
    <w:multiLevelType w:val="hybridMultilevel"/>
    <w:lvl w:ilvl="0">
      <w:lvlJc w:val="left"/>
      <w:lvlText w:val="•"/>
      <w:numFmt w:val="bullet"/>
      <w:start w:val="1"/>
    </w:lvl>
  </w:abstractNum>
  <w:abstractNum w:abstractNumId="41">
    <w:nsid w:val="424479DA"/>
    <w:multiLevelType w:val="hybridMultilevel"/>
    <w:lvl w:ilvl="0">
      <w:lvlJc w:val="left"/>
      <w:lvlText w:val="(%1)"/>
      <w:numFmt w:val="decimal"/>
      <w:start w:val="1"/>
    </w:lvl>
  </w:abstractNum>
  <w:abstractNum w:abstractNumId="42">
    <w:nsid w:val="1A9A9E69"/>
    <w:multiLevelType w:val="hybridMultilevel"/>
    <w:lvl w:ilvl="0">
      <w:lvlJc w:val="left"/>
      <w:lvlText w:val="(%1)"/>
      <w:numFmt w:val="decimal"/>
      <w:start w:val="1"/>
    </w:lvl>
  </w:abstractNum>
  <w:abstractNum w:abstractNumId="43">
    <w:nsid w:val="475E256A"/>
    <w:multiLevelType w:val="hybridMultilevel"/>
    <w:lvl w:ilvl="0">
      <w:lvlJc w:val="left"/>
      <w:lvlText w:val="(%1)"/>
      <w:numFmt w:val="decimal"/>
      <w:start w:val="1"/>
    </w:lvl>
  </w:abstractNum>
  <w:abstractNum w:abstractNumId="44">
    <w:nsid w:val="368DB37E"/>
    <w:multiLevelType w:val="hybridMultilevel"/>
    <w:lvl w:ilvl="0">
      <w:lvlJc w:val="left"/>
      <w:lvlText w:val="(%1)"/>
      <w:numFmt w:val="decimal"/>
      <w:start w:val="1"/>
    </w:lvl>
  </w:abstractNum>
  <w:abstractNum w:abstractNumId="45">
    <w:nsid w:val="6A3B714C"/>
    <w:multiLevelType w:val="hybridMultilevel"/>
    <w:lvl w:ilvl="0">
      <w:lvlJc w:val="left"/>
      <w:lvlText w:val="(%1)"/>
      <w:numFmt w:val="decimal"/>
      <w:start w:val="1"/>
    </w:lvl>
  </w:abstractNum>
  <w:abstractNum w:abstractNumId="46">
    <w:nsid w:val="327B517E"/>
    <w:multiLevelType w:val="hybridMultilevel"/>
    <w:lvl w:ilvl="0">
      <w:lvlJc w:val="left"/>
      <w:lvlText w:val="(%1)"/>
      <w:numFmt w:val="decimal"/>
      <w:start w:val="1"/>
    </w:lvl>
  </w:abstractNum>
  <w:abstractNum w:abstractNumId="47">
    <w:nsid w:val="1F461B51"/>
    <w:multiLevelType w:val="hybridMultilevel"/>
    <w:lvl w:ilvl="0">
      <w:lvlJc w:val="left"/>
      <w:lvlText w:val="•"/>
      <w:numFmt w:val="bullet"/>
      <w:start w:val="1"/>
    </w:lvl>
  </w:abstractNum>
  <w:abstractNum w:abstractNumId="48">
    <w:nsid w:val="29BACF25"/>
    <w:multiLevelType w:val="hybridMultilevel"/>
    <w:lvl w:ilvl="0">
      <w:lvlJc w:val="left"/>
      <w:lvlText w:val="(%1)"/>
      <w:numFmt w:val="decimal"/>
      <w:start w:val="1"/>
    </w:lvl>
  </w:abstractNum>
  <w:abstractNum w:abstractNumId="49">
    <w:nsid w:val="5D5BABB3"/>
    <w:multiLevelType w:val="hybridMultilevel"/>
    <w:lvl w:ilvl="0">
      <w:lvlJc w:val="left"/>
      <w:lvlText w:val="(%1)"/>
      <w:numFmt w:val="decimal"/>
      <w:start w:val="1"/>
    </w:lvl>
  </w:abstractNum>
  <w:abstractNum w:abstractNumId="50">
    <w:nsid w:val="51BF6B48"/>
    <w:multiLevelType w:val="hybridMultilevel"/>
    <w:lvl w:ilvl="0">
      <w:lvlJc w:val="left"/>
      <w:lvlText w:val="(%1)"/>
      <w:numFmt w:val="decimal"/>
      <w:start w:val="1"/>
    </w:lvl>
  </w:abstractNum>
  <w:abstractNum w:abstractNumId="51">
    <w:nsid w:val="7E0F6384"/>
    <w:multiLevelType w:val="hybridMultilevel"/>
    <w:lvl w:ilvl="0">
      <w:lvlJc w:val="left"/>
      <w:lvlText w:val="(%1)"/>
      <w:numFmt w:val="decimal"/>
      <w:start w:val="1"/>
    </w:lvl>
  </w:abstractNum>
  <w:abstractNum w:abstractNumId="52">
    <w:nsid w:val="2B4B8B53"/>
    <w:multiLevelType w:val="hybridMultilevel"/>
    <w:lvl w:ilvl="0">
      <w:lvlJc w:val="left"/>
      <w:lvlText w:val="(%1)"/>
      <w:numFmt w:val="decimal"/>
      <w:start w:val="1"/>
    </w:lvl>
  </w:abstractNum>
  <w:abstractNum w:abstractNumId="53">
    <w:nsid w:val="72E3413A"/>
    <w:multiLevelType w:val="hybridMultilevel"/>
    <w:lvl w:ilvl="0">
      <w:lvlJc w:val="left"/>
      <w:lvlText w:val="(%1)"/>
      <w:numFmt w:val="decimal"/>
      <w:start w:val="1"/>
    </w:lvl>
  </w:abstractNum>
  <w:abstractNum w:abstractNumId="54">
    <w:nsid w:val="116AE494"/>
    <w:multiLevelType w:val="hybridMultilevel"/>
    <w:lvl w:ilvl="0">
      <w:lvlJc w:val="left"/>
      <w:lvlText w:val="(%1)"/>
      <w:numFmt w:val="decimal"/>
      <w:start w:val="1"/>
    </w:lvl>
  </w:abstractNum>
  <w:abstractNum w:abstractNumId="55">
    <w:nsid w:val="3494B2FB"/>
    <w:multiLevelType w:val="hybridMultilevel"/>
    <w:lvl w:ilvl="0">
      <w:lvlJc w:val="left"/>
      <w:lvlText w:val="•"/>
      <w:numFmt w:val="bullet"/>
      <w:start w:val="1"/>
    </w:lvl>
  </w:abstractNum>
  <w:abstractNum w:abstractNumId="56">
    <w:nsid w:val="B13A31"/>
    <w:multiLevelType w:val="hybridMultilevel"/>
    <w:lvl w:ilvl="0">
      <w:lvlJc w:val="left"/>
      <w:lvlText w:val="(%1)"/>
      <w:numFmt w:val="decimal"/>
      <w:start w:val="1"/>
    </w:lvl>
  </w:abstractNum>
  <w:abstractNum w:abstractNumId="57">
    <w:nsid w:val="64429599"/>
    <w:multiLevelType w:val="hybridMultilevel"/>
    <w:lvl w:ilvl="0">
      <w:lvlJc w:val="left"/>
      <w:lvlText w:val="•"/>
      <w:numFmt w:val="bullet"/>
      <w:start w:val="1"/>
    </w:lvl>
  </w:abstractNum>
  <w:abstractNum w:abstractNumId="58">
    <w:nsid w:val="631F1690"/>
    <w:multiLevelType w:val="hybridMultilevel"/>
    <w:lvl w:ilvl="0">
      <w:lvlJc w:val="left"/>
      <w:lvlText w:val="•"/>
      <w:numFmt w:val="bullet"/>
      <w:start w:val="1"/>
    </w:lvl>
  </w:abstractNum>
  <w:abstractNum w:abstractNumId="59">
    <w:nsid w:val="25973E32"/>
    <w:multiLevelType w:val="hybridMultilevel"/>
    <w:lvl w:ilvl="0">
      <w:lvlJc w:val="left"/>
      <w:lvlText w:val="•"/>
      <w:numFmt w:val="bullet"/>
      <w:start w:val="1"/>
    </w:lvl>
  </w:abstractNum>
  <w:abstractNum w:abstractNumId="60">
    <w:nsid w:val="EAD6F57"/>
    <w:multiLevelType w:val="hybridMultilevel"/>
    <w:lvl w:ilvl="0">
      <w:lvlJc w:val="left"/>
      <w:lvlText w:val="•"/>
      <w:numFmt w:val="bullet"/>
      <w:start w:val="1"/>
    </w:lvl>
  </w:abstractNum>
  <w:abstractNum w:abstractNumId="61">
    <w:nsid w:val="6EC9D844"/>
    <w:multiLevelType w:val="hybridMultilevel"/>
    <w:lvl w:ilvl="0">
      <w:lvlJc w:val="left"/>
      <w:lvlText w:val="•"/>
      <w:numFmt w:val="bullet"/>
      <w:start w:val="1"/>
    </w:lvl>
  </w:abstractNum>
  <w:abstractNum w:abstractNumId="62">
    <w:nsid w:val="5C49EAEE"/>
    <w:multiLevelType w:val="hybridMultilevel"/>
    <w:lvl w:ilvl="0">
      <w:lvlJc w:val="left"/>
      <w:lvlText w:val="(%1)"/>
      <w:numFmt w:val="lowerRoman"/>
      <w:start w:val="1"/>
    </w:lvl>
    <w:lvl w:ilvl="1">
      <w:lvlJc w:val="left"/>
      <w:lvlText w:val="(%2)"/>
      <w:numFmt w:val="decimal"/>
      <w:start w:val="1"/>
    </w:lvl>
  </w:abstractNum>
  <w:abstractNum w:abstractNumId="63">
    <w:nsid w:val="64AF49B"/>
    <w:multiLevelType w:val="hybridMultilevel"/>
    <w:lvl w:ilvl="0">
      <w:lvlJc w:val="left"/>
      <w:lvlText w:val="(%1)"/>
      <w:numFmt w:val="lowerRoman"/>
      <w:start w:val="4"/>
    </w:lvl>
  </w:abstractNum>
  <w:abstractNum w:abstractNumId="64">
    <w:nsid w:val="397C46BC"/>
    <w:multiLevelType w:val="hybridMultilevel"/>
    <w:lvl w:ilvl="0">
      <w:lvlJc w:val="left"/>
      <w:lvlText w:val="(%1)"/>
      <w:numFmt w:val="lowerRoman"/>
      <w:start w:val="1"/>
    </w:lvl>
    <w:lvl w:ilvl="1">
      <w:lvlJc w:val="left"/>
      <w:lvlText w:val="•"/>
      <w:numFmt w:val="bullet"/>
      <w:start w:val="1"/>
    </w:lvl>
  </w:abstractNum>
  <w:abstractNum w:abstractNumId="65">
    <w:nsid w:val="7E448DE9"/>
    <w:multiLevelType w:val="hybridMultilevel"/>
    <w:lvl w:ilvl="0">
      <w:lvlJc w:val="left"/>
      <w:lvlText w:val="(%1)"/>
      <w:numFmt w:val="decimal"/>
      <w:start w:val="1"/>
    </w:lvl>
  </w:abstractNum>
  <w:abstractNum w:abstractNumId="66">
    <w:nsid w:val="5A9CC3E5"/>
    <w:multiLevelType w:val="hybridMultilevel"/>
    <w:lvl w:ilvl="0">
      <w:lvlJc w:val="left"/>
      <w:lvlText w:val="(%1)"/>
      <w:numFmt w:val="decimal"/>
      <w:start w:val="2"/>
    </w:lvl>
  </w:abstractNum>
  <w:abstractNum w:abstractNumId="67">
    <w:nsid w:val="1AFE3625"/>
    <w:multiLevelType w:val="hybridMultilevel"/>
    <w:lvl w:ilvl="0">
      <w:lvlJc w:val="left"/>
      <w:lvlText w:val="•"/>
      <w:numFmt w:val="bullet"/>
      <w:start w:val="1"/>
    </w:lvl>
    <w:lvl w:ilvl="1">
      <w:lvlJc w:val="left"/>
      <w:lvlText w:val="•"/>
      <w:numFmt w:val="bullet"/>
      <w:start w:val="1"/>
    </w:lvl>
  </w:abstractNum>
  <w:abstractNum w:abstractNumId="68">
    <w:nsid w:val="3CA88ECF"/>
    <w:multiLevelType w:val="hybridMultilevel"/>
    <w:lvl w:ilvl="0">
      <w:lvlJc w:val="left"/>
      <w:lvlText w:val="•"/>
      <w:numFmt w:val="bullet"/>
      <w:start w:val="1"/>
    </w:lvl>
  </w:abstractNum>
  <w:abstractNum w:abstractNumId="69">
    <w:nsid w:val="6EBE4208"/>
    <w:multiLevelType w:val="hybridMultilevel"/>
    <w:lvl w:ilvl="0">
      <w:lvlJc w:val="left"/>
      <w:lvlText w:val="•"/>
      <w:numFmt w:val="bullet"/>
      <w:start w:val="1"/>
    </w:lvl>
  </w:abstractNum>
  <w:abstractNum w:abstractNumId="70">
    <w:nsid w:val="C058DF5"/>
    <w:multiLevelType w:val="hybridMultilevel"/>
    <w:lvl w:ilvl="0">
      <w:lvlJc w:val="left"/>
      <w:lvlText w:val="%1)"/>
      <w:numFmt w:val="decimal"/>
      <w:start w:val="1"/>
    </w:lvl>
    <w:lvl w:ilvl="1">
      <w:lvlJc w:val="left"/>
      <w:lvlText w:val="%2."/>
      <w:numFmt w:val="lowerLetter"/>
      <w:start w:val="1"/>
    </w:lvl>
  </w:abstractNum>
  <w:abstractNum w:abstractNumId="71">
    <w:nsid w:val="CBE5BE9"/>
    <w:multiLevelType w:val="hybridMultilevel"/>
    <w:lvl w:ilvl="0">
      <w:lvlJc w:val="left"/>
      <w:lvlText w:val="%1"/>
      <w:numFmt w:val="decimal"/>
      <w:start w:val="1"/>
    </w:lvl>
    <w:lvl w:ilvl="1">
      <w:lvlJc w:val="left"/>
      <w:lvlText w:val="%2."/>
      <w:numFmt w:val="lowerLetter"/>
      <w:start w:val="3"/>
    </w:lvl>
  </w:abstractNum>
  <w:abstractNum w:abstractNumId="72">
    <w:nsid w:val="3102BBE2"/>
    <w:multiLevelType w:val="hybridMultilevel"/>
    <w:lvl w:ilvl="0">
      <w:lvlJc w:val="left"/>
      <w:lvlText w:val="%1)"/>
      <w:numFmt w:val="decimal"/>
      <w:start w:val="2"/>
    </w:lvl>
    <w:lvl w:ilvl="1">
      <w:lvlJc w:val="left"/>
      <w:lvlText w:val="%2"/>
      <w:numFmt w:val="lowerLetter"/>
      <w:start w:val="1"/>
    </w:lvl>
  </w:abstractNum>
  <w:abstractNum w:abstractNumId="73">
    <w:nsid w:val="26A02C5E"/>
    <w:multiLevelType w:val="hybridMultilevel"/>
    <w:lvl w:ilvl="0">
      <w:lvlJc w:val="left"/>
      <w:lvlText w:val="•"/>
      <w:numFmt w:val="bullet"/>
      <w:start w:val="1"/>
    </w:lvl>
  </w:abstractNum>
  <w:abstractNum w:abstractNumId="74">
    <w:nsid w:val="541C8153"/>
    <w:multiLevelType w:val="hybridMultilevel"/>
    <w:lvl w:ilvl="0">
      <w:lvlJc w:val="left"/>
      <w:lvlText w:val="%1."/>
      <w:numFmt w:val="lowerRoman"/>
      <w:start w:val="1"/>
    </w:lvl>
  </w:abstractNum>
  <w:abstractNum w:abstractNumId="75">
    <w:nsid w:val="67906F60"/>
    <w:multiLevelType w:val="hybridMultilevel"/>
    <w:lvl w:ilvl="0">
      <w:lvlJc w:val="left"/>
      <w:lvlText w:val="(%1)"/>
      <w:numFmt w:val="decimal"/>
      <w:start w:val="1"/>
    </w:lvl>
  </w:abstractNum>
  <w:abstractNum w:abstractNumId="76">
    <w:nsid w:val="10DB9DAA"/>
    <w:multiLevelType w:val="hybridMultilevel"/>
    <w:lvl w:ilvl="0">
      <w:lvlJc w:val="left"/>
      <w:lvlText w:val="•"/>
      <w:numFmt w:val="bullet"/>
      <w:start w:val="1"/>
    </w:lvl>
  </w:abstractNum>
  <w:abstractNum w:abstractNumId="77">
    <w:nsid w:val="697D2D2"/>
    <w:multiLevelType w:val="hybridMultilevel"/>
    <w:lvl w:ilvl="0">
      <w:lvlJc w:val="left"/>
      <w:lvlText w:val="•"/>
      <w:numFmt w:val="bullet"/>
      <w:start w:val="1"/>
    </w:lvl>
  </w:abstractNum>
  <w:abstractNum w:abstractNumId="78">
    <w:nsid w:val="6D68AB2"/>
    <w:multiLevelType w:val="hybridMultilevel"/>
    <w:lvl w:ilvl="0">
      <w:lvlJc w:val="left"/>
      <w:lvlText w:val="(%1)"/>
      <w:numFmt w:val="lowerRoman"/>
      <w:start w:val="1"/>
    </w:lvl>
    <w:lvl w:ilvl="1">
      <w:lvlJc w:val="left"/>
      <w:lvlText w:val="(%2)"/>
      <w:numFmt w:val="decimal"/>
      <w:start w:val="1"/>
    </w:lvl>
  </w:abstractNum>
  <w:abstractNum w:abstractNumId="79">
    <w:nsid w:val="3A966CD0"/>
    <w:multiLevelType w:val="hybridMultilevel"/>
    <w:lvl w:ilvl="0">
      <w:lvlJc w:val="left"/>
      <w:lvlText w:val="(%1)"/>
      <w:numFmt w:val="lowerRoman"/>
      <w:start w:val="5"/>
    </w:lvl>
  </w:abstractNum>
  <w:abstractNum w:abstractNumId="80">
    <w:nsid w:val="63F37E85"/>
    <w:multiLevelType w:val="hybridMultilevel"/>
    <w:lvl w:ilvl="0">
      <w:lvlJc w:val="left"/>
      <w:lvlText w:val="(%1)"/>
      <w:numFmt w:val="lowerRoman"/>
      <w:start w:val="1"/>
    </w:lvl>
    <w:lvl w:ilvl="1">
      <w:lvlJc w:val="left"/>
      <w:lvlText w:val="•"/>
      <w:numFmt w:val="bullet"/>
      <w:start w:val="1"/>
    </w:lvl>
  </w:abstractNum>
  <w:abstractNum w:abstractNumId="81">
    <w:nsid w:val="5895F5FA"/>
    <w:multiLevelType w:val="hybridMultilevel"/>
    <w:lvl w:ilvl="0">
      <w:lvlJc w:val="left"/>
      <w:lvlText w:val="(%1)"/>
      <w:numFmt w:val="decimal"/>
      <w:start w:val="1"/>
    </w:lvl>
  </w:abstractNum>
  <w:abstractNum w:abstractNumId="82">
    <w:nsid w:val="38A5D054"/>
    <w:multiLevelType w:val="hybridMultilevel"/>
    <w:lvl w:ilvl="0">
      <w:lvlJc w:val="left"/>
      <w:lvlText w:val="•"/>
      <w:numFmt w:val="bullet"/>
      <w:start w:val="1"/>
    </w:lvl>
    <w:lvl w:ilvl="1">
      <w:lvlJc w:val="left"/>
      <w:lvlText w:val="•"/>
      <w:numFmt w:val="bullet"/>
      <w:start w:val="1"/>
    </w:lvl>
  </w:abstractNum>
  <w:abstractNum w:abstractNumId="83">
    <w:nsid w:val="F3F09D8"/>
    <w:multiLevelType w:val="hybridMultilevel"/>
    <w:lvl w:ilvl="0">
      <w:lvlJc w:val="left"/>
      <w:lvlText w:val="•"/>
      <w:numFmt w:val="bullet"/>
      <w:start w:val="1"/>
    </w:lvl>
  </w:abstractNum>
  <w:abstractNum w:abstractNumId="84">
    <w:nsid w:val="4B793735"/>
    <w:multiLevelType w:val="hybridMultilevel"/>
    <w:lvl w:ilvl="0">
      <w:lvlJc w:val="left"/>
      <w:lvlText w:val="%1)"/>
      <w:numFmt w:val="decimal"/>
      <w:start w:val="1"/>
    </w:lvl>
    <w:lvl w:ilvl="1">
      <w:lvlJc w:val="left"/>
      <w:lvlText w:val="%2."/>
      <w:numFmt w:val="lowerLetter"/>
      <w:start w:val="1"/>
    </w:lvl>
  </w:abstractNum>
  <w:abstractNum w:abstractNumId="85">
    <w:nsid w:val="4A10B4E8"/>
    <w:multiLevelType w:val="hybridMultilevel"/>
    <w:lvl w:ilvl="0">
      <w:lvlJc w:val="left"/>
      <w:lvlText w:val="%1)"/>
      <w:numFmt w:val="decimal"/>
      <w:start w:val="2"/>
    </w:lvl>
  </w:abstractNum>
  <w:abstractNum w:abstractNumId="86">
    <w:nsid w:val="43D3BCD4"/>
    <w:multiLevelType w:val="hybridMultilevel"/>
    <w:lvl w:ilvl="0">
      <w:lvlJc w:val="left"/>
      <w:lvlText w:val="•"/>
      <w:numFmt w:val="bullet"/>
      <w:start w:val="1"/>
    </w:lvl>
  </w:abstractNum>
  <w:abstractNum w:abstractNumId="87">
    <w:nsid w:val="4C2A7166"/>
    <w:multiLevelType w:val="hybridMultilevel"/>
    <w:lvl w:ilvl="0">
      <w:lvlJc w:val="left"/>
      <w:lvlText w:val="%1."/>
      <w:numFmt w:val="lowerRoman"/>
      <w:start w:val="1"/>
    </w:lvl>
  </w:abstractNum>
  <w:abstractNum w:abstractNumId="88">
    <w:nsid w:val="2E534A82"/>
    <w:multiLevelType w:val="hybridMultilevel"/>
    <w:lvl w:ilvl="0">
      <w:lvlJc w:val="left"/>
      <w:lvlText w:val="(%1)"/>
      <w:numFmt w:val="decimal"/>
      <w:start w:val="1"/>
    </w:lvl>
  </w:abstractNum>
  <w:abstractNum w:abstractNumId="89">
    <w:nsid w:val="26F2D364"/>
    <w:multiLevelType w:val="hybridMultilevel"/>
    <w:lvl w:ilvl="0">
      <w:lvlJc w:val="left"/>
      <w:lvlText w:val="%1."/>
      <w:numFmt w:val="lowerLetter"/>
      <w:start w:val="1"/>
    </w:lvl>
    <w:lvl w:ilvl="1">
      <w:lvlJc w:val="left"/>
      <w:lvlText w:val="%2."/>
      <w:numFmt w:val="lowerRoman"/>
      <w:start w:val="1"/>
    </w:lvl>
  </w:abstractNum>
  <w:abstractNum w:abstractNumId="90">
    <w:nsid w:val="71C1AF98"/>
    <w:multiLevelType w:val="hybridMultilevel"/>
    <w:lvl w:ilvl="0">
      <w:lvlJc w:val="left"/>
      <w:lvlText w:val="%1."/>
      <w:numFmt w:val="lowerLetter"/>
      <w:start w:val="4"/>
    </w:lvl>
  </w:abstractNum>
  <w:abstractNum w:abstractNumId="91">
    <w:nsid w:val="3D00B9D9"/>
    <w:multiLevelType w:val="hybridMultilevel"/>
    <w:lvl w:ilvl="0">
      <w:lvlJc w:val="left"/>
      <w:lvlText w:val="%1."/>
      <w:numFmt w:val="lowerLetter"/>
      <w:start w:val="1"/>
    </w:lvl>
    <w:lvl w:ilvl="1">
      <w:lvlJc w:val="left"/>
      <w:lvlText w:val="%2."/>
      <w:numFmt w:val="lowerRoman"/>
      <w:start w:val="1"/>
    </w:lvl>
  </w:abstractNum>
  <w:abstractNum w:abstractNumId="92">
    <w:nsid w:val="15BCABA8"/>
    <w:multiLevelType w:val="hybridMultilevel"/>
    <w:lvl w:ilvl="0">
      <w:lvlJc w:val="left"/>
      <w:lvlText w:val="%1."/>
      <w:numFmt w:val="lowerLetter"/>
      <w:start w:val="4"/>
    </w:lvl>
  </w:abstractNum>
  <w:abstractNum w:abstractNumId="93">
    <w:nsid w:val="4E0B9A87"/>
    <w:multiLevelType w:val="hybridMultilevel"/>
    <w:lvl w:ilvl="0">
      <w:lvlJc w:val="left"/>
      <w:lvlText w:val="%1."/>
      <w:numFmt w:val="lowerLetter"/>
      <w:start w:val="1"/>
    </w:lvl>
    <w:lvl w:ilvl="1">
      <w:lvlJc w:val="left"/>
      <w:lvlText w:val="%2."/>
      <w:numFmt w:val="lowerRoman"/>
      <w:start w:val="1"/>
    </w:lvl>
  </w:abstractNum>
  <w:abstractNum w:abstractNumId="94">
    <w:nsid w:val="434BAE75"/>
    <w:multiLevelType w:val="hybridMultilevel"/>
    <w:lvl w:ilvl="0">
      <w:lvlJc w:val="left"/>
      <w:lvlText w:val="%1."/>
      <w:numFmt w:val="lowerLetter"/>
      <w:start w:val="3"/>
    </w:lvl>
    <w:lvl w:ilvl="1">
      <w:lvlJc w:val="left"/>
      <w:lvlText w:val="%2."/>
      <w:numFmt w:val="lowerRoman"/>
      <w:start w:val="1"/>
    </w:lvl>
  </w:abstractNum>
  <w:abstractNum w:abstractNumId="95">
    <w:nsid w:val="4F38F265"/>
    <w:multiLevelType w:val="hybridMultilevel"/>
    <w:lvl w:ilvl="0">
      <w:lvlJc w:val="left"/>
      <w:lvlText w:val="%1."/>
      <w:numFmt w:val="lowerLetter"/>
      <w:start w:val="1"/>
    </w:lvl>
  </w:abstractNum>
  <w:abstractNum w:abstractNumId="96">
    <w:nsid w:val="4C502870"/>
    <w:multiLevelType w:val="hybridMultilevel"/>
    <w:lvl w:ilvl="0">
      <w:lvlJc w:val="left"/>
      <w:lvlText w:val="%1."/>
      <w:numFmt w:val="lowerLetter"/>
      <w:start w:val="1"/>
    </w:lvl>
  </w:abstractNum>
  <w:abstractNum w:abstractNumId="97">
    <w:nsid w:val="1DE8725A"/>
    <w:multiLevelType w:val="hybridMultilevel"/>
    <w:lvl w:ilvl="0">
      <w:lvlJc w:val="left"/>
      <w:lvlText w:val="%1."/>
      <w:numFmt w:val="lowerLetter"/>
      <w:start w:val="1"/>
    </w:lvl>
    <w:lvl w:ilvl="1">
      <w:lvlJc w:val="left"/>
      <w:lvlText w:val="(%2)"/>
      <w:numFmt w:val="lowerRoman"/>
      <w:start w:val="1"/>
    </w:lvl>
  </w:abstractNum>
  <w:abstractNum w:abstractNumId="98">
    <w:nsid w:val="6A37288A"/>
    <w:multiLevelType w:val="hybridMultilevel"/>
    <w:lvl w:ilvl="0">
      <w:lvlJc w:val="left"/>
      <w:lvlText w:val="%1."/>
      <w:numFmt w:val="lowerLetter"/>
      <w:start w:val="2"/>
    </w:lvl>
    <w:lvl w:ilvl="1">
      <w:lvlJc w:val="left"/>
      <w:lvlText w:val="%2."/>
      <w:numFmt w:val="lowerRoman"/>
      <w:start w:val="1"/>
    </w:lvl>
  </w:abstractNum>
  <w:abstractNum w:abstractNumId="99">
    <w:nsid w:val="8F8B73F"/>
    <w:multiLevelType w:val="hybridMultilevel"/>
    <w:lvl w:ilvl="0">
      <w:lvlJc w:val="left"/>
      <w:lvlText w:val="%1."/>
      <w:numFmt w:val="lowerLetter"/>
      <w:start w:val="1"/>
    </w:lvl>
  </w:abstractNum>
  <w:abstractNum w:abstractNumId="100">
    <w:nsid w:val="CA6B462"/>
    <w:multiLevelType w:val="hybridMultilevel"/>
    <w:lvl w:ilvl="0">
      <w:lvlJc w:val="left"/>
      <w:lvlText w:val="%1."/>
      <w:numFmt w:val="lowerLetter"/>
      <w:start w:val="11"/>
    </w:lvl>
  </w:abstractNum>
  <w:abstractNum w:abstractNumId="101">
    <w:nsid w:val="763CB680"/>
    <w:multiLevelType w:val="hybridMultilevel"/>
    <w:lvl w:ilvl="0">
      <w:lvlJc w:val="left"/>
      <w:lvlText w:val="%1."/>
      <w:numFmt w:val="lowerLetter"/>
      <w:start w:val="1"/>
    </w:lvl>
  </w:abstractNum>
  <w:abstractNum w:abstractNumId="102">
    <w:nsid w:val="15B71329"/>
    <w:multiLevelType w:val="hybridMultilevel"/>
    <w:lvl w:ilvl="0">
      <w:lvlJc w:val="left"/>
      <w:lvlText w:val="%1."/>
      <w:numFmt w:val="lowerLetter"/>
      <w:start w:val="4"/>
    </w:lvl>
  </w:abstractNum>
  <w:abstractNum w:abstractNumId="103">
    <w:nsid w:val="3DA97044"/>
    <w:multiLevelType w:val="hybridMultilevel"/>
    <w:lvl w:ilvl="0">
      <w:lvlJc w:val="left"/>
      <w:lvlText w:val="%1."/>
      <w:numFmt w:val="lowerLetter"/>
      <w:start w:val="1"/>
    </w:lvl>
  </w:abstractNum>
  <w:abstractNum w:abstractNumId="104">
    <w:nsid w:val="1CDCE2DE"/>
    <w:multiLevelType w:val="hybridMultilevel"/>
    <w:lvl w:ilvl="0">
      <w:lvlJc w:val="left"/>
      <w:lvlText w:val="%1."/>
      <w:numFmt w:val="lowerLetter"/>
      <w:start w:val="5"/>
    </w:lvl>
  </w:abstractNum>
  <w:abstractNum w:abstractNumId="105">
    <w:nsid w:val="69D3947C"/>
    <w:multiLevelType w:val="hybridMultilevel"/>
    <w:lvl w:ilvl="0">
      <w:lvlJc w:val="left"/>
      <w:lvlText w:val="%1."/>
      <w:numFmt w:val="lowerLetter"/>
      <w:start w:val="1"/>
    </w:lvl>
    <w:lvl w:ilvl="1">
      <w:lvlJc w:val="left"/>
      <w:lvlText w:val="(%2)"/>
      <w:numFmt w:val="lowerRoman"/>
      <w:start w:val="2"/>
    </w:lvl>
  </w:abstractNum>
  <w:abstractNum w:abstractNumId="106">
    <w:nsid w:val="2539DFA5"/>
    <w:multiLevelType w:val="hybridMultilevel"/>
    <w:lvl w:ilvl="0">
      <w:lvlJc w:val="left"/>
      <w:lvlText w:val="%1."/>
      <w:numFmt w:val="lowerLetter"/>
      <w:start w:val="1"/>
    </w:lvl>
    <w:lvl w:ilvl="1">
      <w:lvlJc w:val="left"/>
      <w:lvlText w:val="%2."/>
      <w:numFmt w:val="lowerRoman"/>
      <w:start w:val="1"/>
    </w:lvl>
  </w:abstractNum>
  <w:abstractNum w:abstractNumId="107">
    <w:nsid w:val="2DB88089"/>
    <w:multiLevelType w:val="hybridMultilevel"/>
    <w:lvl w:ilvl="0">
      <w:lvlJc w:val="left"/>
      <w:lvlText w:val="%1."/>
      <w:numFmt w:val="lowerLetter"/>
      <w:start w:val="4"/>
    </w:lvl>
  </w:abstractNum>
  <w:abstractNum w:abstractNumId="108">
    <w:nsid w:val="706B674E"/>
    <w:multiLevelType w:val="hybridMultilevel"/>
    <w:lvl w:ilvl="0">
      <w:lvlJc w:val="left"/>
      <w:lvlText w:val="%1."/>
      <w:numFmt w:val="lowerLetter"/>
      <w:start w:val="1"/>
    </w:lvl>
  </w:abstractNum>
  <w:abstractNum w:abstractNumId="109">
    <w:nsid w:val="2C106A57"/>
    <w:multiLevelType w:val="hybridMultilevel"/>
    <w:lvl w:ilvl="0">
      <w:lvlJc w:val="left"/>
      <w:lvlText w:val="%1."/>
      <w:numFmt w:val="lowerLetter"/>
      <w:start w:val="3"/>
    </w:lvl>
  </w:abstractNum>
  <w:abstractNum w:abstractNumId="110">
    <w:nsid w:val="684EED59"/>
    <w:multiLevelType w:val="hybridMultilevel"/>
    <w:lvl w:ilvl="0">
      <w:lvlJc w:val="left"/>
      <w:lvlText w:val="%1."/>
      <w:numFmt w:val="lowerRoman"/>
      <w:start w:val="1"/>
    </w:lvl>
  </w:abstractNum>
  <w:abstractNum w:abstractNumId="111">
    <w:nsid w:val="545EE5D3"/>
    <w:multiLevelType w:val="hybridMultilevel"/>
    <w:lvl w:ilvl="0">
      <w:lvlJc w:val="left"/>
      <w:lvlText w:val="%1."/>
      <w:numFmt w:val="lowerLetter"/>
      <w:start w:val="4"/>
    </w:lvl>
  </w:abstractNum>
  <w:abstractNum w:abstractNumId="112">
    <w:nsid w:val="4A66051"/>
    <w:multiLevelType w:val="hybridMultilevel"/>
    <w:lvl w:ilvl="0">
      <w:lvlJc w:val="left"/>
      <w:lvlText w:val="%1."/>
      <w:numFmt w:val="lowerLetter"/>
      <w:start w:val="1"/>
    </w:lvl>
    <w:lvl w:ilvl="1">
      <w:lvlJc w:val="left"/>
      <w:lvlText w:val="%2."/>
      <w:numFmt w:val="lowerRoman"/>
      <w:start w:val="1"/>
    </w:lvl>
  </w:abstractNum>
  <w:abstractNum w:abstractNumId="113">
    <w:nsid w:val="20F4BDAD"/>
    <w:multiLevelType w:val="hybridMultilevel"/>
    <w:lvl w:ilvl="0">
      <w:lvlJc w:val="left"/>
      <w:lvlText w:val="%1."/>
      <w:numFmt w:val="lowerLetter"/>
      <w:start w:val="3"/>
    </w:lvl>
    <w:lvl w:ilvl="1">
      <w:lvlJc w:val="left"/>
      <w:lvlText w:val="%2."/>
      <w:numFmt w:val="lowerRoman"/>
      <w:start w:val="1"/>
    </w:lvl>
  </w:abstractNum>
  <w:abstractNum w:abstractNumId="114">
    <w:nsid w:val="639DEFAC"/>
    <w:multiLevelType w:val="hybridMultilevel"/>
    <w:lvl w:ilvl="0">
      <w:lvlJc w:val="left"/>
      <w:lvlText w:val="%1."/>
      <w:numFmt w:val="lowerLetter"/>
      <w:start w:val="1"/>
    </w:lvl>
  </w:abstractNum>
  <w:abstractNum w:abstractNumId="115">
    <w:nsid w:val="501F9786"/>
    <w:multiLevelType w:val="hybridMultilevel"/>
    <w:lvl w:ilvl="0">
      <w:lvlJc w:val="left"/>
      <w:lvlText w:val="%1."/>
      <w:numFmt w:val="lowerLetter"/>
      <w:start w:val="1"/>
    </w:lvl>
  </w:abstractNum>
  <w:abstractNum w:abstractNumId="116">
    <w:nsid w:val="6B057295"/>
    <w:multiLevelType w:val="hybridMultilevel"/>
    <w:lvl w:ilvl="0">
      <w:lvlJc w:val="left"/>
      <w:lvlText w:val="%1."/>
      <w:numFmt w:val="lowerLetter"/>
      <w:start w:val="1"/>
    </w:lvl>
    <w:lvl w:ilvl="1">
      <w:lvlJc w:val="left"/>
      <w:lvlText w:val="(%2)"/>
      <w:numFmt w:val="lowerRoman"/>
      <w:start w:val="1"/>
    </w:lvl>
  </w:abstractNum>
  <w:abstractNum w:abstractNumId="117">
    <w:nsid w:val="2771AC80"/>
    <w:multiLevelType w:val="hybridMultilevel"/>
    <w:lvl w:ilvl="0">
      <w:lvlJc w:val="left"/>
      <w:lvlText w:val="%1."/>
      <w:numFmt w:val="lowerLetter"/>
      <w:start w:val="2"/>
    </w:lvl>
    <w:lvl w:ilvl="1">
      <w:lvlJc w:val="left"/>
      <w:lvlText w:val="%2."/>
      <w:numFmt w:val="lowerRoman"/>
      <w:start w:val="1"/>
    </w:lvl>
  </w:abstractNum>
  <w:abstractNum w:abstractNumId="118">
    <w:nsid w:val="1C4A08EC"/>
    <w:multiLevelType w:val="hybridMultilevel"/>
    <w:lvl w:ilvl="0">
      <w:lvlJc w:val="left"/>
      <w:lvlText w:val="%1."/>
      <w:numFmt w:val="lowerLetter"/>
      <w:start w:val="1"/>
    </w:lvl>
  </w:abstractNum>
  <w:abstractNum w:abstractNumId="119">
    <w:nsid w:val="1958BD17"/>
    <w:multiLevelType w:val="hybridMultilevel"/>
    <w:lvl w:ilvl="0">
      <w:lvlJc w:val="left"/>
      <w:lvlText w:val="%1."/>
      <w:numFmt w:val="lowerLetter"/>
      <w:start w:val="11"/>
    </w:lvl>
  </w:abstractNum>
  <w:abstractNum w:abstractNumId="120">
    <w:nsid w:val="4E647FE4"/>
    <w:multiLevelType w:val="hybridMultilevel"/>
    <w:lvl w:ilvl="0">
      <w:lvlJc w:val="left"/>
      <w:lvlText w:val="%1."/>
      <w:numFmt w:val="lowerLetter"/>
      <w:start w:val="1"/>
    </w:lvl>
  </w:abstractNum>
  <w:abstractNum w:abstractNumId="121">
    <w:nsid w:val="E0BB885"/>
    <w:multiLevelType w:val="hybridMultilevel"/>
    <w:lvl w:ilvl="0">
      <w:lvlJc w:val="left"/>
      <w:lvlText w:val="%1."/>
      <w:numFmt w:val="lowerLetter"/>
      <w:start w:val="4"/>
    </w:lvl>
  </w:abstractNum>
  <w:abstractNum w:abstractNumId="122">
    <w:nsid w:val="565976F1"/>
    <w:multiLevelType w:val="hybridMultilevel"/>
    <w:lvl w:ilvl="0">
      <w:lvlJc w:val="left"/>
      <w:lvlText w:val="%1."/>
      <w:numFmt w:val="lowerLetter"/>
      <w:start w:val="1"/>
    </w:lvl>
  </w:abstractNum>
  <w:abstractNum w:abstractNumId="123">
    <w:nsid w:val="64212B8C"/>
    <w:multiLevelType w:val="hybridMultilevel"/>
    <w:lvl w:ilvl="0">
      <w:lvlJc w:val="left"/>
      <w:lvlText w:val="%1."/>
      <w:numFmt w:val="lowerRoman"/>
      <w:start w:val="1"/>
    </w:lvl>
  </w:abstractNum>
  <w:abstractNum w:abstractNumId="124">
    <w:nsid w:val="5C17530C"/>
    <w:multiLevelType w:val="hybridMultilevel"/>
    <w:lvl w:ilvl="0">
      <w:lvlJc w:val="left"/>
      <w:lvlText w:val="%1."/>
      <w:numFmt w:val="lowerLetter"/>
      <w:start w:val="2"/>
    </w:lvl>
  </w:abstractNum>
  <w:abstractNum w:abstractNumId="125">
    <w:nsid w:val="19A52566"/>
    <w:multiLevelType w:val="hybridMultilevel"/>
    <w:lvl w:ilvl="0">
      <w:lvlJc w:val="left"/>
      <w:lvlText w:val="%1."/>
      <w:numFmt w:val="lowerLetter"/>
      <w:start w:val="1"/>
    </w:lvl>
  </w:abstractNum>
  <w:abstractNum w:abstractNumId="126">
    <w:nsid w:val="335A1DF1"/>
    <w:multiLevelType w:val="hybridMultilevel"/>
    <w:lvl w:ilvl="0">
      <w:lvlJc w:val="left"/>
      <w:lvlText w:val="%1."/>
      <w:numFmt w:val="lowerLetter"/>
      <w:start w:val="4"/>
    </w:lvl>
  </w:abstractNum>
  <w:abstractNum w:abstractNumId="127">
    <w:nsid w:val="28677B7C"/>
    <w:multiLevelType w:val="hybridMultilevel"/>
    <w:lvl w:ilvl="0">
      <w:lvlJc w:val="left"/>
      <w:lvlText w:val="%1."/>
      <w:numFmt w:val="lowerLetter"/>
      <w:start w:val="1"/>
    </w:lvl>
    <w:lvl w:ilvl="1">
      <w:lvlJc w:val="left"/>
      <w:lvlText w:val="(%2)"/>
      <w:numFmt w:val="lowerRoman"/>
      <w:start w:val="2"/>
    </w:lvl>
  </w:abstractNum>
  <w:abstractNum w:abstractNumId="128">
    <w:nsid w:val="378D97C0"/>
    <w:multiLevelType w:val="hybridMultilevel"/>
    <w:lvl w:ilvl="0">
      <w:lvlJc w:val="left"/>
      <w:lvlText w:val="%1."/>
      <w:numFmt w:val="lowerLetter"/>
      <w:start w:val="1"/>
    </w:lvl>
    <w:lvl w:ilvl="1">
      <w:lvlJc w:val="left"/>
      <w:lvlText w:val="(%2)"/>
      <w:numFmt w:val="lowerRoman"/>
      <w:start w:val="1"/>
    </w:lvl>
  </w:abstractNum>
  <w:abstractNum w:abstractNumId="129">
    <w:nsid w:val="1D91467C"/>
    <w:multiLevelType w:val="hybridMultilevel"/>
    <w:lvl w:ilvl="0">
      <w:lvlJc w:val="left"/>
      <w:lvlText w:val="%1."/>
      <w:numFmt w:val="lowerLetter"/>
      <w:start w:val="2"/>
    </w:lvl>
  </w:abstractNum>
  <w:abstractNum w:abstractNumId="130">
    <w:nsid w:val="316032BB"/>
    <w:multiLevelType w:val="hybridMultilevel"/>
    <w:lvl w:ilvl="0">
      <w:lvlJc w:val="left"/>
      <w:lvlText w:val="%1."/>
      <w:numFmt w:val="lowerLetter"/>
      <w:start w:val="3"/>
    </w:lvl>
  </w:abstractNum>
  <w:abstractNum w:abstractNumId="131">
    <w:nsid w:val="44344C22"/>
    <w:multiLevelType w:val="hybridMultilevel"/>
    <w:lvl w:ilvl="0">
      <w:lvlJc w:val="left"/>
      <w:lvlText w:val="%1."/>
      <w:numFmt w:val="lowerLetter"/>
      <w:start w:val="1"/>
    </w:lvl>
  </w:abstractNum>
  <w:abstractNum w:abstractNumId="132">
    <w:nsid w:val="13CDFCFC"/>
    <w:multiLevelType w:val="hybridMultilevel"/>
    <w:lvl w:ilvl="0">
      <w:lvlJc w:val="left"/>
      <w:lvlText w:val="%1."/>
      <w:numFmt w:val="lowerLetter"/>
      <w:start w:val="3"/>
    </w:lvl>
  </w:abstractNum>
  <w:abstractNum w:abstractNumId="133">
    <w:nsid w:val="471745E4"/>
    <w:multiLevelType w:val="hybridMultilevel"/>
    <w:lvl w:ilvl="0">
      <w:lvlJc w:val="left"/>
      <w:lvlText w:val="(%1)"/>
      <w:numFmt w:val="lowerRoman"/>
      <w:start w:val="1"/>
    </w:lvl>
  </w:abstractNum>
  <w:abstractNum w:abstractNumId="134">
    <w:nsid w:val="1DDBC66"/>
    <w:multiLevelType w:val="hybridMultilevel"/>
    <w:lvl w:ilvl="0">
      <w:lvlJc w:val="left"/>
      <w:lvlText w:val="%1."/>
      <w:numFmt w:val="lowerLetter"/>
      <w:start w:val="4"/>
    </w:lvl>
  </w:abstractNum>
  <w:abstractNum w:abstractNumId="135">
    <w:nsid w:val="30AADFDA"/>
    <w:multiLevelType w:val="hybridMultilevel"/>
    <w:lvl w:ilvl="0">
      <w:lvlJc w:val="left"/>
      <w:lvlText w:val="%1."/>
      <w:numFmt w:val="lowerLetter"/>
      <w:start w:val="1"/>
    </w:lvl>
  </w:abstractNum>
  <w:abstractNum w:abstractNumId="136">
    <w:nsid w:val="30EADA61"/>
    <w:multiLevelType w:val="hybridMultilevel"/>
    <w:lvl w:ilvl="0">
      <w:lvlJc w:val="left"/>
      <w:lvlText w:val="(%1)"/>
      <w:numFmt w:val="lowerRoman"/>
      <w:start w:val="1"/>
    </w:lvl>
  </w:abstractNum>
  <w:abstractNum w:abstractNumId="137">
    <w:nsid w:val="27179C0B"/>
    <w:multiLevelType w:val="hybridMultilevel"/>
    <w:lvl w:ilvl="0">
      <w:lvlJc w:val="left"/>
      <w:lvlText w:val="%1."/>
      <w:numFmt w:val="lowerLetter"/>
      <w:start w:val="3"/>
    </w:lvl>
  </w:abstractNum>
  <w:abstractNum w:abstractNumId="138">
    <w:nsid w:val="5E636063"/>
    <w:multiLevelType w:val="hybridMultilevel"/>
    <w:lvl w:ilvl="0">
      <w:lvlJc w:val="left"/>
      <w:lvlText w:val="%1."/>
      <w:numFmt w:val="lowerLetter"/>
      <w:start w:val="1"/>
    </w:lvl>
    <w:lvl w:ilvl="1">
      <w:lvlJc w:val="left"/>
      <w:lvlText w:val="(%2)"/>
      <w:numFmt w:val="lowerRoman"/>
      <w:start w:val="1"/>
    </w:lvl>
  </w:abstractNum>
  <w:abstractNum w:abstractNumId="139">
    <w:nsid w:val="215641AF"/>
    <w:multiLevelType w:val="hybridMultilevel"/>
    <w:lvl w:ilvl="0">
      <w:lvlJc w:val="left"/>
      <w:lvlText w:val="%1."/>
      <w:numFmt w:val="lowerLetter"/>
      <w:start w:val="4"/>
    </w:lvl>
  </w:abstractNum>
  <w:abstractNum w:abstractNumId="140">
    <w:nsid w:val="53280662"/>
    <w:multiLevelType w:val="hybridMultilevel"/>
    <w:lvl w:ilvl="0">
      <w:lvlJc w:val="left"/>
      <w:lvlText w:val="%1."/>
      <w:numFmt w:val="lowerLetter"/>
      <w:start w:val="1"/>
    </w:lvl>
  </w:abstractNum>
  <w:abstractNum w:abstractNumId="141">
    <w:nsid w:val="46B24DBC"/>
    <w:multiLevelType w:val="hybridMultilevel"/>
    <w:lvl w:ilvl="0">
      <w:lvlJc w:val="left"/>
      <w:lvlText w:val="%1."/>
      <w:numFmt w:val="lowerLetter"/>
      <w:start w:val="1"/>
    </w:lvl>
  </w:abstractNum>
  <w:abstractNum w:abstractNumId="142">
    <w:nsid w:val="75B5278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43">
    <w:nsid w:val="57CE66B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44">
    <w:nsid w:val="67A70B69"/>
    <w:multiLevelType w:val="hybridMultilevel"/>
    <w:lvl w:ilvl="0">
      <w:lvlJc w:val="left"/>
      <w:lvlText w:val="%1."/>
      <w:numFmt w:val="lowerLetter"/>
      <w:start w:val="3"/>
    </w:lvl>
  </w:abstractNum>
  <w:abstractNum w:abstractNumId="145">
    <w:nsid w:val="5953172F"/>
    <w:multiLevelType w:val="hybridMultilevel"/>
    <w:lvl w:ilvl="0">
      <w:lvlJc w:val="left"/>
      <w:lvlText w:val="%1."/>
      <w:numFmt w:val="lowerLetter"/>
      <w:start w:val="4"/>
    </w:lvl>
  </w:abstractNum>
  <w:abstractNum w:abstractNumId="146">
    <w:nsid w:val="27EDFE3A"/>
    <w:multiLevelType w:val="hybridMultilevel"/>
    <w:lvl w:ilvl="0">
      <w:lvlJc w:val="left"/>
      <w:lvlText w:val="%1."/>
      <w:numFmt w:val="lowerLetter"/>
      <w:start w:val="1"/>
    </w:lvl>
  </w:abstractNum>
  <w:abstractNum w:abstractNumId="147">
    <w:nsid w:val="52AC7DFF"/>
    <w:multiLevelType w:val="hybridMultilevel"/>
    <w:lvl w:ilvl="0">
      <w:lvlJc w:val="left"/>
      <w:lvlText w:val="%1."/>
      <w:numFmt w:val="lowerLetter"/>
      <w:start w:val="9"/>
    </w:lvl>
  </w:abstractNum>
  <w:abstractNum w:abstractNumId="148">
    <w:nsid w:val="C4C3AF"/>
    <w:multiLevelType w:val="hybridMultilevel"/>
    <w:lvl w:ilvl="0">
      <w:lvlJc w:val="left"/>
      <w:lvlText w:val="%1."/>
      <w:numFmt w:val="lowerLetter"/>
      <w:start w:val="1"/>
    </w:lvl>
  </w:abstractNum>
  <w:abstractNum w:abstractNumId="149">
    <w:nsid w:val="44380727"/>
    <w:multiLevelType w:val="hybridMultilevel"/>
    <w:lvl w:ilvl="0">
      <w:lvlJc w:val="left"/>
      <w:lvlText w:val="%1."/>
      <w:numFmt w:val="lowerLetter"/>
      <w:start w:val="2"/>
    </w:lvl>
  </w:abstractNum>
  <w:abstractNum w:abstractNumId="150">
    <w:nsid w:val="6C053B16"/>
    <w:multiLevelType w:val="hybridMultilevel"/>
    <w:lvl w:ilvl="0">
      <w:lvlJc w:val="left"/>
      <w:lvlText w:val="%1."/>
      <w:numFmt w:val="lowerLetter"/>
      <w:start w:val="7"/>
    </w:lvl>
  </w:abstractNum>
  <w:abstractNum w:abstractNumId="151">
    <w:nsid w:val="4F294393"/>
    <w:multiLevelType w:val="hybridMultilevel"/>
    <w:lvl w:ilvl="0">
      <w:lvlJc w:val="left"/>
      <w:lvlText w:val="%1."/>
      <w:numFmt w:val="lowerLetter"/>
      <w:start w:val="1"/>
    </w:lvl>
  </w:abstractNum>
  <w:abstractNum w:abstractNumId="152">
    <w:nsid w:val="5243BFAC"/>
    <w:multiLevelType w:val="hybridMultilevel"/>
    <w:lvl w:ilvl="0">
      <w:lvlJc w:val="left"/>
      <w:lvlText w:val="%1."/>
      <w:numFmt w:val="lowerLetter"/>
      <w:start w:val="1"/>
    </w:lvl>
  </w:abstractNum>
  <w:abstractNum w:abstractNumId="153">
    <w:nsid w:val="425EB207"/>
    <w:multiLevelType w:val="hybridMultilevel"/>
    <w:lvl w:ilvl="0">
      <w:lvlJc w:val="left"/>
      <w:lvlText w:val="%1."/>
      <w:numFmt w:val="lowerLetter"/>
      <w:start w:val="1"/>
    </w:lvl>
  </w:abstractNum>
  <w:abstractNum w:abstractNumId="154">
    <w:nsid w:val="334A6F1F"/>
    <w:multiLevelType w:val="hybridMultilevel"/>
    <w:lvl w:ilvl="0">
      <w:lvlJc w:val="left"/>
      <w:lvlText w:val="%1."/>
      <w:numFmt w:val="lowerLetter"/>
      <w:start w:val="1"/>
    </w:lvl>
  </w:abstractNum>
  <w:abstractNum w:abstractNumId="155">
    <w:nsid w:val="2E5B12B8"/>
    <w:multiLevelType w:val="hybridMultilevel"/>
    <w:lvl w:ilvl="0">
      <w:lvlJc w:val="left"/>
      <w:lvlText w:val="%1."/>
      <w:numFmt w:val="lowerLetter"/>
      <w:start w:val="3"/>
    </w:lvl>
    <w:lvl w:ilvl="1">
      <w:lvlJc w:val="left"/>
      <w:lvlText w:val="%2."/>
      <w:numFmt w:val="lowerRoman"/>
      <w:start w:val="1"/>
    </w:lvl>
  </w:abstractNum>
  <w:abstractNum w:abstractNumId="156">
    <w:nsid w:val="5C03D76D"/>
    <w:multiLevelType w:val="hybridMultilevel"/>
    <w:lvl w:ilvl="0">
      <w:lvlJc w:val="left"/>
      <w:lvlText w:val="%1."/>
      <w:numFmt w:val="lowerLetter"/>
      <w:start w:val="4"/>
    </w:lvl>
  </w:abstractNum>
  <w:abstractNum w:abstractNumId="157">
    <w:nsid w:val="66A48D11"/>
    <w:multiLevelType w:val="hybridMultilevel"/>
    <w:lvl w:ilvl="0">
      <w:lvlJc w:val="left"/>
      <w:lvlText w:val="%1."/>
      <w:numFmt w:val="lowerLetter"/>
      <w:start w:val="1"/>
    </w:lvl>
    <w:lvl w:ilvl="1">
      <w:lvlJc w:val="left"/>
      <w:lvlText w:val="%2."/>
      <w:numFmt w:val="lowerRoman"/>
      <w:start w:val="1"/>
    </w:lvl>
  </w:abstractNum>
  <w:abstractNum w:abstractNumId="158">
    <w:nsid w:val="56C28E34"/>
    <w:multiLevelType w:val="hybridMultilevel"/>
    <w:lvl w:ilvl="0">
      <w:lvlJc w:val="left"/>
      <w:lvlText w:val="%1."/>
      <w:numFmt w:val="lowerLetter"/>
      <w:start w:val="3"/>
    </w:lvl>
  </w:abstractNum>
  <w:abstractNum w:abstractNumId="159">
    <w:nsid w:val="13916F2D"/>
    <w:multiLevelType w:val="hybridMultilevel"/>
    <w:lvl w:ilvl="0">
      <w:lvlJc w:val="left"/>
      <w:lvlText w:val="%1."/>
      <w:numFmt w:val="lowerLetter"/>
      <w:start w:val="1"/>
    </w:lvl>
  </w:abstractNum>
  <w:abstractNum w:abstractNumId="160">
    <w:nsid w:val="435D38D"/>
    <w:multiLevelType w:val="hybridMultilevel"/>
    <w:lvl w:ilvl="0">
      <w:lvlJc w:val="left"/>
      <w:lvlText w:val="%1"/>
      <w:numFmt w:val="lowerLetter"/>
      <w:start w:val="1"/>
    </w:lvl>
    <w:lvl w:ilvl="1">
      <w:lvlJc w:val="left"/>
      <w:lvlText w:val="(%2)"/>
      <w:numFmt w:val="lowerRoman"/>
      <w:start w:val="3"/>
    </w:lvl>
  </w:abstractNum>
  <w:abstractNum w:abstractNumId="161">
    <w:nsid w:val="822C0EF"/>
    <w:multiLevelType w:val="hybridMultilevel"/>
    <w:lvl w:ilvl="0">
      <w:lvlJc w:val="left"/>
      <w:lvlText w:val="%1."/>
      <w:numFmt w:val="lowerLetter"/>
      <w:start w:val="3"/>
    </w:lvl>
    <w:lvl w:ilvl="1">
      <w:lvlJc w:val="left"/>
      <w:lvlText w:val="(%2)"/>
      <w:numFmt w:val="lowerRoman"/>
      <w:start w:val="2"/>
    </w:lvl>
  </w:abstractNum>
  <w:abstractNum w:abstractNumId="162">
    <w:nsid w:val="57C5BB4F"/>
    <w:multiLevelType w:val="hybridMultilevel"/>
    <w:lvl w:ilvl="0">
      <w:lvlJc w:val="left"/>
      <w:lvlText w:val="%1."/>
      <w:numFmt w:val="lowerLetter"/>
      <w:start w:val="1"/>
    </w:lvl>
  </w:abstractNum>
  <w:abstractNum w:abstractNumId="163">
    <w:nsid w:val="1803D089"/>
    <w:multiLevelType w:val="hybridMultilevel"/>
    <w:lvl w:ilvl="0">
      <w:lvlJc w:val="left"/>
      <w:lvlText w:val="%1."/>
      <w:numFmt w:val="lowerLetter"/>
      <w:start w:val="1"/>
    </w:lvl>
  </w:abstractNum>
  <w:abstractNum w:abstractNumId="164">
    <w:nsid w:val="4F3A06D4"/>
    <w:multiLevelType w:val="hybridMultilevel"/>
    <w:lvl w:ilvl="0">
      <w:lvlJc w:val="left"/>
      <w:lvlText w:val="%1."/>
      <w:numFmt w:val="lowerLetter"/>
      <w:start w:val="2"/>
    </w:lvl>
    <w:lvl w:ilvl="1">
      <w:lvlJc w:val="left"/>
      <w:lvlText w:val="%2."/>
      <w:numFmt w:val="lowerRoman"/>
      <w:start w:val="1"/>
    </w:lvl>
  </w:abstractNum>
  <w:abstractNum w:abstractNumId="165">
    <w:nsid w:val="59A377B6"/>
    <w:multiLevelType w:val="hybridMultilevel"/>
    <w:lvl w:ilvl="0">
      <w:lvlJc w:val="left"/>
      <w:lvlText w:val="%1."/>
      <w:numFmt w:val="lowerLetter"/>
      <w:start w:val="4"/>
    </w:lvl>
  </w:abstractNum>
  <w:abstractNum w:abstractNumId="166">
    <w:nsid w:val="48AEB063"/>
    <w:multiLevelType w:val="hybridMultilevel"/>
    <w:lvl w:ilvl="0">
      <w:lvlJc w:val="left"/>
      <w:lvlText w:val="%1."/>
      <w:numFmt w:val="lowerLetter"/>
      <w:start w:val="1"/>
    </w:lvl>
  </w:abstractNum>
  <w:abstractNum w:abstractNumId="167">
    <w:nsid w:val="24E135"/>
    <w:multiLevelType w:val="hybridMultilevel"/>
    <w:lvl w:ilvl="0">
      <w:lvlJc w:val="left"/>
      <w:lvlText w:val="%1."/>
      <w:numFmt w:val="lowerLetter"/>
      <w:start w:val="10"/>
    </w:lvl>
  </w:abstractNum>
  <w:abstractNum w:abstractNumId="168">
    <w:nsid w:val="BB13C1"/>
    <w:multiLevelType w:val="hybridMultilevel"/>
    <w:lvl w:ilvl="0">
      <w:lvlJc w:val="left"/>
      <w:lvlText w:val="%1."/>
      <w:numFmt w:val="lowerLetter"/>
      <w:start w:val="1"/>
    </w:lvl>
  </w:abstractNum>
  <w:abstractNum w:abstractNumId="169">
    <w:nsid w:val="271210C7"/>
    <w:multiLevelType w:val="hybridMultilevel"/>
    <w:lvl w:ilvl="0">
      <w:lvlJc w:val="left"/>
      <w:lvlText w:val="%1."/>
      <w:numFmt w:val="lowerLetter"/>
      <w:start w:val="3"/>
    </w:lvl>
  </w:abstractNum>
  <w:abstractNum w:abstractNumId="170">
    <w:nsid w:val="217B22E4"/>
    <w:multiLevelType w:val="hybridMultilevel"/>
    <w:lvl w:ilvl="0">
      <w:lvlJc w:val="left"/>
      <w:lvlText w:val="%1."/>
      <w:numFmt w:val="lowerLetter"/>
      <w:start w:val="1"/>
    </w:lvl>
  </w:abstractNum>
  <w:abstractNum w:abstractNumId="171">
    <w:nsid w:val="53E31A24"/>
    <w:multiLevelType w:val="hybridMultilevel"/>
    <w:lvl w:ilvl="0">
      <w:lvlJc w:val="left"/>
      <w:lvlText w:val="%1."/>
      <w:numFmt w:val="lowerLetter"/>
      <w:start w:val="5"/>
    </w:lvl>
  </w:abstractNum>
  <w:abstractNum w:abstractNumId="172">
    <w:nsid w:val="6DC45E83"/>
    <w:multiLevelType w:val="hybridMultilevel"/>
    <w:lvl w:ilvl="0">
      <w:lvlJc w:val="left"/>
      <w:lvlText w:val="%1."/>
      <w:numFmt w:val="lowerLetter"/>
      <w:start w:val="1"/>
    </w:lvl>
  </w:abstractNum>
  <w:abstractNum w:abstractNumId="173">
    <w:nsid w:val="17304A67"/>
    <w:multiLevelType w:val="hybridMultilevel"/>
    <w:lvl w:ilvl="0">
      <w:lvlJc w:val="left"/>
      <w:lvlText w:val="%1."/>
      <w:numFmt w:val="lowerLetter"/>
      <w:start w:val="1"/>
    </w:lvl>
  </w:abstractNum>
  <w:abstractNum w:abstractNumId="174">
    <w:nsid w:val="2BB180D8"/>
    <w:multiLevelType w:val="hybridMultilevel"/>
    <w:lvl w:ilvl="0">
      <w:lvlJc w:val="left"/>
      <w:lvlText w:val="%1."/>
      <w:numFmt w:val="lowerLetter"/>
      <w:start w:val="1"/>
    </w:lvl>
  </w:abstractNum>
  <w:abstractNum w:abstractNumId="175">
    <w:nsid w:val="556B69ED"/>
    <w:multiLevelType w:val="hybridMultilevel"/>
    <w:lvl w:ilvl="0">
      <w:lvlJc w:val="left"/>
      <w:lvlText w:val="%1."/>
      <w:numFmt w:val="lowerLetter"/>
      <w:start w:val="3"/>
    </w:lvl>
    <w:lvl w:ilvl="1">
      <w:lvlJc w:val="left"/>
      <w:lvlText w:val="%2."/>
      <w:numFmt w:val="lowerRoman"/>
      <w:start w:val="1"/>
    </w:lvl>
  </w:abstractNum>
  <w:abstractNum w:abstractNumId="176">
    <w:nsid w:val="70836196"/>
    <w:multiLevelType w:val="hybridMultilevel"/>
    <w:lvl w:ilvl="0">
      <w:lvlJc w:val="left"/>
      <w:lvlText w:val="%1."/>
      <w:numFmt w:val="lowerLetter"/>
      <w:start w:val="4"/>
    </w:lvl>
  </w:abstractNum>
  <w:abstractNum w:abstractNumId="177">
    <w:nsid w:val="539F7F12"/>
    <w:multiLevelType w:val="hybridMultilevel"/>
    <w:lvl w:ilvl="0">
      <w:lvlJc w:val="left"/>
      <w:lvlText w:val="%1."/>
      <w:numFmt w:val="lowerLetter"/>
      <w:start w:val="1"/>
    </w:lvl>
    <w:lvl w:ilvl="1">
      <w:lvlJc w:val="left"/>
      <w:lvlText w:val="%2."/>
      <w:numFmt w:val="lowerRoman"/>
      <w:start w:val="1"/>
    </w:lvl>
  </w:abstractNum>
  <w:abstractNum w:abstractNumId="178">
    <w:nsid w:val="2817E7EC"/>
    <w:multiLevelType w:val="hybridMultilevel"/>
    <w:lvl w:ilvl="0">
      <w:lvlJc w:val="left"/>
      <w:lvlText w:val="%1."/>
      <w:numFmt w:val="lowerLetter"/>
      <w:start w:val="3"/>
    </w:lvl>
  </w:abstractNum>
  <w:abstractNum w:abstractNumId="179">
    <w:nsid w:val="71482545"/>
    <w:multiLevelType w:val="hybridMultilevel"/>
    <w:lvl w:ilvl="0">
      <w:lvlJc w:val="left"/>
      <w:lvlText w:val="%1."/>
      <w:numFmt w:val="lowerLetter"/>
      <w:start w:val="1"/>
    </w:lvl>
  </w:abstractNum>
  <w:abstractNum w:abstractNumId="180">
    <w:nsid w:val="17D78639"/>
    <w:multiLevelType w:val="hybridMultilevel"/>
    <w:lvl w:ilvl="0">
      <w:lvlJc w:val="left"/>
      <w:lvlText w:val="%1."/>
      <w:numFmt w:val="lowerLetter"/>
      <w:start w:val="2"/>
    </w:lvl>
    <w:lvl w:ilvl="1">
      <w:lvlJc w:val="left"/>
      <w:lvlText w:val="(%2)"/>
      <w:numFmt w:val="lowerRoman"/>
      <w:start w:val="2"/>
    </w:lvl>
  </w:abstractNum>
  <w:abstractNum w:abstractNumId="181">
    <w:nsid w:val="141D2302"/>
    <w:multiLevelType w:val="hybridMultilevel"/>
    <w:lvl w:ilvl="0">
      <w:lvlJc w:val="left"/>
      <w:lvlText w:val="%1."/>
      <w:numFmt w:val="lowerLetter"/>
      <w:start w:val="1"/>
    </w:lvl>
  </w:abstractNum>
  <w:abstractNum w:abstractNumId="182">
    <w:nsid w:val="407168D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83">
    <w:nsid w:val="6A1B45E5"/>
    <w:multiLevelType w:val="hybridMultilevel"/>
    <w:lvl w:ilvl="0">
      <w:lvlJc w:val="left"/>
      <w:lvlText w:val="%1."/>
      <w:numFmt w:val="lowerLetter"/>
      <w:start w:val="3"/>
    </w:lvl>
  </w:abstractNum>
  <w:abstractNum w:abstractNumId="184">
    <w:nsid w:val="567BD50A"/>
    <w:multiLevelType w:val="hybridMultilevel"/>
    <w:lvl w:ilvl="0">
      <w:lvlJc w:val="left"/>
      <w:lvlText w:val="%1."/>
      <w:numFmt w:val="lowerLetter"/>
      <w:start w:val="1"/>
    </w:lvl>
  </w:abstractNum>
  <w:abstractNum w:abstractNumId="185">
    <w:nsid w:val="73BBD7F8"/>
    <w:multiLevelType w:val="hybridMultilevel"/>
    <w:lvl w:ilvl="0">
      <w:lvlJc w:val="left"/>
      <w:lvlText w:val="%1."/>
      <w:numFmt w:val="lowerLetter"/>
      <w:start w:val="8"/>
    </w:lvl>
  </w:abstractNum>
  <w:abstractNum w:abstractNumId="186">
    <w:nsid w:val="1876589D"/>
    <w:multiLevelType w:val="hybridMultilevel"/>
    <w:lvl w:ilvl="0">
      <w:lvlJc w:val="left"/>
      <w:lvlText w:val="%1."/>
      <w:numFmt w:val="lowerLetter"/>
      <w:start w:val="1"/>
    </w:lvl>
  </w:abstractNum>
  <w:abstractNum w:abstractNumId="187">
    <w:nsid w:val="327FAC77"/>
    <w:multiLevelType w:val="hybridMultilevel"/>
    <w:lvl w:ilvl="0">
      <w:lvlJc w:val="left"/>
      <w:lvlText w:val="%1."/>
      <w:numFmt w:val="lowerLetter"/>
      <w:start w:val="2"/>
    </w:lvl>
  </w:abstractNum>
  <w:abstractNum w:abstractNumId="188">
    <w:nsid w:val="5A606509"/>
    <w:multiLevelType w:val="hybridMultilevel"/>
    <w:lvl w:ilvl="0">
      <w:lvlJc w:val="left"/>
      <w:lvlText w:val="%1."/>
      <w:numFmt w:val="lowerLetter"/>
      <w:start w:val="7"/>
    </w:lvl>
  </w:abstractNum>
  <w:abstractNum w:abstractNumId="189">
    <w:nsid w:val="6F38E6D1"/>
    <w:multiLevelType w:val="hybridMultilevel"/>
    <w:lvl w:ilvl="0">
      <w:lvlJc w:val="left"/>
      <w:lvlText w:val="%1."/>
      <w:numFmt w:val="lowerLetter"/>
      <w:start w:val="1"/>
    </w:lvl>
    <w:lvl w:ilvl="1">
      <w:lvlJc w:val="left"/>
      <w:lvlText w:val="%2."/>
      <w:numFmt w:val="lowerRoman"/>
      <w:start w:val="1"/>
    </w:lvl>
  </w:abstractNum>
  <w:abstractNum w:abstractNumId="190">
    <w:nsid w:val="46111BA5"/>
    <w:multiLevelType w:val="hybridMultilevel"/>
    <w:lvl w:ilvl="0">
      <w:lvlJc w:val="left"/>
      <w:lvlText w:val="%1."/>
      <w:numFmt w:val="lowerLetter"/>
      <w:start w:val="2"/>
    </w:lvl>
  </w:abstractNum>
  <w:abstractNum w:abstractNumId="191">
    <w:nsid w:val="5E963896"/>
    <w:multiLevelType w:val="hybridMultilevel"/>
    <w:lvl w:ilvl="0">
      <w:lvlJc w:val="left"/>
      <w:lvlText w:val="%1."/>
      <w:numFmt w:val="lowerLetter"/>
      <w:start w:val="1"/>
    </w:lvl>
  </w:abstractNum>
  <w:abstractNum w:abstractNumId="192">
    <w:nsid w:val="775BA7C1"/>
    <w:multiLevelType w:val="hybridMultilevel"/>
    <w:lvl w:ilvl="0">
      <w:lvlJc w:val="left"/>
      <w:lvlText w:val="%1."/>
      <w:numFmt w:val="lowerLetter"/>
      <w:start w:val="3"/>
    </w:lvl>
  </w:abstractNum>
  <w:abstractNum w:abstractNumId="193">
    <w:nsid w:val="1DD6D6F4"/>
    <w:multiLevelType w:val="hybridMultilevel"/>
    <w:lvl w:ilvl="0">
      <w:lvlJc w:val="left"/>
      <w:lvlText w:val="%1."/>
      <w:numFmt w:val="lowerLetter"/>
      <w:start w:val="1"/>
    </w:lvl>
  </w:abstractNum>
  <w:abstractNum w:abstractNumId="194">
    <w:nsid w:val="769A091F"/>
    <w:multiLevelType w:val="hybridMultilevel"/>
    <w:lvl w:ilvl="0">
      <w:lvlJc w:val="left"/>
      <w:lvlText w:val="%1."/>
      <w:numFmt w:val="lowerLetter"/>
      <w:start w:val="1"/>
    </w:lvl>
  </w:abstractNum>
  <w:abstractNum w:abstractNumId="195">
    <w:nsid w:val="4695AE95"/>
    <w:multiLevelType w:val="hybridMultilevel"/>
    <w:lvl w:ilvl="0">
      <w:lvlJc w:val="left"/>
      <w:lvlText w:val="%1."/>
      <w:numFmt w:val="lowerLetter"/>
      <w:start w:val="1"/>
    </w:lvl>
  </w:abstractNum>
  <w:abstractNum w:abstractNumId="196">
    <w:nsid w:val="777A4EAA"/>
    <w:multiLevelType w:val="hybridMultilevel"/>
    <w:lvl w:ilvl="0">
      <w:lvlJc w:val="left"/>
      <w:lvlText w:val="%1."/>
      <w:numFmt w:val="lowerLetter"/>
      <w:start w:val="3"/>
    </w:lvl>
    <w:lvl w:ilvl="1">
      <w:lvlJc w:val="left"/>
      <w:lvlText w:val="%2."/>
      <w:numFmt w:val="lowerRoman"/>
      <w:start w:val="1"/>
    </w:lvl>
  </w:abstractNum>
  <w:abstractNum w:abstractNumId="197">
    <w:nsid w:val="3F48B982"/>
    <w:multiLevelType w:val="hybridMultilevel"/>
    <w:lvl w:ilvl="0">
      <w:lvlJc w:val="left"/>
      <w:lvlText w:val="%1."/>
      <w:numFmt w:val="lowerLetter"/>
      <w:start w:val="4"/>
    </w:lvl>
  </w:abstractNum>
  <w:abstractNum w:abstractNumId="198">
    <w:nsid w:val="46BA8FCA"/>
    <w:multiLevelType w:val="hybridMultilevel"/>
    <w:lvl w:ilvl="0">
      <w:lvlJc w:val="left"/>
      <w:lvlText w:val="%1."/>
      <w:numFmt w:val="lowerLetter"/>
      <w:start w:val="2"/>
    </w:lvl>
    <w:lvl w:ilvl="1">
      <w:lvlJc w:val="left"/>
      <w:lvlText w:val="%2."/>
      <w:numFmt w:val="lowerRoman"/>
      <w:start w:val="1"/>
    </w:lvl>
  </w:abstractNum>
  <w:abstractNum w:abstractNumId="199">
    <w:nsid w:val="7835626C"/>
    <w:multiLevelType w:val="hybridMultilevel"/>
    <w:lvl w:ilvl="0">
      <w:lvlJc w:val="left"/>
      <w:lvlText w:val="%1."/>
      <w:numFmt w:val="lowerLetter"/>
      <w:start w:val="3"/>
    </w:lvl>
  </w:abstractNum>
  <w:abstractNum w:abstractNumId="200">
    <w:nsid w:val="665ACA49"/>
    <w:multiLevelType w:val="hybridMultilevel"/>
    <w:lvl w:ilvl="0">
      <w:lvlJc w:val="left"/>
      <w:lvlText w:val="%1."/>
      <w:numFmt w:val="lowerLetter"/>
      <w:start w:val="1"/>
    </w:lvl>
  </w:abstractNum>
  <w:abstractNum w:abstractNumId="201">
    <w:nsid w:val="6835B2AE"/>
    <w:multiLevelType w:val="hybridMultilevel"/>
    <w:lvl w:ilvl="0">
      <w:lvlJc w:val="left"/>
      <w:lvlText w:val="%1."/>
      <w:numFmt w:val="lowerLetter"/>
      <w:start w:val="6"/>
    </w:lvl>
  </w:abstractNum>
  <w:abstractNum w:abstractNumId="202">
    <w:nsid w:val="4C187C90"/>
    <w:multiLevelType w:val="hybridMultilevel"/>
    <w:lvl w:ilvl="0">
      <w:lvlJc w:val="left"/>
      <w:lvlText w:val="%1."/>
      <w:numFmt w:val="lowerLetter"/>
      <w:start w:val="1"/>
    </w:lvl>
  </w:abstractNum>
  <w:abstractNum w:abstractNumId="203">
    <w:nsid w:val="541F28CD"/>
    <w:multiLevelType w:val="hybridMultilevel"/>
    <w:lvl w:ilvl="0">
      <w:lvlJc w:val="left"/>
      <w:lvlText w:val="%1."/>
      <w:numFmt w:val="lowerLetter"/>
      <w:start w:val="1"/>
    </w:lvl>
  </w:abstractNum>
  <w:abstractNum w:abstractNumId="204">
    <w:nsid w:val="7F65FD16"/>
    <w:multiLevelType w:val="hybridMultilevel"/>
    <w:lvl w:ilvl="0">
      <w:lvlJc w:val="left"/>
      <w:lvlText w:val="%1."/>
      <w:numFmt w:val="lowerLetter"/>
      <w:start w:val="2"/>
    </w:lvl>
    <w:lvl w:ilvl="1">
      <w:lvlJc w:val="left"/>
      <w:lvlText w:val="%2."/>
      <w:numFmt w:val="lowerRoman"/>
      <w:start w:val="1"/>
    </w:lvl>
  </w:abstractNum>
  <w:abstractNum w:abstractNumId="205">
    <w:nsid w:val="77C9FD68"/>
    <w:multiLevelType w:val="hybridMultilevel"/>
    <w:lvl w:ilvl="0">
      <w:lvlJc w:val="left"/>
      <w:lvlText w:val="%1."/>
      <w:numFmt w:val="lowerLetter"/>
      <w:start w:val="1"/>
    </w:lvl>
  </w:abstractNum>
  <w:abstractNum w:abstractNumId="206">
    <w:nsid w:val="298A92BA"/>
    <w:multiLevelType w:val="hybridMultilevel"/>
    <w:lvl w:ilvl="0">
      <w:lvlJc w:val="left"/>
      <w:lvlText w:val="%1."/>
      <w:numFmt w:val="lowerLetter"/>
      <w:start w:val="12"/>
    </w:lvl>
  </w:abstractNum>
  <w:abstractNum w:abstractNumId="207">
    <w:nsid w:val="6FE95EAC"/>
    <w:multiLevelType w:val="hybridMultilevel"/>
    <w:lvl w:ilvl="0">
      <w:lvlJc w:val="left"/>
      <w:lvlText w:val="%1."/>
      <w:numFmt w:val="lowerLetter"/>
      <w:start w:val="2"/>
    </w:lvl>
  </w:abstractNum>
  <w:abstractNum w:abstractNumId="208">
    <w:nsid w:val="4B697C7A"/>
    <w:multiLevelType w:val="hybridMultilevel"/>
    <w:lvl w:ilvl="0">
      <w:lvlJc w:val="left"/>
      <w:lvlText w:val="%1."/>
      <w:numFmt w:val="lowerLetter"/>
      <w:start w:val="3"/>
    </w:lvl>
  </w:abstractNum>
  <w:abstractNum w:abstractNumId="209">
    <w:nsid w:val="51A27AA6"/>
    <w:multiLevelType w:val="hybridMultilevel"/>
    <w:lvl w:ilvl="0">
      <w:lvlJc w:val="left"/>
      <w:lvlText w:val="%1."/>
      <w:numFmt w:val="lowerLetter"/>
      <w:start w:val="1"/>
    </w:lvl>
  </w:abstractNum>
  <w:abstractNum w:abstractNumId="210">
    <w:nsid w:val="613183F2"/>
    <w:multiLevelType w:val="hybridMultilevel"/>
    <w:lvl w:ilvl="0">
      <w:lvlJc w:val="left"/>
      <w:lvlText w:val="%1."/>
      <w:numFmt w:val="lowerLetter"/>
      <w:start w:val="1"/>
    </w:lvl>
  </w:abstractNum>
  <w:abstractNum w:abstractNumId="211">
    <w:nsid w:val="634102B4"/>
    <w:multiLevelType w:val="hybridMultilevel"/>
    <w:lvl w:ilvl="0">
      <w:lvlJc w:val="left"/>
      <w:lvlText w:val="%1."/>
      <w:numFmt w:val="lowerLetter"/>
      <w:start w:val="1"/>
    </w:lvl>
  </w:abstractNum>
  <w:abstractNum w:abstractNumId="212">
    <w:nsid w:val="65BF9DA8"/>
    <w:multiLevelType w:val="hybridMultilevel"/>
    <w:lvl w:ilvl="0">
      <w:lvlJc w:val="left"/>
      <w:lvlText w:val="%1."/>
      <w:numFmt w:val="lowerLetter"/>
      <w:start w:val="6"/>
    </w:lvl>
  </w:abstractNum>
  <w:abstractNum w:abstractNumId="213">
    <w:nsid w:val="21A2ECCA"/>
    <w:multiLevelType w:val="hybridMultilevel"/>
    <w:lvl w:ilvl="0">
      <w:lvlJc w:val="left"/>
      <w:lvlText w:val="%1."/>
      <w:numFmt w:val="lowerLetter"/>
      <w:start w:val="1"/>
    </w:lvl>
    <w:lvl w:ilvl="1">
      <w:lvlJc w:val="left"/>
      <w:lvlText w:val="%2."/>
      <w:numFmt w:val="lowerRoman"/>
      <w:start w:val="1"/>
    </w:lvl>
  </w:abstractNum>
  <w:abstractNum w:abstractNumId="214">
    <w:nsid w:val="4D5C4899"/>
    <w:multiLevelType w:val="hybridMultilevel"/>
    <w:lvl w:ilvl="0">
      <w:lvlJc w:val="left"/>
      <w:lvlText w:val="%1."/>
      <w:numFmt w:val="lowerRoman"/>
      <w:start w:val="2"/>
    </w:lvl>
  </w:abstractNum>
  <w:abstractNum w:abstractNumId="215">
    <w:nsid w:val="3C3B72B2"/>
    <w:multiLevelType w:val="hybridMultilevel"/>
    <w:lvl w:ilvl="0">
      <w:lvlJc w:val="left"/>
      <w:lvlText w:val="%1."/>
      <w:numFmt w:val="lowerLetter"/>
      <w:start w:val="4"/>
    </w:lvl>
  </w:abstractNum>
  <w:abstractNum w:abstractNumId="216">
    <w:nsid w:val="155EC4C2"/>
    <w:multiLevelType w:val="hybridMultilevel"/>
    <w:lvl w:ilvl="0">
      <w:lvlJc w:val="left"/>
      <w:lvlText w:val="(%1)"/>
      <w:numFmt w:val="decimal"/>
      <w:start w:val="5"/>
    </w:lvl>
  </w:abstractNum>
  <w:abstractNum w:abstractNumId="217">
    <w:nsid w:val="65D2A137"/>
    <w:multiLevelType w:val="hybridMultilevel"/>
    <w:lvl w:ilvl="0">
      <w:lvlJc w:val="left"/>
      <w:lvlText w:val="%1."/>
      <w:numFmt w:val="lowerLetter"/>
      <w:start w:val="1"/>
    </w:lvl>
  </w:abstractNum>
  <w:abstractNum w:abstractNumId="218">
    <w:nsid w:val="6EBB1F2A"/>
    <w:multiLevelType w:val="hybridMultilevel"/>
    <w:lvl w:ilvl="0">
      <w:lvlJc w:val="left"/>
      <w:lvlText w:val="%1."/>
      <w:numFmt w:val="lowerRoman"/>
      <w:start w:val="1"/>
    </w:lvl>
  </w:abstractNum>
  <w:abstractNum w:abstractNumId="219">
    <w:nsid w:val="6FBF29CB"/>
    <w:multiLevelType w:val="hybridMultilevel"/>
    <w:lvl w:ilvl="0">
      <w:lvlJc w:val="left"/>
      <w:lvlText w:val="%1."/>
      <w:numFmt w:val="lowerLetter"/>
      <w:start w:val="3"/>
    </w:lvl>
  </w:abstractNum>
  <w:abstractNum w:abstractNumId="220">
    <w:nsid w:val="550B8808"/>
    <w:multiLevelType w:val="hybridMultilevel"/>
    <w:lvl w:ilvl="0">
      <w:lvlJc w:val="left"/>
      <w:lvlText w:val="%1."/>
      <w:numFmt w:val="lowerLetter"/>
      <w:start w:val="1"/>
    </w:lvl>
    <w:lvl w:ilvl="1">
      <w:lvlJc w:val="left"/>
      <w:lvlText w:val="(%2)"/>
      <w:numFmt w:val="lowerRoman"/>
      <w:start w:val="2"/>
    </w:lvl>
  </w:abstractNum>
  <w:abstractNum w:abstractNumId="221">
    <w:nsid w:val="34CC3ACF"/>
    <w:multiLevelType w:val="hybridMultilevel"/>
    <w:lvl w:ilvl="0">
      <w:lvlJc w:val="left"/>
      <w:lvlText w:val="%1."/>
      <w:numFmt w:val="lowerLetter"/>
      <w:start w:val="4"/>
    </w:lvl>
  </w:abstractNum>
  <w:abstractNum w:abstractNumId="222">
    <w:nsid w:val="4E556261"/>
    <w:multiLevelType w:val="hybridMultilevel"/>
    <w:lvl w:ilvl="0">
      <w:lvlJc w:val="left"/>
      <w:lvlText w:val="%1."/>
      <w:numFmt w:val="lowerLetter"/>
      <w:start w:val="1"/>
    </w:lvl>
  </w:abstractNum>
  <w:abstractNum w:abstractNumId="223">
    <w:nsid w:val="4C672FC9"/>
    <w:multiLevelType w:val="hybridMultilevel"/>
    <w:lvl w:ilvl="0">
      <w:lvlJc w:val="left"/>
      <w:lvlText w:val="%1."/>
      <w:numFmt w:val="lowerLetter"/>
      <w:start w:val="1"/>
    </w:lvl>
    <w:lvl w:ilvl="1">
      <w:lvlJc w:val="left"/>
      <w:lvlText w:val="(%2)"/>
      <w:numFmt w:val="lowerRoman"/>
      <w:start w:val="1"/>
    </w:lvl>
  </w:abstractNum>
  <w:abstractNum w:abstractNumId="224">
    <w:nsid w:val="52A311C3"/>
    <w:multiLevelType w:val="hybridMultilevel"/>
    <w:lvl w:ilvl="0">
      <w:lvlJc w:val="left"/>
      <w:lvlText w:val="%1."/>
      <w:numFmt w:val="lowerLetter"/>
      <w:start w:val="2"/>
    </w:lvl>
    <w:lvl w:ilvl="1">
      <w:lvlJc w:val="left"/>
      <w:lvlText w:val="%2."/>
      <w:numFmt w:val="lowerRoman"/>
      <w:start w:val="1"/>
    </w:lvl>
  </w:abstractNum>
  <w:abstractNum w:abstractNumId="225">
    <w:nsid w:val="44EF6B80"/>
    <w:multiLevelType w:val="hybridMultilevel"/>
    <w:lvl w:ilvl="0">
      <w:lvlJc w:val="left"/>
      <w:lvlText w:val="%1."/>
      <w:numFmt w:val="lowerLetter"/>
      <w:start w:val="1"/>
    </w:lvl>
  </w:abstractNum>
  <w:abstractNum w:abstractNumId="226">
    <w:nsid w:val="12FCDE5E"/>
    <w:multiLevelType w:val="hybridMultilevel"/>
    <w:lvl w:ilvl="0">
      <w:lvlJc w:val="left"/>
      <w:lvlText w:val="%1."/>
      <w:numFmt w:val="lowerLetter"/>
      <w:start w:val="12"/>
    </w:lvl>
  </w:abstractNum>
  <w:abstractNum w:abstractNumId="227">
    <w:nsid w:val="4A1D606E"/>
    <w:multiLevelType w:val="hybridMultilevel"/>
    <w:lvl w:ilvl="0">
      <w:lvlJc w:val="left"/>
      <w:lvlText w:val="%1."/>
      <w:numFmt w:val="lowerLetter"/>
      <w:start w:val="1"/>
    </w:lvl>
  </w:abstractNum>
  <w:abstractNum w:abstractNumId="228">
    <w:nsid w:val="4382503"/>
    <w:multiLevelType w:val="hybridMultilevel"/>
    <w:lvl w:ilvl="0">
      <w:lvlJc w:val="left"/>
      <w:lvlText w:val="%1."/>
      <w:numFmt w:val="lowerLetter"/>
      <w:start w:val="3"/>
    </w:lvl>
  </w:abstractNum>
  <w:abstractNum w:abstractNumId="229">
    <w:nsid w:val="59B76E28"/>
    <w:multiLevelType w:val="hybridMultilevel"/>
    <w:lvl w:ilvl="0">
      <w:lvlJc w:val="left"/>
      <w:lvlText w:val="%1."/>
      <w:numFmt w:val="lowerLetter"/>
      <w:start w:val="1"/>
    </w:lvl>
  </w:abstractNum>
  <w:abstractNum w:abstractNumId="230">
    <w:nsid w:val="4252C2DA"/>
    <w:multiLevelType w:val="hybridMultilevel"/>
    <w:lvl w:ilvl="0">
      <w:lvlJc w:val="left"/>
      <w:lvlText w:val="%1."/>
      <w:numFmt w:val="lowerLetter"/>
      <w:start w:val="2"/>
    </w:lvl>
  </w:abstractNum>
  <w:abstractNum w:abstractNumId="231">
    <w:nsid w:val="6A92EF4C"/>
    <w:multiLevelType w:val="hybridMultilevel"/>
    <w:lvl w:ilvl="0">
      <w:lvlJc w:val="left"/>
      <w:lvlText w:val="%1."/>
      <w:numFmt w:val="lowerLetter"/>
      <w:start w:val="1"/>
    </w:lvl>
  </w:abstractNum>
  <w:abstractNum w:abstractNumId="232">
    <w:nsid w:val="41ED20D7"/>
    <w:multiLevelType w:val="hybridMultilevel"/>
    <w:lvl w:ilvl="0">
      <w:lvlJc w:val="left"/>
      <w:lvlText w:val="%1."/>
      <w:numFmt w:val="lowerLetter"/>
      <w:start w:val="3"/>
    </w:lvl>
  </w:abstractNum>
  <w:abstractNum w:abstractNumId="233">
    <w:nsid w:val="E6B3F6A"/>
    <w:multiLevelType w:val="hybridMultilevel"/>
    <w:lvl w:ilvl="0">
      <w:lvlJc w:val="left"/>
      <w:lvlText w:val="%1."/>
      <w:numFmt w:val="lowerLetter"/>
      <w:start w:val="1"/>
    </w:lvl>
  </w:abstractNum>
  <w:abstractNum w:abstractNumId="234">
    <w:nsid w:val="3EB21819"/>
    <w:multiLevelType w:val="hybridMultilevel"/>
    <w:lvl w:ilvl="0">
      <w:lvlJc w:val="left"/>
      <w:lvlText w:val="%1."/>
      <w:numFmt w:val="lowerLetter"/>
      <w:start w:val="1"/>
    </w:lvl>
  </w:abstractNum>
  <w:abstractNum w:abstractNumId="235">
    <w:nsid w:val="41531DED"/>
    <w:multiLevelType w:val="hybridMultilevel"/>
    <w:lvl w:ilvl="0">
      <w:lvlJc w:val="left"/>
      <w:lvlText w:val="%1."/>
      <w:numFmt w:val="lowerLetter"/>
      <w:start w:val="6"/>
    </w:lvl>
  </w:abstractNum>
  <w:abstractNum w:abstractNumId="236">
    <w:nsid w:val="6353CD2"/>
    <w:multiLevelType w:val="hybridMultilevel"/>
    <w:lvl w:ilvl="0">
      <w:lvlJc w:val="left"/>
      <w:lvlText w:val="%1."/>
      <w:numFmt w:val="lowerLetter"/>
      <w:start w:val="1"/>
    </w:lvl>
  </w:abstractNum>
  <w:abstractNum w:abstractNumId="237">
    <w:nsid w:val="683CAAD3"/>
    <w:multiLevelType w:val="hybridMultilevel"/>
    <w:lvl w:ilvl="0">
      <w:lvlJc w:val="left"/>
      <w:lvlText w:val="%1."/>
      <w:numFmt w:val="lowerLetter"/>
      <w:start w:val="3"/>
    </w:lvl>
    <w:lvl w:ilvl="1">
      <w:lvlJc w:val="left"/>
      <w:lvlText w:val="%2."/>
      <w:numFmt w:val="lowerRoman"/>
      <w:start w:val="1"/>
    </w:lvl>
  </w:abstractNum>
  <w:abstractNum w:abstractNumId="238">
    <w:nsid w:val="313C7C99"/>
    <w:multiLevelType w:val="hybridMultilevel"/>
    <w:lvl w:ilvl="0">
      <w:lvlJc w:val="left"/>
      <w:lvlText w:val="%1."/>
      <w:numFmt w:val="lowerLetter"/>
      <w:start w:val="4"/>
    </w:lvl>
  </w:abstractNum>
  <w:abstractNum w:abstractNumId="239">
    <w:nsid w:val="519EB94C"/>
    <w:multiLevelType w:val="hybridMultilevel"/>
    <w:lvl w:ilvl="0">
      <w:lvlJc w:val="left"/>
      <w:lvlText w:val="%1."/>
      <w:numFmt w:val="lowerLetter"/>
      <w:start w:val="1"/>
    </w:lvl>
  </w:abstractNum>
  <w:abstractNum w:abstractNumId="240">
    <w:nsid w:val="39DF2579"/>
    <w:multiLevelType w:val="hybridMultilevel"/>
    <w:lvl w:ilvl="0">
      <w:lvlJc w:val="left"/>
      <w:lvlText w:val="%1."/>
      <w:numFmt w:val="lowerRoman"/>
      <w:start w:val="1"/>
    </w:lvl>
  </w:abstractNum>
  <w:abstractNum w:abstractNumId="241">
    <w:nsid w:val="126E008B"/>
    <w:multiLevelType w:val="hybridMultilevel"/>
    <w:lvl w:ilvl="0">
      <w:lvlJc w:val="left"/>
      <w:lvlText w:val="%1."/>
      <w:numFmt w:val="lowerLetter"/>
      <w:start w:val="3"/>
    </w:lvl>
  </w:abstractNum>
  <w:abstractNum w:abstractNumId="242">
    <w:nsid w:val="34DFBC00"/>
    <w:multiLevelType w:val="hybridMultilevel"/>
    <w:lvl w:ilvl="0">
      <w:lvlJc w:val="left"/>
      <w:lvlText w:val="%1."/>
      <w:numFmt w:val="lowerLetter"/>
      <w:start w:val="1"/>
    </w:lvl>
  </w:abstractNum>
  <w:abstractNum w:abstractNumId="243">
    <w:nsid w:val="1F9EC322"/>
    <w:multiLevelType w:val="hybridMultilevel"/>
    <w:lvl w:ilvl="0">
      <w:lvlJc w:val="left"/>
      <w:lvlText w:val="%1."/>
      <w:numFmt w:val="lowerLetter"/>
      <w:start w:val="3"/>
    </w:lvl>
    <w:lvl w:ilvl="1">
      <w:lvlJc w:val="left"/>
      <w:lvlText w:val="(%2)"/>
      <w:numFmt w:val="lowerRoman"/>
      <w:start w:val="2"/>
    </w:lvl>
  </w:abstractNum>
  <w:abstractNum w:abstractNumId="244">
    <w:nsid w:val="3410ED56"/>
    <w:multiLevelType w:val="hybridMultilevel"/>
    <w:lvl w:ilvl="0">
      <w:lvlJc w:val="left"/>
      <w:lvlText w:val="%1."/>
      <w:numFmt w:val="lowerLetter"/>
      <w:start w:val="1"/>
    </w:lvl>
  </w:abstractNum>
  <w:abstractNum w:abstractNumId="245">
    <w:nsid w:val="23C049A"/>
    <w:multiLevelType w:val="hybridMultilevel"/>
    <w:lvl w:ilvl="0">
      <w:lvlJc w:val="left"/>
      <w:lvlText w:val="%1."/>
      <w:numFmt w:val="lowerLetter"/>
      <w:start w:val="1"/>
    </w:lvl>
  </w:abstractNum>
  <w:abstractNum w:abstractNumId="246">
    <w:nsid w:val="5BDA35D4"/>
    <w:multiLevelType w:val="hybridMultilevel"/>
    <w:lvl w:ilvl="0">
      <w:lvlJc w:val="left"/>
      <w:lvlText w:val="%1."/>
      <w:numFmt w:val="lowerLetter"/>
      <w:start w:val="2"/>
    </w:lvl>
    <w:lvl w:ilvl="1">
      <w:lvlJc w:val="left"/>
      <w:lvlText w:val="%2."/>
      <w:numFmt w:val="lowerRoman"/>
      <w:start w:val="1"/>
    </w:lvl>
  </w:abstractNum>
  <w:abstractNum w:abstractNumId="247">
    <w:nsid w:val="496FB218"/>
    <w:multiLevelType w:val="hybridMultilevel"/>
    <w:lvl w:ilvl="0">
      <w:lvlJc w:val="left"/>
      <w:lvlText w:val="%1."/>
      <w:numFmt w:val="lowerLetter"/>
      <w:start w:val="4"/>
    </w:lvl>
  </w:abstractNum>
  <w:abstractNum w:abstractNumId="248">
    <w:nsid w:val="680EA5D1"/>
    <w:multiLevelType w:val="hybridMultilevel"/>
    <w:lvl w:ilvl="0">
      <w:lvlJc w:val="left"/>
      <w:lvlText w:val="%1."/>
      <w:numFmt w:val="lowerLetter"/>
      <w:start w:val="1"/>
    </w:lvl>
  </w:abstractNum>
  <w:abstractNum w:abstractNumId="249">
    <w:nsid w:val="4A9554FE"/>
    <w:multiLevelType w:val="hybridMultilevel"/>
    <w:lvl w:ilvl="0">
      <w:lvlJc w:val="left"/>
      <w:lvlText w:val="%1."/>
      <w:numFmt w:val="lowerLetter"/>
      <w:start w:val="12"/>
    </w:lvl>
  </w:abstractNum>
  <w:abstractNum w:abstractNumId="250">
    <w:nsid w:val="392EDBE4"/>
    <w:multiLevelType w:val="hybridMultilevel"/>
    <w:lvl w:ilvl="0">
      <w:lvlJc w:val="left"/>
      <w:lvlText w:val="%1."/>
      <w:numFmt w:val="lowerLetter"/>
      <w:start w:val="1"/>
    </w:lvl>
  </w:abstractNum>
  <w:abstractNum w:abstractNumId="251">
    <w:nsid w:val="3D1A2DD9"/>
    <w:multiLevelType w:val="hybridMultilevel"/>
    <w:lvl w:ilvl="0">
      <w:lvlJc w:val="left"/>
      <w:lvlText w:val="%1."/>
      <w:numFmt w:val="lowerLetter"/>
      <w:start w:val="3"/>
    </w:lvl>
  </w:abstractNum>
  <w:abstractNum w:abstractNumId="252">
    <w:nsid w:val="7F618FCD"/>
    <w:multiLevelType w:val="hybridMultilevel"/>
    <w:lvl w:ilvl="0">
      <w:lvlJc w:val="left"/>
      <w:lvlText w:val="%1."/>
      <w:numFmt w:val="lowerLetter"/>
      <w:start w:val="1"/>
    </w:lvl>
  </w:abstractNum>
  <w:abstractNum w:abstractNumId="253">
    <w:nsid w:val="7843E45"/>
    <w:multiLevelType w:val="hybridMultilevel"/>
    <w:lvl w:ilvl="0">
      <w:lvlJc w:val="left"/>
      <w:lvlText w:val="%1."/>
      <w:numFmt w:val="lowerRoman"/>
      <w:start w:val="1"/>
    </w:lvl>
  </w:abstractNum>
  <w:abstractNum w:abstractNumId="254">
    <w:nsid w:val="9815DA3"/>
    <w:multiLevelType w:val="hybridMultilevel"/>
    <w:lvl w:ilvl="0">
      <w:lvlJc w:val="left"/>
      <w:lvlText w:val="%1."/>
      <w:numFmt w:val="lowerLetter"/>
      <w:start w:val="2"/>
    </w:lvl>
  </w:abstractNum>
  <w:abstractNum w:abstractNumId="255">
    <w:nsid w:val="5204A191"/>
    <w:multiLevelType w:val="hybridMultilevel"/>
    <w:lvl w:ilvl="0">
      <w:lvlJc w:val="left"/>
      <w:lvlText w:val="%1."/>
      <w:numFmt w:val="lowerLetter"/>
      <w:start w:val="4"/>
    </w:lvl>
  </w:abstractNum>
  <w:abstractNum w:abstractNumId="256">
    <w:nsid w:val="4C73A9C6"/>
    <w:multiLevelType w:val="hybridMultilevel"/>
    <w:lvl w:ilvl="0">
      <w:lvlJc w:val="left"/>
      <w:lvlText w:val="%1."/>
      <w:numFmt w:val="lowerLetter"/>
      <w:start w:val="1"/>
    </w:lvl>
  </w:abstractNum>
  <w:abstractNum w:abstractNumId="257">
    <w:nsid w:val="1C7E3C01"/>
    <w:multiLevelType w:val="hybridMultilevel"/>
    <w:lvl w:ilvl="0">
      <w:lvlJc w:val="left"/>
      <w:lvlText w:val="%1."/>
      <w:numFmt w:val="lowerLetter"/>
      <w:start w:val="2"/>
    </w:lvl>
  </w:abstractNum>
  <w:abstractNum w:abstractNumId="258">
    <w:nsid w:val="1C2201FF"/>
    <w:multiLevelType w:val="hybridMultilevel"/>
    <w:lvl w:ilvl="0">
      <w:lvlJc w:val="left"/>
      <w:lvlText w:val="%1."/>
      <w:numFmt w:val="lowerLetter"/>
      <w:start w:val="1"/>
    </w:lvl>
  </w:abstractNum>
  <w:abstractNum w:abstractNumId="259">
    <w:nsid w:val="50ABCEC9"/>
    <w:multiLevelType w:val="hybridMultilevel"/>
    <w:lvl w:ilvl="0">
      <w:lvlJc w:val="left"/>
      <w:lvlText w:val="%1."/>
      <w:numFmt w:val="lowerLetter"/>
      <w:start w:val="1"/>
    </w:lvl>
  </w:abstractNum>
  <w:abstractNum w:abstractNumId="260">
    <w:nsid w:val="7635AA2A"/>
    <w:multiLevelType w:val="hybridMultilevel"/>
    <w:lvl w:ilvl="0">
      <w:lvlJc w:val="left"/>
      <w:lvlText w:val="%1."/>
      <w:numFmt w:val="lowerLetter"/>
      <w:start w:val="7"/>
    </w:lvl>
  </w:abstractNum>
  <w:abstractNum w:abstractNumId="261">
    <w:nsid w:val="5E74C4D9"/>
    <w:multiLevelType w:val="hybridMultilevel"/>
    <w:lvl w:ilvl="0">
      <w:lvlJc w:val="left"/>
      <w:lvlText w:val="%1."/>
      <w:numFmt w:val="lowerLetter"/>
      <w:start w:val="1"/>
    </w:lvl>
  </w:abstractNum>
  <w:abstractNum w:abstractNumId="262">
    <w:nsid w:val="3B3EBE15"/>
    <w:multiLevelType w:val="hybridMultilevel"/>
    <w:lvl w:ilvl="0">
      <w:lvlJc w:val="left"/>
      <w:lvlText w:val="%1."/>
      <w:numFmt w:val="lowerLetter"/>
      <w:start w:val="3"/>
    </w:lvl>
  </w:abstractNum>
  <w:abstractNum w:abstractNumId="263">
    <w:nsid w:val="3822CB01"/>
    <w:multiLevelType w:val="hybridMultilevel"/>
    <w:lvl w:ilvl="0">
      <w:lvlJc w:val="left"/>
      <w:lvlText w:val="%1."/>
      <w:numFmt w:val="lowerRoman"/>
      <w:start w:val="1"/>
    </w:lvl>
  </w:abstractNum>
  <w:abstractNum w:abstractNumId="264">
    <w:nsid w:val="6CE00443"/>
    <w:multiLevelType w:val="hybridMultilevel"/>
    <w:lvl w:ilvl="0">
      <w:lvlJc w:val="left"/>
      <w:lvlText w:val="%1."/>
      <w:numFmt w:val="lowerLetter"/>
      <w:start w:val="4"/>
    </w:lvl>
  </w:abstractNum>
  <w:abstractNum w:abstractNumId="265">
    <w:nsid w:val="79F0D62F"/>
    <w:multiLevelType w:val="hybridMultilevel"/>
    <w:lvl w:ilvl="0">
      <w:lvlJc w:val="left"/>
      <w:lvlText w:val="%1."/>
      <w:numFmt w:val="lowerLetter"/>
      <w:start w:val="1"/>
    </w:lvl>
  </w:abstractNum>
  <w:abstractNum w:abstractNumId="266">
    <w:nsid w:val="7975E8EE"/>
    <w:multiLevelType w:val="hybridMultilevel"/>
    <w:lvl w:ilvl="0">
      <w:lvlJc w:val="left"/>
      <w:lvlText w:val="%1."/>
      <w:numFmt w:val="lowerRoman"/>
      <w:start w:val="1"/>
    </w:lvl>
  </w:abstractNum>
  <w:abstractNum w:abstractNumId="267">
    <w:nsid w:val="73154115"/>
    <w:multiLevelType w:val="hybridMultilevel"/>
    <w:lvl w:ilvl="0">
      <w:lvlJc w:val="left"/>
      <w:lvlText w:val="%1."/>
      <w:numFmt w:val="lowerLetter"/>
      <w:start w:val="3"/>
    </w:lvl>
  </w:abstractNum>
  <w:abstractNum w:abstractNumId="268">
    <w:nsid w:val="622D8102"/>
    <w:multiLevelType w:val="hybridMultilevel"/>
    <w:lvl w:ilvl="0">
      <w:lvlJc w:val="left"/>
      <w:lvlText w:val="%1."/>
      <w:numFmt w:val="lowerLetter"/>
      <w:start w:val="1"/>
    </w:lvl>
    <w:lvl w:ilvl="1">
      <w:lvlJc w:val="left"/>
      <w:lvlText w:val="(%2)"/>
      <w:numFmt w:val="lowerRoman"/>
      <w:start w:val="2"/>
    </w:lvl>
  </w:abstractNum>
  <w:abstractNum w:abstractNumId="269">
    <w:nsid w:val="2AB26587"/>
    <w:multiLevelType w:val="hybridMultilevel"/>
    <w:lvl w:ilvl="0">
      <w:lvlJc w:val="left"/>
      <w:lvlText w:val="%1."/>
      <w:numFmt w:val="lowerLetter"/>
      <w:start w:val="4"/>
    </w:lvl>
  </w:abstractNum>
  <w:abstractNum w:abstractNumId="270">
    <w:nsid w:val="44B3FA61"/>
    <w:multiLevelType w:val="hybridMultilevel"/>
    <w:lvl w:ilvl="0">
      <w:lvlJc w:val="left"/>
      <w:lvlText w:val="%1."/>
      <w:numFmt w:val="lowerLetter"/>
      <w:start w:val="1"/>
    </w:lvl>
  </w:abstractNum>
  <w:abstractNum w:abstractNumId="271">
    <w:nsid w:val="1C0CA67C"/>
    <w:multiLevelType w:val="hybridMultilevel"/>
    <w:lvl w:ilvl="0">
      <w:lvlJc w:val="left"/>
      <w:lvlText w:val="%1."/>
      <w:numFmt w:val="lowerLetter"/>
      <w:start w:val="1"/>
    </w:lvl>
    <w:lvl w:ilvl="1">
      <w:lvlJc w:val="left"/>
      <w:lvlText w:val="(%2)"/>
      <w:numFmt w:val="lowerRoman"/>
      <w:start w:val="1"/>
    </w:lvl>
  </w:abstractNum>
  <w:abstractNum w:abstractNumId="272">
    <w:nsid w:val="3D206613"/>
    <w:multiLevelType w:val="hybridMultilevel"/>
    <w:lvl w:ilvl="0">
      <w:lvlJc w:val="left"/>
      <w:lvlText w:val="%1."/>
      <w:numFmt w:val="lowerLetter"/>
      <w:start w:val="2"/>
    </w:lvl>
    <w:lvl w:ilvl="1">
      <w:lvlJc w:val="left"/>
      <w:lvlText w:val="%2."/>
      <w:numFmt w:val="lowerRoman"/>
      <w:start w:val="1"/>
    </w:lvl>
  </w:abstractNum>
  <w:abstractNum w:abstractNumId="273">
    <w:nsid w:val="7993B662"/>
    <w:multiLevelType w:val="hybridMultilevel"/>
    <w:lvl w:ilvl="0">
      <w:lvlJc w:val="left"/>
      <w:lvlText w:val="%1."/>
      <w:numFmt w:val="lowerLetter"/>
      <w:start w:val="1"/>
    </w:lvl>
  </w:abstractNum>
  <w:abstractNum w:abstractNumId="274">
    <w:nsid w:val="3BAB699E"/>
    <w:multiLevelType w:val="hybridMultilevel"/>
    <w:lvl w:ilvl="0">
      <w:lvlJc w:val="left"/>
      <w:lvlText w:val="%1."/>
      <w:numFmt w:val="lowerLetter"/>
      <w:start w:val="12"/>
    </w:lvl>
  </w:abstractNum>
  <w:abstractNum w:abstractNumId="275">
    <w:nsid w:val="71315369"/>
    <w:multiLevelType w:val="hybridMultilevel"/>
    <w:lvl w:ilvl="0">
      <w:lvlJc w:val="left"/>
      <w:lvlText w:val="%1."/>
      <w:numFmt w:val="lowerLetter"/>
      <w:start w:val="1"/>
    </w:lvl>
  </w:abstractNum>
  <w:abstractNum w:abstractNumId="276">
    <w:nsid w:val="7BCFBAFC"/>
    <w:multiLevelType w:val="hybridMultilevel"/>
    <w:lvl w:ilvl="0">
      <w:lvlJc w:val="left"/>
      <w:lvlText w:val="%1."/>
      <w:numFmt w:val="lowerLetter"/>
      <w:start w:val="3"/>
    </w:lvl>
  </w:abstractNum>
  <w:abstractNum w:abstractNumId="277">
    <w:nsid w:val="17859F72"/>
    <w:multiLevelType w:val="hybridMultilevel"/>
    <w:lvl w:ilvl="0">
      <w:lvlJc w:val="left"/>
      <w:lvlText w:val="%1."/>
      <w:numFmt w:val="lowerLetter"/>
      <w:start w:val="1"/>
    </w:lvl>
  </w:abstractNum>
  <w:abstractNum w:abstractNumId="278">
    <w:nsid w:val="3AA10581"/>
    <w:multiLevelType w:val="hybridMultilevel"/>
    <w:lvl w:ilvl="0">
      <w:lvlJc w:val="left"/>
      <w:lvlText w:val="%1."/>
      <w:numFmt w:val="lowerLetter"/>
      <w:start w:val="2"/>
    </w:lvl>
  </w:abstractNum>
  <w:abstractNum w:abstractNumId="279">
    <w:nsid w:val="63DE60CD"/>
    <w:multiLevelType w:val="hybridMultilevel"/>
    <w:lvl w:ilvl="0">
      <w:lvlJc w:val="left"/>
      <w:lvlText w:val="%1."/>
      <w:numFmt w:val="lowerLetter"/>
      <w:start w:val="1"/>
    </w:lvl>
  </w:abstractNum>
  <w:abstractNum w:abstractNumId="280">
    <w:nsid w:val="621AF471"/>
    <w:multiLevelType w:val="hybridMultilevel"/>
    <w:lvl w:ilvl="0">
      <w:lvlJc w:val="left"/>
      <w:lvlText w:val="%1."/>
      <w:numFmt w:val="lowerLetter"/>
      <w:start w:val="2"/>
    </w:lvl>
  </w:abstractNum>
  <w:abstractNum w:abstractNumId="281">
    <w:nsid w:val="73CFE165"/>
    <w:multiLevelType w:val="hybridMultilevel"/>
    <w:lvl w:ilvl="0">
      <w:lvlJc w:val="left"/>
      <w:lvlText w:val="%1."/>
      <w:numFmt w:val="lowerLetter"/>
      <w:start w:val="1"/>
    </w:lvl>
  </w:abstractNum>
  <w:abstractNum w:abstractNumId="282">
    <w:nsid w:val="20F88EA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3">
    <w:nsid w:val="617C843E"/>
    <w:multiLevelType w:val="hybridMultilevel"/>
    <w:lvl w:ilvl="0">
      <w:lvlJc w:val="left"/>
      <w:lvlText w:val="%1."/>
      <w:numFmt w:val="lowerLetter"/>
      <w:start w:val="2"/>
    </w:lvl>
    <w:lvl w:ilvl="1">
      <w:lvlJc w:val="left"/>
      <w:lvlText w:val="(%2)"/>
      <w:numFmt w:val="lowerRoman"/>
      <w:start w:val="1"/>
    </w:lvl>
  </w:abstractNum>
  <w:abstractNum w:abstractNumId="284">
    <w:nsid w:val="7B541FAB"/>
    <w:multiLevelType w:val="hybridMultilevel"/>
    <w:lvl w:ilvl="0">
      <w:lvlJc w:val="left"/>
      <w:lvlText w:val="%1."/>
      <w:numFmt w:val="lowerLetter"/>
      <w:start w:val="3"/>
    </w:lvl>
  </w:abstractNum>
  <w:abstractNum w:abstractNumId="285">
    <w:nsid w:val="2A79EC49"/>
    <w:multiLevelType w:val="hybridMultilevel"/>
    <w:lvl w:ilvl="0">
      <w:lvlJc w:val="left"/>
      <w:lvlText w:val="%1."/>
      <w:numFmt w:val="lowerLetter"/>
      <w:start w:val="1"/>
    </w:lvl>
  </w:abstractNum>
  <w:abstractNum w:abstractNumId="286">
    <w:nsid w:val="338125CF"/>
    <w:multiLevelType w:val="hybridMultilevel"/>
    <w:lvl w:ilvl="0">
      <w:lvlJc w:val="left"/>
      <w:lvlText w:val="%1."/>
      <w:numFmt w:val="lowerLetter"/>
      <w:start w:val="2"/>
    </w:lvl>
  </w:abstractNum>
  <w:abstractNum w:abstractNumId="287">
    <w:nsid w:val="47C7C971"/>
    <w:multiLevelType w:val="hybridMultilevel"/>
    <w:lvl w:ilvl="0">
      <w:lvlJc w:val="left"/>
      <w:lvlText w:val="%1."/>
      <w:numFmt w:val="lowerLetter"/>
      <w:start w:val="1"/>
    </w:lvl>
  </w:abstractNum>
  <w:abstractNum w:abstractNumId="288">
    <w:nsid w:val="46F8284B"/>
    <w:multiLevelType w:val="hybridMultilevel"/>
    <w:lvl w:ilvl="0">
      <w:lvlJc w:val="left"/>
      <w:lvlText w:val="%1."/>
      <w:numFmt w:val="lowerLetter"/>
      <w:start w:val="1"/>
    </w:lvl>
  </w:abstractNum>
  <w:abstractNum w:abstractNumId="289">
    <w:nsid w:val="4FA327CE"/>
    <w:multiLevelType w:val="hybridMultilevel"/>
    <w:lvl w:ilvl="0">
      <w:lvlJc w:val="left"/>
      <w:lvlText w:val="%1."/>
      <w:numFmt w:val="lowerLetter"/>
      <w:start w:val="2"/>
    </w:lvl>
  </w:abstractNum>
  <w:abstractNum w:abstractNumId="290">
    <w:nsid w:val="1873983A"/>
    <w:multiLevelType w:val="hybridMultilevel"/>
    <w:lvl w:ilvl="0">
      <w:lvlJc w:val="left"/>
      <w:lvlText w:val="%1."/>
      <w:numFmt w:val="lowerLetter"/>
      <w:start w:val="1"/>
    </w:lvl>
  </w:abstractNum>
  <w:abstractNum w:abstractNumId="291">
    <w:nsid w:val="3D2DD275"/>
    <w:multiLevelType w:val="hybridMultilevel"/>
    <w:lvl w:ilvl="0">
      <w:lvlJc w:val="left"/>
      <w:lvlText w:val="%1."/>
      <w:numFmt w:val="lowerLetter"/>
      <w:start w:val="2"/>
    </w:lvl>
    <w:lvl w:ilvl="1">
      <w:lvlJc w:val="left"/>
      <w:lvlText w:val="(%2)"/>
      <w:numFmt w:val="lowerRoman"/>
      <w:start w:val="1"/>
    </w:lvl>
  </w:abstractNum>
  <w:abstractNum w:abstractNumId="292">
    <w:nsid w:val="2E17ECA7"/>
    <w:multiLevelType w:val="hybridMultilevel"/>
    <w:lvl w:ilvl="0">
      <w:lvlJc w:val="left"/>
      <w:lvlText w:val="%1."/>
      <w:numFmt w:val="lowerLetter"/>
      <w:start w:val="4"/>
    </w:lvl>
  </w:abstractNum>
  <w:abstractNum w:abstractNumId="293">
    <w:nsid w:val="53B2564F"/>
    <w:multiLevelType w:val="hybridMultilevel"/>
    <w:lvl w:ilvl="0">
      <w:lvlJc w:val="left"/>
      <w:lvlText w:val="%1."/>
      <w:numFmt w:val="lowerLetter"/>
      <w:start w:val="1"/>
    </w:lvl>
  </w:abstractNum>
  <w:abstractNum w:abstractNumId="294">
    <w:nsid w:val="75509D76"/>
    <w:multiLevelType w:val="hybridMultilevel"/>
    <w:lvl w:ilvl="0">
      <w:lvlJc w:val="left"/>
      <w:lvlText w:val="%1."/>
      <w:numFmt w:val="lowerLetter"/>
      <w:start w:val="8"/>
    </w:lvl>
  </w:abstractNum>
  <w:abstractNum w:abstractNumId="295">
    <w:nsid w:val="1AF7F0EA"/>
    <w:multiLevelType w:val="hybridMultilevel"/>
    <w:lvl w:ilvl="0">
      <w:lvlJc w:val="left"/>
      <w:lvlText w:val="%1."/>
      <w:numFmt w:val="lowerLetter"/>
      <w:start w:val="1"/>
    </w:lvl>
  </w:abstractNum>
  <w:abstractNum w:abstractNumId="296">
    <w:nsid w:val="4DA32C7E"/>
    <w:multiLevelType w:val="hybridMultilevel"/>
    <w:lvl w:ilvl="0">
      <w:lvlJc w:val="left"/>
      <w:lvlText w:val="%1."/>
      <w:numFmt w:val="lowerLetter"/>
      <w:start w:val="2"/>
    </w:lvl>
  </w:abstractNum>
  <w:abstractNum w:abstractNumId="297">
    <w:nsid w:val="6EC68664"/>
    <w:multiLevelType w:val="hybridMultilevel"/>
    <w:lvl w:ilvl="0">
      <w:lvlJc w:val="left"/>
      <w:lvlText w:val="%1."/>
      <w:numFmt w:val="lowerLetter"/>
      <w:start w:val="7"/>
    </w:lvl>
  </w:abstractNum>
  <w:abstractNum w:abstractNumId="298">
    <w:nsid w:val="E0D31FF"/>
    <w:multiLevelType w:val="hybridMultilevel"/>
    <w:lvl w:ilvl="0">
      <w:lvlJc w:val="left"/>
      <w:lvlText w:val="%1."/>
      <w:numFmt w:val="lowerLetter"/>
      <w:start w:val="1"/>
    </w:lvl>
  </w:abstractNum>
  <w:abstractNum w:abstractNumId="299">
    <w:nsid w:val="2FD0AD81"/>
    <w:multiLevelType w:val="hybridMultilevel"/>
    <w:lvl w:ilvl="0">
      <w:lvlJc w:val="left"/>
      <w:lvlText w:val="%1."/>
      <w:numFmt w:val="lowerLetter"/>
      <w:start w:val="1"/>
    </w:lvl>
  </w:abstractNum>
  <w:abstractNum w:abstractNumId="300">
    <w:nsid w:val="1978EBEB"/>
    <w:multiLevelType w:val="hybridMultilevel"/>
    <w:lvl w:ilvl="0">
      <w:lvlJc w:val="left"/>
      <w:lvlText w:val="%1."/>
      <w:numFmt w:val="lowerLetter"/>
      <w:start w:val="5"/>
    </w:lvl>
  </w:abstractNum>
  <w:abstractNum w:abstractNumId="301">
    <w:nsid w:val="52C12C61"/>
    <w:multiLevelType w:val="hybridMultilevel"/>
    <w:lvl w:ilvl="0">
      <w:lvlJc w:val="left"/>
      <w:lvlText w:val="%1"/>
      <w:numFmt w:val="lowerLetter"/>
      <w:start w:val="1"/>
    </w:lvl>
    <w:lvl w:ilvl="1">
      <w:lvlJc w:val="left"/>
      <w:lvlText w:val="(%2)"/>
      <w:numFmt w:val="lowerRoman"/>
      <w:start w:val="2"/>
    </w:lvl>
  </w:abstractNum>
  <w:abstractNum w:abstractNumId="302">
    <w:nsid w:val="4BDD53FD"/>
    <w:multiLevelType w:val="hybridMultilevel"/>
    <w:lvl w:ilvl="0">
      <w:lvlJc w:val="left"/>
      <w:lvlText w:val="%1."/>
      <w:numFmt w:val="lowerLetter"/>
      <w:start w:val="2"/>
    </w:lvl>
    <w:lvl w:ilvl="1">
      <w:lvlJc w:val="left"/>
      <w:lvlText w:val="%2"/>
      <w:numFmt w:val="lowerRoman"/>
      <w:start w:val="1"/>
    </w:lvl>
  </w:abstractNum>
  <w:abstractNum w:abstractNumId="303">
    <w:nsid w:val="569951FE"/>
    <w:multiLevelType w:val="hybridMultilevel"/>
    <w:lvl w:ilvl="0">
      <w:lvlJc w:val="left"/>
      <w:lvlText w:val="%1."/>
      <w:numFmt w:val="lowerLetter"/>
      <w:start w:val="1"/>
    </w:lvl>
  </w:abstractNum>
  <w:abstractNum w:abstractNumId="304">
    <w:nsid w:val="4C54E2C3"/>
    <w:multiLevelType w:val="hybridMultilevel"/>
    <w:lvl w:ilvl="0">
      <w:lvlJc w:val="left"/>
      <w:lvlText w:val="%1."/>
      <w:numFmt w:val="lowerLetter"/>
      <w:start w:val="1"/>
    </w:lvl>
  </w:abstractNum>
  <w:abstractNum w:abstractNumId="305">
    <w:nsid w:val="788BD9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06">
    <w:nsid w:val="47CAA567"/>
    <w:multiLevelType w:val="hybridMultilevel"/>
    <w:lvl w:ilvl="0">
      <w:lvlJc w:val="left"/>
      <w:lvlText w:val="%1"/>
      <w:numFmt w:val="lowerLetter"/>
      <w:start w:val="1"/>
    </w:lvl>
    <w:lvl w:ilvl="1">
      <w:lvlJc w:val="left"/>
      <w:lvlText w:val="(%2)"/>
      <w:numFmt w:val="decimal"/>
      <w:start w:val="6"/>
    </w:lvl>
  </w:abstractNum>
  <w:abstractNum w:abstractNumId="307">
    <w:nsid w:val="48249DBF"/>
    <w:multiLevelType w:val="hybridMultilevel"/>
    <w:lvl w:ilvl="0">
      <w:lvlJc w:val="left"/>
      <w:lvlText w:val="%1."/>
      <w:numFmt w:val="lowerLetter"/>
      <w:start w:val="4"/>
    </w:lvl>
    <w:lvl w:ilvl="1">
      <w:lvlJc w:val="left"/>
      <w:lvlText w:val="%2"/>
      <w:numFmt w:val="decimal"/>
      <w:start w:val="1"/>
    </w:lvl>
  </w:abstractNum>
  <w:abstractNum w:abstractNumId="308">
    <w:nsid w:val="1F0E5D0D"/>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309">
    <w:nsid w:val="26BAAE9"/>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310">
    <w:nsid w:val="2C02FE8C"/>
    <w:multiLevelType w:val="hybridMultilevel"/>
    <w:lvl w:ilvl="0">
      <w:lvlJc w:val="left"/>
      <w:lvlText w:val="(%1)"/>
      <w:numFmt w:val="lowerRoman"/>
      <w:start w:val="6"/>
    </w:lvl>
  </w:abstractNum>
  <w:abstractNum w:abstractNumId="311">
    <w:nsid w:val="129517E"/>
    <w:multiLevelType w:val="hybridMultilevel"/>
    <w:lvl w:ilvl="0">
      <w:lvlJc w:val="left"/>
      <w:lvlText w:val="%1."/>
      <w:numFmt w:val="lowerLetter"/>
      <w:start w:val="1"/>
    </w:lvl>
  </w:abstractNum>
  <w:abstractNum w:abstractNumId="312">
    <w:nsid w:val="763B8C4E"/>
    <w:multiLevelType w:val="hybridMultilevel"/>
    <w:lvl w:ilvl="0">
      <w:lvlJc w:val="left"/>
      <w:lvlText w:val="%1."/>
      <w:numFmt w:val="lowerLetter"/>
      <w:start w:val="1"/>
    </w:lvl>
    <w:lvl w:ilvl="1">
      <w:lvlJc w:val="left"/>
      <w:lvlText w:val="-"/>
      <w:numFmt w:val="bullet"/>
      <w:start w:val="1"/>
    </w:lvl>
  </w:abstractNum>
  <w:abstractNum w:abstractNumId="313">
    <w:nsid w:val="4CFB8D32"/>
    <w:multiLevelType w:val="hybridMultilevel"/>
    <w:lvl w:ilvl="0">
      <w:lvlJc w:val="left"/>
      <w:lvlText w:val="%1."/>
      <w:numFmt w:val="lowerLetter"/>
      <w:start w:val="1"/>
    </w:lvl>
    <w:lvl w:ilvl="1">
      <w:lvlJc w:val="left"/>
      <w:lvlText w:val="-"/>
      <w:numFmt w:val="bullet"/>
      <w:start w:val="1"/>
    </w:lvl>
  </w:abstractNum>
  <w:abstractNum w:abstractNumId="314">
    <w:nsid w:val="62A5D5BD"/>
    <w:multiLevelType w:val="hybridMultilevel"/>
    <w:lvl w:ilvl="0">
      <w:lvlJc w:val="left"/>
      <w:lvlText w:val="%1."/>
      <w:numFmt w:val="lowerLetter"/>
      <w:start w:val="2"/>
    </w:lvl>
  </w:abstractNum>
  <w:abstractNum w:abstractNumId="315">
    <w:nsid w:val="718FABF9"/>
    <w:multiLevelType w:val="hybridMultilevel"/>
    <w:lvl w:ilvl="0">
      <w:lvlJc w:val="left"/>
      <w:lvlText w:val="%1."/>
      <w:numFmt w:val="decimal"/>
      <w:start w:val="1"/>
    </w:lvl>
    <w:lvl w:ilvl="1">
      <w:lvlJc w:val="left"/>
      <w:lvlText w:val="%2."/>
      <w:numFmt w:val="lowerLetter"/>
      <w:start w:val="1"/>
    </w:lvl>
  </w:abstractNum>
  <w:abstractNum w:abstractNumId="316">
    <w:nsid w:val="7775797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71" Type="http://schemas.openxmlformats.org/officeDocument/2006/relationships/image" Target="media/image155.png"/><Relationship Id="rId179"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jpeg"/><Relationship Id="rId191" Type="http://schemas.openxmlformats.org/officeDocument/2006/relationships/image" Target="media/image167.jpeg"/><Relationship Id="rId192" Type="http://schemas.openxmlformats.org/officeDocument/2006/relationships/image" Target="media/image168.jpeg"/><Relationship Id="rId57" Type="http://schemas.openxmlformats.org/officeDocument/2006/relationships/hyperlink" Target="https://www.sec.gov/Archives/edgar/data/0000059478/000005947821000083/lly-20201231.htm" TargetMode="External"/><Relationship Id="rId163" Type="http://schemas.openxmlformats.org/officeDocument/2006/relationships/hyperlink" Target="http://www.sec.gov/Archives/edgar/data/59478/000005947814000078/lly-20131231x10kexhibit31.htm" TargetMode="External"/><Relationship Id="rId164" Type="http://schemas.openxmlformats.org/officeDocument/2006/relationships/hyperlink" Target="https://www.sec.gov/Archives/edgar/data/0000059478/000119312521359144/d246572dex31.htm" TargetMode="External"/><Relationship Id="rId165" Type="http://schemas.openxmlformats.org/officeDocument/2006/relationships/hyperlink" Target="http://www.sec.gov/Archives/edgar/data/59478/000005947813000010/exhibit41-indenturedatedfe.htm" TargetMode="External"/><Relationship Id="rId166" Type="http://schemas.openxmlformats.org/officeDocument/2006/relationships/hyperlink" Target="http://www.sec.gov/Archives/edgar/data/59478/000095015209001897/c49534exv4w2.htm" TargetMode="External"/><Relationship Id="rId167" Type="http://schemas.openxmlformats.org/officeDocument/2006/relationships/hyperlink" Target="https://www.sec.gov/Archives/edgar/data/59478/000005947820000057/lly-20191231x10kexhibit43.htm" TargetMode="External"/><Relationship Id="rId168" Type="http://schemas.openxmlformats.org/officeDocument/2006/relationships/hyperlink" Target="https://www.sec.gov/Archives/edgar/data/59478/000005947820000057/lly-20191231x10kexhibit44.htm" TargetMode="External"/><Relationship Id="rId169" Type="http://schemas.openxmlformats.org/officeDocument/2006/relationships/hyperlink" Target="https://www.sec.gov/Archives/edgar/data/59478/000005947820000057/lly-20191231x10kexhibit45.htm" TargetMode="External"/><Relationship Id="rId170" Type="http://schemas.openxmlformats.org/officeDocument/2006/relationships/hyperlink" Target="https://www.sec.gov/Archives/edgar/data/59478/000005947820000057/lly-20191231x10kexhibit46.htm" TargetMode="External"/><Relationship Id="rId172" Type="http://schemas.openxmlformats.org/officeDocument/2006/relationships/hyperlink" Target="https://www.sec.gov/Archives/edgar/data/59478/000005947820000057/lly-20191231x10kexhibit47.htm" TargetMode="External"/><Relationship Id="rId173" Type="http://schemas.openxmlformats.org/officeDocument/2006/relationships/hyperlink" Target="http://www.sec.gov/Archives/edgar/data/59478/000005947818000188/lly-6302018x10qxexhibit101.htm" TargetMode="External"/><Relationship Id="rId174" Type="http://schemas.openxmlformats.org/officeDocument/2006/relationships/hyperlink" Target="https://www.sec.gov/Archives/edgar/data/0000059478/000005947821000122/lly-3312021x10qxexhibit101.htm" TargetMode="External"/><Relationship Id="rId175" Type="http://schemas.openxmlformats.org/officeDocument/2006/relationships/hyperlink" Target="https://www.sec.gov/Archives/edgar/data/0000059478/000005947821000122/lly-3312021x10qxexhibit102.htm" TargetMode="External"/><Relationship Id="rId176" Type="http://schemas.openxmlformats.org/officeDocument/2006/relationships/hyperlink" Target="https://www.sec.gov/Archives/edgar/data/59478/000005947814000078/lly-20131231x10kexhibit105.htm" TargetMode="External"/><Relationship Id="rId177" Type="http://schemas.openxmlformats.org/officeDocument/2006/relationships/hyperlink" Target="https://www.sec.gov/Archives/edgar/data/59478/000005947817000183/lly-6302017x10qxexhibit10.htm" TargetMode="External"/><Relationship Id="rId178" Type="http://schemas.openxmlformats.org/officeDocument/2006/relationships/hyperlink" Target="https://www.sec.gov/Archives/edgar/data/0000059478/000005947821000083/lly-20201231x10kexhibit1014.htm" TargetMode="External"/><Relationship Id="rId180" Type="http://schemas.openxmlformats.org/officeDocument/2006/relationships/hyperlink" Target="https://www.sec.gov/Archives/edgar/data/0000059478/000005947821000083/lly-20201231x10kexhibit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2022-02-23T10:06:20Z</dcterms:created>
  <dcterms:modified xsi:type="dcterms:W3CDTF">2022-02-23T10:06:20Z</dcterms:modified>
</cp:coreProperties>
</file>