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319405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Immunocore Holdings plc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Ordinary Shares, nominal value £0.002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54258D105**</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24" w:hanging="424"/>
        <w:spacing w:after="0" w:line="30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1" w:lineRule="exact"/>
        <w:rPr>
          <w:sz w:val="24"/>
          <w:szCs w:val="24"/>
          <w:color w:val="auto"/>
        </w:rPr>
      </w:pPr>
    </w:p>
    <w:p>
      <w:pPr>
        <w:ind w:left="424" w:right="40" w:hanging="424"/>
        <w:spacing w:after="0" w:line="277" w:lineRule="auto"/>
        <w:tabs>
          <w:tab w:leader="none" w:pos="424" w:val="left"/>
        </w:tabs>
        <w:numPr>
          <w:ilvl w:val="0"/>
          <w:numId w:val="4"/>
        </w:numPr>
        <w:rPr>
          <w:rFonts w:ascii="Arial" w:cs="Arial" w:eastAsia="Arial" w:hAnsi="Arial"/>
          <w:sz w:val="15"/>
          <w:szCs w:val="15"/>
          <w:color w:val="auto"/>
        </w:rPr>
      </w:pPr>
      <w:r>
        <w:rPr>
          <w:rFonts w:ascii="Arial" w:cs="Arial" w:eastAsia="Arial" w:hAnsi="Arial"/>
          <w:sz w:val="18"/>
          <w:szCs w:val="18"/>
          <w:color w:val="auto"/>
        </w:rPr>
        <w:t>This CUSIP number applies to the Issuer’s American Depositary Shares (“ADSs”). Each one ADS represents one Ordinary Share. No CUSIP has been assigned to the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186055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p>
      <w:pPr>
        <w:ind w:left="704" w:right="8180" w:hanging="457"/>
        <w:spacing w:after="0" w:line="406" w:lineRule="auto"/>
        <w:tabs>
          <w:tab w:leader="none" w:pos="704"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 Eli Lilly S.A.</w:t>
      </w:r>
    </w:p>
    <w:p>
      <w:pPr>
        <w:spacing w:after="0" w:line="1" w:lineRule="exact"/>
        <w:rPr>
          <w:rFonts w:ascii="Arial" w:cs="Arial" w:eastAsia="Arial" w:hAnsi="Arial"/>
          <w:sz w:val="18"/>
          <w:szCs w:val="18"/>
          <w:color w:val="auto"/>
        </w:rPr>
      </w:pPr>
    </w:p>
    <w:p>
      <w:pPr>
        <w:ind w:left="704" w:hanging="457"/>
        <w:spacing w:after="0"/>
        <w:tabs>
          <w:tab w:leader="none" w:pos="704"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374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74640"/>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664" w:hanging="417"/>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660" w:hanging="417"/>
        <w:spacing w:after="0" w:line="406" w:lineRule="auto"/>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Switzerland</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2,548,145</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2,548,145</w:t>
      </w:r>
      <w:r>
        <w:rPr>
          <w:rFonts w:ascii="Arial" w:cs="Arial" w:eastAsia="Arial" w:hAnsi="Arial"/>
          <w:sz w:val="15"/>
          <w:szCs w:val="15"/>
          <w:color w:val="auto"/>
        </w:rPr>
        <w:t>(1)</w:t>
      </w:r>
    </w:p>
    <w:p>
      <w:pPr>
        <w:spacing w:after="0" w:line="36" w:lineRule="exact"/>
        <w:rPr>
          <w:sz w:val="20"/>
          <w:szCs w:val="20"/>
          <w:color w:val="auto"/>
        </w:rPr>
      </w:pPr>
    </w:p>
    <w:p>
      <w:pPr>
        <w:ind w:left="664" w:right="5500" w:hanging="417"/>
        <w:spacing w:after="0" w:line="406" w:lineRule="auto"/>
        <w:tabs>
          <w:tab w:leader="none" w:pos="654"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2,548,145</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5.8%</w:t>
      </w:r>
      <w:r>
        <w:rPr>
          <w:rFonts w:ascii="Arial" w:cs="Arial" w:eastAsia="Arial" w:hAnsi="Arial"/>
          <w:sz w:val="15"/>
          <w:szCs w:val="15"/>
          <w:color w:val="auto"/>
        </w:rPr>
        <w:t>(2)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200" w:hanging="424"/>
        <w:spacing w:after="0" w:line="255"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described in Items 5-9 above, Eli Lilly S.A. (“Lilly S.A.”) directly holds 2,548,145 shares of the Issuer’s Common Stock. Eli Lilly and Company (“Eli Lilly”) has voting and dispositive power over the shares held by Lilly S.A. As such, each of the Reporting Persons share voting and dispositive power with respect to the shares held by Lilly S.A.</w:t>
      </w:r>
    </w:p>
    <w:p>
      <w:pPr>
        <w:spacing w:after="0" w:line="2" w:lineRule="exact"/>
        <w:rPr>
          <w:rFonts w:ascii="Arial" w:cs="Arial" w:eastAsia="Arial" w:hAnsi="Arial"/>
          <w:sz w:val="18"/>
          <w:szCs w:val="18"/>
          <w:color w:val="auto"/>
        </w:rPr>
      </w:pPr>
    </w:p>
    <w:p>
      <w:pPr>
        <w:ind w:left="424" w:hanging="424"/>
        <w:spacing w:after="0" w:line="26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is calculated based upon 43,841,931 outstanding shares of Common Stock of the Issuer, as set forth in Exhibit 99.1 to the Issuer’s Form 6-K, filed on November 10, 2021.</w:t>
      </w:r>
    </w:p>
    <w:p>
      <w:pPr>
        <w:sectPr>
          <w:pgSz w:w="11900" w:h="16838" w:orient="portrait"/>
          <w:cols w:equalWidth="0" w:num="1">
            <w:col w:w="10944"/>
          </w:cols>
          <w:pgMar w:left="436" w:top="287" w:right="519" w:bottom="1440" w:gutter="0" w:footer="0" w:header="0"/>
        </w:sectPr>
      </w:pPr>
    </w:p>
    <w:bookmarkStart w:id="2" w:name="page3"/>
    <w:bookmarkEnd w:id="2"/>
    <w:p>
      <w:pPr>
        <w:ind w:left="704" w:right="8220" w:hanging="457"/>
        <w:spacing w:after="0" w:line="457" w:lineRule="auto"/>
        <w:tabs>
          <w:tab w:leader="none" w:pos="704"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 Eli Lilly and Company</w:t>
      </w:r>
    </w:p>
    <w:p>
      <w:pPr>
        <w:spacing w:after="0" w:line="1" w:lineRule="exact"/>
        <w:rPr>
          <w:rFonts w:ascii="Arial" w:cs="Arial" w:eastAsia="Arial" w:hAnsi="Arial"/>
          <w:sz w:val="16"/>
          <w:szCs w:val="16"/>
          <w:color w:val="auto"/>
        </w:rPr>
      </w:pPr>
    </w:p>
    <w:p>
      <w:pPr>
        <w:ind w:left="704" w:hanging="457"/>
        <w:spacing w:after="0"/>
        <w:tabs>
          <w:tab w:leader="none" w:pos="704"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374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374640"/>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664" w:hanging="417"/>
        <w:spacing w:after="0"/>
        <w:tabs>
          <w:tab w:leader="none" w:pos="6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700" w:hanging="417"/>
        <w:spacing w:after="0" w:line="406" w:lineRule="auto"/>
        <w:tabs>
          <w:tab w:leader="none" w:pos="6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Indiana</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2,548,145</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2,548,145</w:t>
      </w:r>
      <w:r>
        <w:rPr>
          <w:rFonts w:ascii="Arial" w:cs="Arial" w:eastAsia="Arial" w:hAnsi="Arial"/>
          <w:sz w:val="15"/>
          <w:szCs w:val="15"/>
          <w:color w:val="auto"/>
        </w:rPr>
        <w:t>(1)</w:t>
      </w:r>
    </w:p>
    <w:p>
      <w:pPr>
        <w:spacing w:after="0" w:line="36" w:lineRule="exact"/>
        <w:rPr>
          <w:sz w:val="20"/>
          <w:szCs w:val="20"/>
          <w:color w:val="auto"/>
        </w:rPr>
      </w:pPr>
    </w:p>
    <w:p>
      <w:pPr>
        <w:ind w:left="664" w:right="5540" w:hanging="417"/>
        <w:spacing w:after="0" w:line="406" w:lineRule="auto"/>
        <w:tabs>
          <w:tab w:leader="none" w:pos="65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2,548,145</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5.8%</w:t>
      </w:r>
      <w:r>
        <w:rPr>
          <w:rFonts w:ascii="Arial" w:cs="Arial" w:eastAsia="Arial" w:hAnsi="Arial"/>
          <w:sz w:val="15"/>
          <w:szCs w:val="15"/>
          <w:color w:val="auto"/>
        </w:rPr>
        <w:t>(2)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79" w:lineRule="exact"/>
        <w:rPr>
          <w:rFonts w:ascii="Arial" w:cs="Arial" w:eastAsia="Arial" w:hAnsi="Arial"/>
          <w:sz w:val="18"/>
          <w:szCs w:val="18"/>
          <w:color w:val="auto"/>
        </w:rPr>
      </w:pPr>
    </w:p>
    <w:p>
      <w:pPr>
        <w:ind w:left="424" w:hanging="424"/>
        <w:spacing w:after="0" w:line="255"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described in Items 5-9 above, Lilly S.A. directly holds 2,548,145 shares of the Issuer’s Common Stock. Eli Lilly has voting and dispositive power over the shares held by Lilly S.A. As such, each of the Reporting Persons share voting and dispositive power with respect to the shares held by Lilly S.A.</w:t>
      </w:r>
    </w:p>
    <w:p>
      <w:pPr>
        <w:spacing w:after="0" w:line="2" w:lineRule="exact"/>
        <w:rPr>
          <w:rFonts w:ascii="Arial" w:cs="Arial" w:eastAsia="Arial" w:hAnsi="Arial"/>
          <w:sz w:val="18"/>
          <w:szCs w:val="18"/>
          <w:color w:val="auto"/>
        </w:rPr>
      </w:pPr>
    </w:p>
    <w:p>
      <w:pPr>
        <w:ind w:left="424" w:right="40" w:hanging="424"/>
        <w:spacing w:after="0" w:line="26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percentage is calculated based upon 43,841,931 outstanding shares of Common Stock of the Issuer, as set forth in Exhibit 99.1 to the Issuer’s Form 6-K, filed on November 10, 2021.</w:t>
      </w:r>
    </w:p>
    <w:p>
      <w:pPr>
        <w:sectPr>
          <w:pgSz w:w="11900" w:h="16838" w:orient="portrait"/>
          <w:cols w:equalWidth="0" w:num="1">
            <w:col w:w="10984"/>
          </w:cols>
          <w:pgMar w:left="436" w:top="287" w:right="479" w:bottom="1440" w:gutter="0" w:footer="0" w:header="0"/>
        </w:sectPr>
      </w:pPr>
    </w:p>
    <w:bookmarkStart w:id="3" w:name="page4"/>
    <w:bookmarkEnd w:id="3"/>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Name of Issuer</w:t>
      </w:r>
    </w:p>
    <w:p>
      <w:pPr>
        <w:spacing w:after="0" w:line="135" w:lineRule="exact"/>
        <w:rPr>
          <w:sz w:val="20"/>
          <w:szCs w:val="20"/>
          <w:color w:val="auto"/>
        </w:rPr>
      </w:pPr>
    </w:p>
    <w:p>
      <w:pPr>
        <w:ind w:left="1540" w:right="6599" w:hanging="451"/>
        <w:spacing w:after="0" w:line="431" w:lineRule="auto"/>
        <w:tabs>
          <w:tab w:leader="none" w:pos="1523" w:val="left"/>
        </w:tabs>
        <w:numPr>
          <w:ilvl w:val="0"/>
          <w:numId w:val="13"/>
        </w:numPr>
        <w:rPr>
          <w:rFonts w:ascii="Arial" w:cs="Arial" w:eastAsia="Arial" w:hAnsi="Arial"/>
          <w:sz w:val="16"/>
          <w:szCs w:val="16"/>
          <w:color w:val="auto"/>
        </w:rPr>
      </w:pPr>
      <w:r>
        <w:rPr>
          <w:rFonts w:ascii="Arial" w:cs="Arial" w:eastAsia="Arial" w:hAnsi="Arial"/>
          <w:sz w:val="16"/>
          <w:szCs w:val="16"/>
          <w:color w:val="auto"/>
        </w:rPr>
        <w:t>Name of Issuer: Immunocore Holdings plc</w:t>
      </w:r>
    </w:p>
    <w:p>
      <w:pPr>
        <w:ind w:left="1520" w:hanging="431"/>
        <w:spacing w:after="0"/>
        <w:tabs>
          <w:tab w:leader="none" w:pos="1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Address of Issuer’s Principal Executive Offices:</w:t>
      </w:r>
    </w:p>
    <w:p>
      <w:pPr>
        <w:spacing w:after="0" w:line="140" w:lineRule="exact"/>
        <w:rPr>
          <w:rFonts w:ascii="Arial" w:cs="Arial" w:eastAsia="Arial" w:hAnsi="Arial"/>
          <w:sz w:val="16"/>
          <w:szCs w:val="16"/>
          <w:color w:val="auto"/>
        </w:rPr>
      </w:pPr>
    </w:p>
    <w:p>
      <w:pPr>
        <w:ind w:left="1540" w:right="7479"/>
        <w:spacing w:after="0" w:line="291" w:lineRule="auto"/>
        <w:rPr>
          <w:rFonts w:ascii="Arial" w:cs="Arial" w:eastAsia="Arial" w:hAnsi="Arial"/>
          <w:sz w:val="16"/>
          <w:szCs w:val="16"/>
          <w:color w:val="auto"/>
        </w:rPr>
      </w:pPr>
      <w:r>
        <w:rPr>
          <w:rFonts w:ascii="Arial" w:cs="Arial" w:eastAsia="Arial" w:hAnsi="Arial"/>
          <w:sz w:val="16"/>
          <w:szCs w:val="16"/>
          <w:color w:val="auto"/>
        </w:rPr>
        <w:t>92 Park Drive Milton Park</w:t>
      </w:r>
    </w:p>
    <w:p>
      <w:pPr>
        <w:ind w:left="1540" w:right="5939"/>
        <w:spacing w:after="0" w:line="260" w:lineRule="auto"/>
        <w:rPr>
          <w:rFonts w:ascii="Arial" w:cs="Arial" w:eastAsia="Arial" w:hAnsi="Arial"/>
          <w:sz w:val="16"/>
          <w:szCs w:val="16"/>
          <w:color w:val="auto"/>
        </w:rPr>
      </w:pPr>
      <w:r>
        <w:rPr>
          <w:rFonts w:ascii="Arial" w:cs="Arial" w:eastAsia="Arial" w:hAnsi="Arial"/>
          <w:sz w:val="18"/>
          <w:szCs w:val="18"/>
          <w:color w:val="auto"/>
        </w:rPr>
        <w:t>Abingdon, Oxfordshire OX14 4RY United Kingdom</w:t>
      </w:r>
    </w:p>
    <w:p>
      <w:pPr>
        <w:spacing w:after="0" w:line="33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Name of Person Filing</w:t>
      </w:r>
    </w:p>
    <w:p>
      <w:pPr>
        <w:spacing w:after="0" w:line="135" w:lineRule="exact"/>
        <w:rPr>
          <w:sz w:val="20"/>
          <w:szCs w:val="20"/>
          <w:color w:val="auto"/>
        </w:rPr>
      </w:pPr>
    </w:p>
    <w:p>
      <w:pPr>
        <w:ind w:left="1520" w:hanging="431"/>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w:t>
      </w:r>
    </w:p>
    <w:p>
      <w:pPr>
        <w:spacing w:after="0" w:line="11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Eli Lilly S.A.</w:t>
      </w:r>
    </w:p>
    <w:p>
      <w:pPr>
        <w:spacing w:after="0" w:line="11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Eli Lilly and Company</w:t>
      </w:r>
    </w:p>
    <w:p>
      <w:pPr>
        <w:spacing w:after="0" w:line="130" w:lineRule="exact"/>
        <w:rPr>
          <w:rFonts w:ascii="Arial" w:cs="Arial" w:eastAsia="Arial" w:hAnsi="Arial"/>
          <w:sz w:val="18"/>
          <w:szCs w:val="18"/>
          <w:color w:val="auto"/>
        </w:rPr>
      </w:pPr>
    </w:p>
    <w:p>
      <w:pPr>
        <w:ind w:left="1520" w:hanging="431"/>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of Principal Business Office:</w:t>
      </w:r>
    </w:p>
    <w:p>
      <w:pPr>
        <w:spacing w:after="0" w:line="117" w:lineRule="exact"/>
        <w:rPr>
          <w:rFonts w:ascii="Arial" w:cs="Arial" w:eastAsia="Arial" w:hAnsi="Arial"/>
          <w:sz w:val="18"/>
          <w:szCs w:val="18"/>
          <w:color w:val="auto"/>
        </w:rPr>
      </w:pPr>
    </w:p>
    <w:p>
      <w:pPr>
        <w:ind w:left="1540" w:right="6459"/>
        <w:spacing w:after="0" w:line="342" w:lineRule="auto"/>
        <w:rPr>
          <w:rFonts w:ascii="Arial" w:cs="Arial" w:eastAsia="Arial" w:hAnsi="Arial"/>
          <w:sz w:val="18"/>
          <w:szCs w:val="18"/>
          <w:color w:val="auto"/>
        </w:rPr>
      </w:pPr>
      <w:r>
        <w:rPr>
          <w:rFonts w:ascii="Arial" w:cs="Arial" w:eastAsia="Arial" w:hAnsi="Arial"/>
          <w:sz w:val="16"/>
          <w:szCs w:val="16"/>
          <w:color w:val="auto"/>
        </w:rPr>
        <w:t>c/o Lilly Corporate Center Indianapolis, Indiana 46285</w:t>
      </w:r>
    </w:p>
    <w:p>
      <w:pPr>
        <w:spacing w:after="0" w:line="29" w:lineRule="exact"/>
        <w:rPr>
          <w:rFonts w:ascii="Arial" w:cs="Arial" w:eastAsia="Arial" w:hAnsi="Arial"/>
          <w:sz w:val="18"/>
          <w:szCs w:val="18"/>
          <w:color w:val="auto"/>
        </w:rPr>
      </w:pPr>
    </w:p>
    <w:p>
      <w:pPr>
        <w:ind w:left="1520" w:hanging="431"/>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w:t>
      </w:r>
    </w:p>
    <w:p>
      <w:pPr>
        <w:sectPr>
          <w:pgSz w:w="11900" w:h="16838" w:orient="portrait"/>
          <w:cols w:equalWidth="0" w:num="1">
            <w:col w:w="10019"/>
          </w:cols>
          <w:pgMar w:left="440" w:top="270" w:right="1440" w:bottom="1440" w:gutter="0" w:footer="0" w:header="0"/>
        </w:sectPr>
      </w:pP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Eli Lilly S.A.</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Eli Lilly and Company</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Switzerland société anonyme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Indiana corporation</w:t>
      </w:r>
    </w:p>
    <w:p>
      <w:pPr>
        <w:spacing w:after="0" w:line="116" w:lineRule="exact"/>
        <w:rPr>
          <w:sz w:val="20"/>
          <w:szCs w:val="20"/>
          <w:color w:val="auto"/>
        </w:rPr>
      </w:pPr>
    </w:p>
    <w:p>
      <w:pPr>
        <w:sectPr>
          <w:pgSz w:w="11900" w:h="16838" w:orient="portrait"/>
          <w:cols w:equalWidth="0" w:num="2">
            <w:col w:w="3400" w:space="720"/>
            <w:col w:w="5899"/>
          </w:cols>
          <w:pgMar w:left="440" w:top="270" w:right="1440" w:bottom="1440" w:gutter="0" w:footer="0" w:header="0"/>
          <w:type w:val="continuous"/>
        </w:sectPr>
      </w:pPr>
    </w:p>
    <w:p>
      <w:pPr>
        <w:ind w:left="1520" w:hanging="431"/>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Ordinary Shares, nominal value £0.002 per share</w:t>
      </w:r>
    </w:p>
    <w:p>
      <w:pPr>
        <w:spacing w:after="0" w:line="153" w:lineRule="exact"/>
        <w:rPr>
          <w:rFonts w:ascii="Arial" w:cs="Arial" w:eastAsia="Arial" w:hAnsi="Arial"/>
          <w:sz w:val="18"/>
          <w:szCs w:val="18"/>
          <w:color w:val="auto"/>
        </w:rPr>
      </w:pPr>
    </w:p>
    <w:p>
      <w:pPr>
        <w:ind w:left="1540" w:right="7299" w:hanging="451"/>
        <w:spacing w:after="0" w:line="483" w:lineRule="auto"/>
        <w:tabs>
          <w:tab w:leader="none" w:pos="1523"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CUSIP Number: 54258D105</w:t>
      </w:r>
    </w:p>
    <w:p>
      <w:pPr>
        <w:sectPr>
          <w:pgSz w:w="11900" w:h="16838" w:orient="portrait"/>
          <w:cols w:equalWidth="0" w:num="1">
            <w:col w:w="10019"/>
          </w:cols>
          <w:pgMar w:left="440" w:top="270" w:right="1440"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this statement is filed pursuant to § 240.13d-1(b) or § 240.13d-2(b) or (c), check whether the person filing is a:</w:t>
      </w:r>
    </w:p>
    <w:p>
      <w:pPr>
        <w:spacing w:after="0" w:line="144" w:lineRule="exact"/>
        <w:rPr>
          <w:sz w:val="20"/>
          <w:szCs w:val="20"/>
          <w:color w:val="auto"/>
        </w:rPr>
      </w:pPr>
    </w:p>
    <w:p>
      <w:pPr>
        <w:sectPr>
          <w:pgSz w:w="11900" w:h="16838" w:orient="portrait"/>
          <w:cols w:equalWidth="0" w:num="2">
            <w:col w:w="540" w:space="540"/>
            <w:col w:w="8939"/>
          </w:cols>
          <w:pgMar w:left="440" w:top="270" w:right="1440"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019"/>
          </w:cols>
          <w:pgMar w:left="440" w:top="270" w:right="1440"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144" w:lineRule="exact"/>
        <w:rPr>
          <w:sz w:val="20"/>
          <w:szCs w:val="20"/>
          <w:color w:val="auto"/>
        </w:rPr>
      </w:pPr>
    </w:p>
    <w:p>
      <w:pPr>
        <w:sectPr>
          <w:pgSz w:w="11900" w:h="16838" w:orient="portrait"/>
          <w:cols w:equalWidth="0" w:num="2">
            <w:col w:w="540" w:space="540"/>
            <w:col w:w="8939"/>
          </w:cols>
          <w:pgMar w:left="440" w:top="270"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All ownership information is as of December 31, 2021.</w:t>
      </w:r>
    </w:p>
    <w:p>
      <w:pPr>
        <w:spacing w:after="0" w:line="131" w:lineRule="exact"/>
        <w:rPr>
          <w:sz w:val="20"/>
          <w:szCs w:val="20"/>
          <w:color w:val="auto"/>
        </w:rPr>
      </w:pPr>
    </w:p>
    <w:p>
      <w:pPr>
        <w:ind w:left="1520" w:hanging="431"/>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 See Item 9 of Cover Sheet.</w:t>
      </w:r>
    </w:p>
    <w:p>
      <w:pPr>
        <w:spacing w:after="0" w:line="130" w:lineRule="exact"/>
        <w:rPr>
          <w:rFonts w:ascii="Arial" w:cs="Arial" w:eastAsia="Arial" w:hAnsi="Arial"/>
          <w:sz w:val="18"/>
          <w:szCs w:val="18"/>
          <w:color w:val="auto"/>
        </w:rPr>
      </w:pPr>
    </w:p>
    <w:p>
      <w:pPr>
        <w:ind w:left="1520" w:hanging="431"/>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See Item 11 of Cover Sheet.</w:t>
      </w:r>
    </w:p>
    <w:p>
      <w:pPr>
        <w:spacing w:after="0" w:line="130" w:lineRule="exact"/>
        <w:rPr>
          <w:rFonts w:ascii="Arial" w:cs="Arial" w:eastAsia="Arial" w:hAnsi="Arial"/>
          <w:sz w:val="18"/>
          <w:szCs w:val="18"/>
          <w:color w:val="auto"/>
        </w:rPr>
      </w:pPr>
    </w:p>
    <w:p>
      <w:pPr>
        <w:ind w:left="1520" w:hanging="431"/>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of Cover Sheet.</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Cover Sheet.</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Item 7 of Cover Sheet.</w:t>
      </w:r>
    </w:p>
    <w:p>
      <w:pPr>
        <w:spacing w:after="0" w:line="153" w:lineRule="exact"/>
        <w:rPr>
          <w:rFonts w:ascii="Arial" w:cs="Arial" w:eastAsia="Arial" w:hAnsi="Arial"/>
          <w:sz w:val="16"/>
          <w:szCs w:val="16"/>
          <w:color w:val="auto"/>
        </w:rPr>
      </w:pPr>
    </w:p>
    <w:p>
      <w:pPr>
        <w:ind w:left="2080" w:hanging="545"/>
        <w:spacing w:after="0"/>
        <w:tabs>
          <w:tab w:leader="none" w:pos="20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Item 8 of Cover Sheet.</w:t>
      </w:r>
    </w:p>
    <w:p>
      <w:pPr>
        <w:sectPr>
          <w:pgSz w:w="11900" w:h="16838" w:orient="portrait"/>
          <w:cols w:equalWidth="0" w:num="1">
            <w:col w:w="10019"/>
          </w:cols>
          <w:pgMar w:left="440" w:top="270" w:right="1440" w:bottom="1440" w:gutter="0" w:footer="0" w:header="0"/>
          <w:type w:val="continuous"/>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 of the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440"/>
          </w:cols>
          <w:pgMar w:left="440" w:top="270" w:right="101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February 10, 2022</w:t>
      </w:r>
      <w:r>
        <w:rPr>
          <w:sz w:val="20"/>
          <w:szCs w:val="20"/>
          <w:color w:val="auto"/>
        </w:rPr>
        <w:tab/>
      </w:r>
      <w:r>
        <w:rPr>
          <w:rFonts w:ascii="Arial" w:cs="Arial" w:eastAsia="Arial" w:hAnsi="Arial"/>
          <w:sz w:val="18"/>
          <w:szCs w:val="18"/>
          <w:color w:val="auto"/>
        </w:rPr>
        <w:t>ELI LILLY S.A.</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ELI LILLY AND COMPANY</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Authorized Signatory</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 Christopher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4860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Christopher Anderson</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This Schedule 13G was executed pursuant to a Power of Attorney for Eli Lilly S.A. filed on the date hereof with the Securities and Exchange Commission and attached as an exhibit hereto.</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 Christopher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14605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Christopher Anderson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Schedule 13G was executed pursuant to a Power of Attorney for Eli Lilly and Company filed on the date hereof with the Securities and Exchange Commission and attached as an exhibit hereto.</w:t>
      </w:r>
    </w:p>
    <w:p>
      <w:pPr>
        <w:sectPr>
          <w:pgSz w:w="11900" w:h="16838" w:orient="portrait"/>
          <w:cols w:equalWidth="0" w:num="1">
            <w:col w:w="10860"/>
          </w:cols>
          <w:pgMar w:left="440" w:top="270" w:right="5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ACCORDANCE WITH Rule 13d-1(k) under the Securities Exchange Act of 1934, as amended, the undersigned hereby agree to the joint filing on behalf of each of them of a statement on Schedule 13G (including amendments thereto) with respect to the Ordinary Shares, nominal value £0.002 per share, of Immunocore Holdings plc, an English public limited company, and that this Joint Filing Agreement be included as an exhibit to such joint filing.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This Joint Filing Agreement may be executed in any number of counterparts, all of which together shall constitute one and the same instrument.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hereby execute this Joint Filing Agreement as of this 10th day of February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ELI LILLY S.A.</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ELI LILLY AND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 Christopher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4860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Christopher Anderson</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This Schedule 13G was executed pursuant to a Power of Attorney for Eli Lilly S.A. filed on the date hereof with the Securities and Exchange Commission and attached as an exhibit hereto.</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 Christopher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14605</wp:posOffset>
            </wp:positionV>
            <wp:extent cx="2425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Christopher Anderson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Schedule 13G was executed pursuant to a Power of Attorney for Eli Lilly and Company filed on the date hereof with the Securities and Exchange Commission and attached as an exhibit hereto.</w:t>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undersigned, ELI LILLY S.A., a Swiss société anonyme (the “Company”), does hereby make, constitute and appoint each of Anat Hakim, Christopher Anderson and Jonathan Groff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8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10th day of February,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 Lilly S.A.</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Philip L. Johnson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undersigned, ELI LILLY AND COMPANY, a corporation duly organized under the laws of the State of Indiana, United States (the “Company”), does hereby make, constitute and appoint each of Anat Hakim, Christopher Anderson and Jonathan Groff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7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10th day of February,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 Lilly and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Anat Ashkenazi</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Anat Ashkenazi</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30"/>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3"/>
    </w:lvl>
    <w:lvl w:ilvl="1">
      <w:lvlJc w:val="left"/>
      <w:lvlText w:val="%2."/>
      <w:numFmt w:val="decimal"/>
      <w:start w:val="5"/>
    </w:lvl>
  </w:abstractNum>
  <w:abstractNum w:abstractNumId="6">
    <w:nsid w:val="1190CDE7"/>
    <w:multiLevelType w:val="hybridMultilevel"/>
    <w:lvl w:ilvl="0">
      <w:lvlJc w:val="left"/>
      <w:lvlText w:val="%1"/>
      <w:numFmt w:val="decimal"/>
      <w:start w:val="1"/>
    </w:lvl>
    <w:lvl w:ilvl="1">
      <w:lvlJc w:val="left"/>
      <w:lvlText w:val="%2."/>
      <w:numFmt w:val="decimal"/>
      <w:start w:val="9"/>
    </w:lvl>
  </w:abstractNum>
  <w:abstractNum w:abstractNumId="7">
    <w:nsid w:val="66EF438D"/>
    <w:multiLevelType w:val="hybridMultilevel"/>
    <w:lvl w:ilvl="0">
      <w:lvlJc w:val="left"/>
      <w:lvlText w:val="(%1)"/>
      <w:numFmt w:val="decimal"/>
      <w:start w:val="1"/>
    </w:lvl>
    <w:lvl w:ilvl="1">
      <w:lvlJc w:val="left"/>
      <w:lvlText w:val="%2"/>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3"/>
    </w:lvl>
    <w:lvl w:ilvl="1">
      <w:lvlJc w:val="left"/>
      <w:lvlText w:val="%2."/>
      <w:numFmt w:val="decimal"/>
      <w:start w:val="5"/>
    </w:lvl>
  </w:abstractNum>
  <w:abstractNum w:abstractNumId="10">
    <w:nsid w:val="109CF92E"/>
    <w:multiLevelType w:val="hybridMultilevel"/>
    <w:lvl w:ilvl="0">
      <w:lvlJc w:val="left"/>
      <w:lvlText w:val="%1"/>
      <w:numFmt w:val="decimal"/>
      <w:start w:val="1"/>
    </w:lvl>
    <w:lvl w:ilvl="1">
      <w:lvlJc w:val="left"/>
      <w:lvlText w:val="%2."/>
      <w:numFmt w:val="decimal"/>
      <w:start w:val="9"/>
    </w:lvl>
  </w:abstractNum>
  <w:abstractNum w:abstractNumId="11">
    <w:nsid w:val="DED7263"/>
    <w:multiLevelType w:val="hybridMultilevel"/>
    <w:lvl w:ilvl="0">
      <w:lvlJc w:val="left"/>
      <w:lvlText w:val="(%1)"/>
      <w:numFmt w:val="decimal"/>
      <w:start w:val="1"/>
    </w:lvl>
    <w:lvl w:ilvl="1">
      <w:lvlJc w:val="left"/>
      <w:lvlText w:val="%2"/>
      <w:numFmt w:val="decimal"/>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4"/>
    </w:lvl>
  </w:abstractNum>
  <w:abstractNum w:abstractNumId="15">
    <w:nsid w:val="6B68079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2022-02-11T22:51:45Z</dcterms:created>
  <dcterms:modified xsi:type="dcterms:W3CDTF">2022-02-11T22:51:45Z</dcterms:modified>
</cp:coreProperties>
</file>