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ectPr>
          <w:pgSz w:w="11900" w:h="16838" w:orient="portrait"/>
          <w:cols w:equalWidth="0" w:num="1">
            <w:col w:w="11420"/>
          </w:cols>
          <w:pgMar w:left="240" w:top="1135" w:right="239" w:bottom="1440" w:gutter="0" w:footer="0" w:header="0"/>
        </w:sectPr>
      </w:pPr>
    </w:p>
    <w:p>
      <w:pPr>
        <w:spacing w:after="0" w:line="102"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9240" w:space="720"/>
            <w:col w:w="1460"/>
          </w:cols>
          <w:pgMar w:left="240" w:top="1135"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4" w:lineRule="exact"/>
        <w:rPr>
          <w:sz w:val="24"/>
          <w:szCs w:val="24"/>
          <w:color w:val="auto"/>
        </w:rPr>
      </w:pPr>
    </w:p>
    <w:p>
      <w:pPr>
        <w:sectPr>
          <w:pgSz w:w="11900" w:h="16838" w:orient="portrait"/>
          <w:cols w:equalWidth="0" w:num="3">
            <w:col w:w="2700" w:space="180"/>
            <w:col w:w="5500" w:space="720"/>
            <w:col w:w="2320"/>
          </w:cols>
          <w:pgMar w:left="240" w:top="1135"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1135" w:right="239" w:bottom="1440" w:gutter="0" w:footer="0" w:header="0"/>
          <w:type w:val="continuous"/>
        </w:sectPr>
      </w:pPr>
    </w:p>
    <w:p>
      <w:pPr>
        <w:spacing w:after="0" w:line="14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April 24, 2017:</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1,103,388,743</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2017</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39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40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2016, particularly under the captions “Forward-Looking Statements” and “Risk Factors.”</w:t>
      </w:r>
    </w:p>
    <w:p>
      <w:pPr>
        <w:spacing w:after="0" w:line="9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CCEEFF"/>
            </w:tcBorders>
          </w:tcPr>
          <w:p>
            <w:pPr>
              <w:spacing w:after="0"/>
              <w:rPr>
                <w:sz w:val="17"/>
                <w:szCs w:val="17"/>
                <w:color w:val="auto"/>
              </w:rPr>
            </w:pPr>
          </w:p>
        </w:tc>
        <w:tc>
          <w:tcPr>
            <w:tcW w:w="3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5,228.3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4,865.1</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1,327.7</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1,323.0</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1,238.3</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1,221.0</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selling, and administrative</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1,544.7</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1,473.9</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 (Note 3)</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857.6</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213.9</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 (Note 12)</w:t>
            </w:r>
          </w:p>
        </w:tc>
        <w:tc>
          <w:tcPr>
            <w:tcW w:w="3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149.0</w:t>
            </w:r>
          </w:p>
        </w:tc>
      </w:tr>
      <w:tr>
        <w:trPr>
          <w:trHeight w:val="250"/>
        </w:trPr>
        <w:tc>
          <w:tcPr>
            <w:tcW w:w="56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5,167.1</w:t>
            </w: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4,298.3</w:t>
            </w:r>
          </w:p>
        </w:tc>
      </w:tr>
      <w:tr>
        <w:trPr>
          <w:trHeight w:val="250"/>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61.2</w:t>
            </w:r>
          </w:p>
        </w:tc>
        <w:tc>
          <w:tcPr>
            <w:tcW w:w="3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566.8</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(Note 8)</w:t>
            </w:r>
          </w:p>
        </w:tc>
        <w:tc>
          <w:tcPr>
            <w:tcW w:w="3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172.0</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r>
      <w:tr>
        <w:trPr>
          <w:trHeight w:val="264"/>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440.1</w:t>
            </w:r>
          </w:p>
        </w:tc>
      </w:tr>
      <w:tr>
        <w:trPr>
          <w:trHeight w:val="324"/>
        </w:trPr>
        <w:tc>
          <w:tcPr>
            <w:tcW w:w="5600" w:type="dxa"/>
            <w:vAlign w:val="bottom"/>
            <w:tcBorders>
              <w:top w:val="single" w:sz="8" w:color="CCEEFF"/>
            </w:tcBorders>
            <w:shd w:val="clear" w:color="auto" w:fill="CCEEFF"/>
          </w:tcPr>
          <w:p>
            <w:pPr>
              <w:spacing w:after="0"/>
              <w:rPr>
                <w:sz w:val="24"/>
                <w:szCs w:val="24"/>
                <w:color w:val="auto"/>
              </w:rPr>
            </w:pPr>
          </w:p>
        </w:tc>
        <w:tc>
          <w:tcPr>
            <w:tcW w:w="3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r>
      <w:tr>
        <w:trPr>
          <w:trHeight w:val="277"/>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0.41</w:t>
            </w:r>
          </w:p>
        </w:tc>
      </w:tr>
      <w:tr>
        <w:trPr>
          <w:trHeight w:val="270"/>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(loss) per share:</w:t>
            </w:r>
          </w:p>
        </w:tc>
        <w:tc>
          <w:tcPr>
            <w:tcW w:w="31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1,056.3</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1,059.9</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1,056.3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1,063.1</w:t>
            </w:r>
          </w:p>
        </w:tc>
      </w:tr>
      <w:tr>
        <w:trPr>
          <w:trHeight w:val="324"/>
        </w:trPr>
        <w:tc>
          <w:tcPr>
            <w:tcW w:w="5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0.52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r>
      <w:tr>
        <w:trPr>
          <w:trHeight w:val="365"/>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3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3180" w:type="dxa"/>
            <w:vAlign w:val="bottom"/>
          </w:tcPr>
          <w:p>
            <w:pPr>
              <w:jc w:val="right"/>
              <w:ind w:right="29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440.1</w:t>
            </w:r>
          </w:p>
        </w:tc>
      </w:tr>
      <w:tr>
        <w:trPr>
          <w:trHeight w:val="27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(loss), net of tax (Note 11)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198.7</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316.0</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87.9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756.1</w:t>
            </w:r>
          </w:p>
        </w:tc>
      </w:tr>
    </w:tbl>
    <w:p>
      <w:pPr>
        <w:spacing w:after="0" w:line="167" w:lineRule="exact"/>
        <w:rPr>
          <w:sz w:val="20"/>
          <w:szCs w:val="20"/>
          <w:color w:val="auto"/>
        </w:rPr>
      </w:pPr>
    </w:p>
    <w:p>
      <w:pPr>
        <w:ind w:left="180" w:right="20" w:hanging="172"/>
        <w:spacing w:after="0" w:line="230" w:lineRule="auto"/>
        <w:tabs>
          <w:tab w:leader="none" w:pos="153"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(loss) for the three months ended March 31, 2017 consisted of $209.7 million of other comprehensive income attributable to controlling interest and $(11.0) million of other comprehensive income (loss) attributable to non-controlling interest. Other comprehensive income (loss) for the three months ended March 31, 2016 attributable to non-controlling interest is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2,616.9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888.7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1,456.5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$41.8 (2017)</w:t>
            </w:r>
            <w:r>
              <w:rPr>
                <w:rFonts w:ascii="Arial" w:cs="Arial" w:eastAsia="Arial" w:hAnsi="Arial"/>
                <w:sz w:val="18"/>
                <w:szCs w:val="18"/>
                <w:color w:val="auto"/>
              </w:rPr>
              <w:t xml:space="preserve"> and $40.3 (2016)</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4,017.2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596.7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736.9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4,035.1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3,561.9</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821.6</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12,976.2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15,101.4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5,297.7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5,207.5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4,188.0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3,972.7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4,716.7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4,357.9</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2,020.2</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16,222.6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17,136.6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16,777.6</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(8,711.1)</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8,425.5</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8,252.6</w:t>
            </w: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37,624.3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2,609.3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1,220.1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1,349.3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566.5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3,697.5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3,914.9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122.0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2,232.6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10,448.0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10,986.6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7,637.5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8,367.8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2,455.7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697.2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2,282.2</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2,228.2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13,072.6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13,738.8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690.0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5,617.6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5,640.6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15,876.7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16,046.3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tcPr>
          <w:p>
            <w:pPr>
              <w:spacing w:after="0"/>
              <w:rPr>
                <w:sz w:val="22"/>
                <w:szCs w:val="22"/>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(5,064.3)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(75.8)</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14,031.0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14,007.7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72.7</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14,103.7</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14,080.5</w:t>
            </w: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37,624.3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54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54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6" w:right="25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(Loss)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changes in operating assets and liabilities, net of acquisitions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March 31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(110.8)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440.1</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386.9</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385.5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128.8</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69.3</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62.0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857.6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(995.0)</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(1,382.9)</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245.6</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339.9</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(219.1)</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(169.0)</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1,168.4</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521.6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(289.4)</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528.0</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338.9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(945.9)</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(882.1)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(831.8)</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(7.8)</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(1,429.6)</w:t>
            </w: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(547.4)</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(538.3)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497.5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(630.2)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(195.6)</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(875.7)</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(924.2)</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0.2</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(1,965.2)</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4,582.1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3,666.4</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2,616.9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2,307.6</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2">
            <w:col w:w="7380" w:space="240"/>
            <w:col w:w="3780"/>
          </w:cols>
          <w:pgMar w:left="240" w:top="576" w:right="2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2016. We issue our financial statements by filing with the Securities and Exchange Commission and have evaluated subsequent events up to the time of the filing.</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Certain reclassifications have been made to prior periods in the consolidated condensed financial statements and accompanying notes to conform with the current presentation. These reclassifications include $107.8 million that decreased net cash used for operating activities and increased net cash used for financing activities on the consolidated condensed statements of cash flows as a result of our adoption in the fourth quarter of 2016 of Accounting Standards Update 2016-09, </w:t>
      </w:r>
      <w:r>
        <w:rPr>
          <w:rFonts w:ascii="Arial" w:cs="Arial" w:eastAsia="Arial" w:hAnsi="Arial"/>
          <w:sz w:val="18"/>
          <w:szCs w:val="18"/>
          <w:i w:val="1"/>
          <w:iCs w:val="1"/>
          <w:color w:val="auto"/>
        </w:rPr>
        <w:t xml:space="preserve">Compensation - Stock Compensation: Improvements to Employee Share-Based Payment Accounting </w:t>
      </w:r>
      <w:r>
        <w:rPr>
          <w:rFonts w:ascii="Arial" w:cs="Arial" w:eastAsia="Arial" w:hAnsi="Arial"/>
          <w:sz w:val="18"/>
          <w:szCs w:val="18"/>
          <w:color w:val="auto"/>
        </w:rPr>
        <w:t>as discussed in our Annual Report on Form 10-K for the year ended December 31, 2016.</w:t>
      </w:r>
    </w:p>
    <w:p>
      <w:pPr>
        <w:spacing w:after="0" w:line="9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7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13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19" w:lineRule="exact"/>
        <w:rPr>
          <w:sz w:val="20"/>
          <w:szCs w:val="20"/>
          <w:color w:val="auto"/>
        </w:rPr>
      </w:pPr>
    </w:p>
    <w:p>
      <w:pPr>
        <w:ind w:left="40"/>
        <w:spacing w:after="0"/>
        <w:tabs>
          <w:tab w:leader="none" w:pos="2080" w:val="left"/>
          <w:tab w:leader="none" w:pos="5740" w:val="left"/>
          <w:tab w:leader="none" w:pos="790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129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12991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p>
      <w:pPr>
        <w:spacing w:after="0" w:line="59"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8"/>
          <w:szCs w:val="18"/>
          <w:color w:val="auto"/>
        </w:rPr>
        <w:t>This standard will replace existing revenue</w:t>
      </w:r>
    </w:p>
    <w:p>
      <w:pPr>
        <w:ind w:left="40"/>
        <w:spacing w:after="0"/>
        <w:tabs>
          <w:tab w:leader="none" w:pos="2080" w:val="left"/>
        </w:tabs>
        <w:rPr>
          <w:sz w:val="20"/>
          <w:szCs w:val="20"/>
          <w:color w:val="auto"/>
        </w:rPr>
      </w:pPr>
      <w:r>
        <w:rPr>
          <w:rFonts w:ascii="Arial" w:cs="Arial" w:eastAsia="Arial" w:hAnsi="Arial"/>
          <w:sz w:val="18"/>
          <w:szCs w:val="18"/>
          <w:color w:val="auto"/>
        </w:rPr>
        <w:t>Update 2014-09 and</w:t>
      </w:r>
      <w:r>
        <w:rPr>
          <w:sz w:val="20"/>
          <w:szCs w:val="20"/>
          <w:color w:val="auto"/>
        </w:rPr>
        <w:tab/>
      </w:r>
      <w:r>
        <w:rPr>
          <w:rFonts w:ascii="Arial" w:cs="Arial" w:eastAsia="Arial" w:hAnsi="Arial"/>
          <w:sz w:val="17"/>
          <w:szCs w:val="17"/>
          <w:color w:val="auto"/>
        </w:rPr>
        <w:t>recognition standards and will require</w:t>
      </w:r>
    </w:p>
    <w:p>
      <w:pPr>
        <w:ind w:left="40"/>
        <w:spacing w:after="0"/>
        <w:tabs>
          <w:tab w:leader="none" w:pos="2080" w:val="left"/>
        </w:tabs>
        <w:rPr>
          <w:sz w:val="20"/>
          <w:szCs w:val="20"/>
          <w:color w:val="auto"/>
        </w:rPr>
      </w:pPr>
      <w:r>
        <w:rPr>
          <w:rFonts w:ascii="Arial" w:cs="Arial" w:eastAsia="Arial" w:hAnsi="Arial"/>
          <w:sz w:val="18"/>
          <w:szCs w:val="18"/>
          <w:color w:val="auto"/>
        </w:rPr>
        <w:t>various other related</w:t>
      </w:r>
      <w:r>
        <w:rPr>
          <w:sz w:val="20"/>
          <w:szCs w:val="20"/>
          <w:color w:val="auto"/>
        </w:rPr>
        <w:tab/>
      </w:r>
      <w:r>
        <w:rPr>
          <w:rFonts w:ascii="Arial" w:cs="Arial" w:eastAsia="Arial" w:hAnsi="Arial"/>
          <w:sz w:val="17"/>
          <w:szCs w:val="17"/>
          <w:color w:val="auto"/>
        </w:rPr>
        <w:t>entities to recognize revenues to depict the</w:t>
      </w:r>
    </w:p>
    <w:p>
      <w:pPr>
        <w:ind w:left="40"/>
        <w:spacing w:after="0"/>
        <w:tabs>
          <w:tab w:leader="none" w:pos="2080" w:val="left"/>
        </w:tabs>
        <w:rPr>
          <w:sz w:val="20"/>
          <w:szCs w:val="20"/>
          <w:color w:val="auto"/>
        </w:rPr>
      </w:pPr>
      <w:r>
        <w:rPr>
          <w:rFonts w:ascii="Arial" w:cs="Arial" w:eastAsia="Arial" w:hAnsi="Arial"/>
          <w:sz w:val="18"/>
          <w:szCs w:val="18"/>
          <w:color w:val="auto"/>
        </w:rPr>
        <w:t xml:space="preserve">updates, </w:t>
      </w:r>
      <w:r>
        <w:rPr>
          <w:rFonts w:ascii="Arial" w:cs="Arial" w:eastAsia="Arial" w:hAnsi="Arial"/>
          <w:sz w:val="18"/>
          <w:szCs w:val="18"/>
          <w:i w:val="1"/>
          <w:iCs w:val="1"/>
          <w:color w:val="auto"/>
        </w:rPr>
        <w:t>Revenue from</w:t>
      </w:r>
      <w:r>
        <w:rPr>
          <w:sz w:val="20"/>
          <w:szCs w:val="20"/>
          <w:color w:val="auto"/>
        </w:rPr>
        <w:tab/>
      </w:r>
      <w:r>
        <w:rPr>
          <w:rFonts w:ascii="Arial" w:cs="Arial" w:eastAsia="Arial" w:hAnsi="Arial"/>
          <w:sz w:val="17"/>
          <w:szCs w:val="17"/>
          <w:color w:val="auto"/>
        </w:rPr>
        <w:t>transfer of promised goods or services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Contracts with</w:t>
      </w:r>
      <w:r>
        <w:rPr>
          <w:sz w:val="20"/>
          <w:szCs w:val="20"/>
          <w:color w:val="auto"/>
        </w:rPr>
        <w:tab/>
      </w:r>
      <w:r>
        <w:rPr>
          <w:rFonts w:ascii="Arial" w:cs="Arial" w:eastAsia="Arial" w:hAnsi="Arial"/>
          <w:sz w:val="17"/>
          <w:szCs w:val="17"/>
          <w:color w:val="auto"/>
        </w:rPr>
        <w:t>customers in an amount that reflects the</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Customers</w:t>
      </w:r>
      <w:r>
        <w:rPr>
          <w:sz w:val="20"/>
          <w:szCs w:val="20"/>
          <w:color w:val="auto"/>
        </w:rPr>
        <w:tab/>
      </w:r>
      <w:r>
        <w:rPr>
          <w:rFonts w:ascii="Arial" w:cs="Arial" w:eastAsia="Arial" w:hAnsi="Arial"/>
          <w:sz w:val="18"/>
          <w:szCs w:val="18"/>
          <w:color w:val="auto"/>
        </w:rPr>
        <w:t>consideration to which the entity expects to</w:t>
      </w:r>
    </w:p>
    <w:p>
      <w:pPr>
        <w:ind w:left="2100" w:right="40"/>
        <w:spacing w:after="0" w:line="236" w:lineRule="auto"/>
        <w:rPr>
          <w:sz w:val="20"/>
          <w:szCs w:val="20"/>
          <w:color w:val="auto"/>
        </w:rPr>
      </w:pPr>
      <w:r>
        <w:rPr>
          <w:rFonts w:ascii="Arial" w:cs="Arial" w:eastAsia="Arial" w:hAnsi="Arial"/>
          <w:sz w:val="18"/>
          <w:szCs w:val="18"/>
          <w:color w:val="auto"/>
        </w:rPr>
        <w:t>be entitled in exchange for those goods or services. An entity can apply the new revenue standard retrospectively to each prior reporting period presented or with the cumulative effect of initially applying the standard recognized at the date of initial application in retained earnings. We currently plan to use the latter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ind w:left="40"/>
        <w:spacing w:after="0"/>
        <w:tabs>
          <w:tab w:leader="none" w:pos="2080" w:val="left"/>
        </w:tabs>
        <w:rPr>
          <w:sz w:val="20"/>
          <w:szCs w:val="20"/>
          <w:color w:val="auto"/>
        </w:rPr>
      </w:pPr>
      <w:r>
        <w:rPr>
          <w:rFonts w:ascii="Arial" w:cs="Arial" w:eastAsia="Arial" w:hAnsi="Arial"/>
          <w:sz w:val="18"/>
          <w:szCs w:val="18"/>
          <w:color w:val="auto"/>
        </w:rPr>
        <w:t>Update 2016-01,</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Financial Instruments -</w:t>
      </w:r>
      <w:r>
        <w:rPr>
          <w:sz w:val="20"/>
          <w:szCs w:val="20"/>
          <w:color w:val="auto"/>
        </w:rPr>
        <w:tab/>
      </w:r>
      <w:r>
        <w:rPr>
          <w:rFonts w:ascii="Arial" w:cs="Arial" w:eastAsia="Arial" w:hAnsi="Arial"/>
          <w:sz w:val="17"/>
          <w:szCs w:val="17"/>
          <w:color w:val="auto"/>
        </w:rPr>
        <w:t>equity investments with readily</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Overall: Recognition</w:t>
      </w:r>
      <w:r>
        <w:rPr>
          <w:sz w:val="20"/>
          <w:szCs w:val="20"/>
          <w:color w:val="auto"/>
        </w:rPr>
        <w:tab/>
      </w:r>
      <w:r>
        <w:rPr>
          <w:rFonts w:ascii="Arial" w:cs="Arial" w:eastAsia="Arial" w:hAnsi="Arial"/>
          <w:sz w:val="18"/>
          <w:szCs w:val="18"/>
          <w:color w:val="auto"/>
        </w:rPr>
        <w:t>determinable fair values in net income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Measurement of</w:t>
      </w:r>
      <w:r>
        <w:rPr>
          <w:sz w:val="20"/>
          <w:szCs w:val="20"/>
          <w:color w:val="auto"/>
        </w:rPr>
        <w:tab/>
      </w:r>
      <w:r>
        <w:rPr>
          <w:rFonts w:ascii="Arial" w:cs="Arial" w:eastAsia="Arial" w:hAnsi="Arial"/>
          <w:sz w:val="17"/>
          <w:szCs w:val="17"/>
          <w:color w:val="auto"/>
        </w:rPr>
        <w:t>(except for investments accounted for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Assets and</w:t>
      </w:r>
      <w:r>
        <w:rPr>
          <w:sz w:val="20"/>
          <w:szCs w:val="20"/>
          <w:color w:val="auto"/>
        </w:rPr>
        <w:tab/>
      </w:r>
      <w:r>
        <w:rPr>
          <w:rFonts w:ascii="Arial" w:cs="Arial" w:eastAsia="Arial" w:hAnsi="Arial"/>
          <w:sz w:val="18"/>
          <w:szCs w:val="18"/>
          <w:color w:val="auto"/>
        </w:rPr>
        <w:t>under the equity method of accounting 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8"/>
          <w:szCs w:val="18"/>
          <w:color w:val="auto"/>
        </w:rPr>
        <w:t>those that result in consolidation of the</w:t>
      </w:r>
    </w:p>
    <w:p>
      <w:pPr>
        <w:ind w:left="2100" w:right="160"/>
        <w:spacing w:after="0" w:line="239" w:lineRule="auto"/>
        <w:rPr>
          <w:sz w:val="20"/>
          <w:szCs w:val="20"/>
          <w:color w:val="auto"/>
        </w:rPr>
      </w:pPr>
      <w:r>
        <w:rPr>
          <w:rFonts w:ascii="Arial" w:cs="Arial" w:eastAsia="Arial" w:hAnsi="Arial"/>
          <w:sz w:val="18"/>
          <w:szCs w:val="18"/>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in the process of evaluating the impact of the adoption of the standard. We have identified two revenue streams from our contracts with customers: 1) product sales and 2) licensing arrangements.</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While our evaluation of our contracts for product sales is not yet complete, based upon the results of our work to date we currently do not expect the application of the new standard to these contracts to have a material impact to our consolidated financial statements either at initial implementation or on an ongoing basis.</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in the process of reviewing arrangements in which we have licensed or sold intellectual property and are not yet able to estimate the anticipated impact to our consolidated financial statements from the application of the new standard to our arrangements as we continue to interpret and apply the principles in the new standard to our arrangements.</w:t>
      </w:r>
    </w:p>
    <w:p>
      <w:pPr>
        <w:spacing w:after="0" w:line="4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are unable to estimate the impact of adopting this standard as the significance of the impact will depend upon our equity investments as of the date of adoption.</w:t>
      </w:r>
    </w:p>
    <w:p>
      <w:pPr>
        <w:spacing w:after="0" w:line="1605" w:lineRule="exact"/>
        <w:rPr>
          <w:sz w:val="20"/>
          <w:szCs w:val="20"/>
          <w:color w:val="auto"/>
        </w:rPr>
      </w:pPr>
    </w:p>
    <w:p>
      <w:pPr>
        <w:sectPr>
          <w:pgSz w:w="11900" w:h="16838" w:orient="portrait"/>
          <w:cols w:equalWidth="0" w:num="3">
            <w:col w:w="5540" w:space="220"/>
            <w:col w:w="1980" w:space="180"/>
            <w:col w:w="3460"/>
          </w:cols>
          <w:pgMar w:left="240" w:top="576" w:right="279" w:bottom="1440" w:gutter="0" w:footer="0" w:header="0"/>
          <w:type w:val="continuous"/>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76" w:right="2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28"/>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This standard was issued to increase</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is effective</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185"/>
        </w:trPr>
        <w:tc>
          <w:tcPr>
            <w:tcW w:w="194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color w:val="auto"/>
              </w:rPr>
              <w:t>Update 2016-02,</w:t>
            </w:r>
          </w:p>
        </w:tc>
        <w:tc>
          <w:tcPr>
            <w:tcW w:w="3720" w:type="dxa"/>
            <w:vAlign w:val="bottom"/>
            <w:shd w:val="clear" w:color="auto" w:fill="CCEEFF"/>
          </w:tcPr>
          <w:p>
            <w:pPr>
              <w:ind w:left="160"/>
              <w:spacing w:after="0" w:line="185" w:lineRule="exact"/>
              <w:rPr>
                <w:sz w:val="20"/>
                <w:szCs w:val="20"/>
                <w:color w:val="auto"/>
              </w:rPr>
            </w:pPr>
            <w:r>
              <w:rPr>
                <w:rFonts w:ascii="Arial" w:cs="Arial" w:eastAsia="Arial" w:hAnsi="Arial"/>
                <w:sz w:val="18"/>
                <w:szCs w:val="18"/>
                <w:color w:val="auto"/>
              </w:rPr>
              <w:t>transparency and comparability among</w:t>
            </w:r>
          </w:p>
        </w:tc>
        <w:tc>
          <w:tcPr>
            <w:tcW w:w="2180" w:type="dxa"/>
            <w:vAlign w:val="bottom"/>
            <w:shd w:val="clear" w:color="auto" w:fill="CCEEFF"/>
          </w:tcPr>
          <w:p>
            <w:pPr>
              <w:ind w:left="100"/>
              <w:spacing w:after="0" w:line="185" w:lineRule="exact"/>
              <w:rPr>
                <w:sz w:val="20"/>
                <w:szCs w:val="20"/>
                <w:color w:val="auto"/>
              </w:rPr>
            </w:pPr>
            <w:r>
              <w:rPr>
                <w:rFonts w:ascii="Arial" w:cs="Arial" w:eastAsia="Arial" w:hAnsi="Arial"/>
                <w:sz w:val="18"/>
                <w:szCs w:val="18"/>
                <w:color w:val="auto"/>
              </w:rPr>
              <w:t>January 1, 2019, with</w:t>
            </w:r>
          </w:p>
        </w:tc>
        <w:tc>
          <w:tcPr>
            <w:tcW w:w="3580" w:type="dxa"/>
            <w:vAlign w:val="bottom"/>
            <w:shd w:val="clear" w:color="auto" w:fill="CCEEFF"/>
          </w:tcPr>
          <w:p>
            <w:pPr>
              <w:ind w:left="80"/>
              <w:spacing w:after="0" w:line="185" w:lineRule="exact"/>
              <w:rPr>
                <w:sz w:val="20"/>
                <w:szCs w:val="20"/>
                <w:color w:val="auto"/>
              </w:rPr>
            </w:pPr>
            <w:r>
              <w:rPr>
                <w:rFonts w:ascii="Arial" w:cs="Arial" w:eastAsia="Arial" w:hAnsi="Arial"/>
                <w:sz w:val="18"/>
                <w:szCs w:val="18"/>
                <w:color w:val="auto"/>
              </w:rPr>
              <w:t>potential impact on our consolidated</w:t>
            </w:r>
          </w:p>
        </w:tc>
      </w:tr>
      <w:tr>
        <w:trPr>
          <w:trHeight w:val="221"/>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Leases</w:t>
            </w: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organizations by recognizing lease assets</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early adoption permitted.</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lease liabilities, including leases</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 intend to adopt this</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on January 1,</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2019.</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disclosures about leasing</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arrangements. This standard requires a</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modified retrospective approach to</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17"/>
        </w:trPr>
        <w:tc>
          <w:tcPr>
            <w:tcW w:w="1940" w:type="dxa"/>
            <w:vAlign w:val="bottom"/>
            <w:shd w:val="clear" w:color="auto" w:fill="CCEEFF"/>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w:t>
            </w:r>
          </w:p>
        </w:tc>
        <w:tc>
          <w:tcPr>
            <w:tcW w:w="21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r>
        <w:trPr>
          <w:trHeight w:val="189"/>
        </w:trPr>
        <w:tc>
          <w:tcPr>
            <w:tcW w:w="1940" w:type="dxa"/>
            <w:vAlign w:val="bottom"/>
            <w:shd w:val="clear" w:color="auto" w:fill="CCEEFF"/>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r>
      <w:tr>
        <w:trPr>
          <w:trHeight w:val="229"/>
        </w:trPr>
        <w:tc>
          <w:tcPr>
            <w:tcW w:w="1940" w:type="dxa"/>
            <w:vAlign w:val="bottom"/>
          </w:tcPr>
          <w:p>
            <w:pPr>
              <w:ind w:left="40"/>
              <w:spacing w:after="0"/>
              <w:rPr>
                <w:sz w:val="20"/>
                <w:szCs w:val="20"/>
                <w:color w:val="auto"/>
              </w:rPr>
            </w:pPr>
            <w:r>
              <w:rPr>
                <w:rFonts w:ascii="Arial" w:cs="Arial" w:eastAsia="Arial" w:hAnsi="Arial"/>
                <w:sz w:val="18"/>
                <w:szCs w:val="18"/>
                <w:color w:val="auto"/>
              </w:rPr>
              <w:t>Accounting Standards</w:t>
            </w:r>
          </w:p>
        </w:tc>
        <w:tc>
          <w:tcPr>
            <w:tcW w:w="3720" w:type="dxa"/>
            <w:vAlign w:val="bottom"/>
          </w:tcPr>
          <w:p>
            <w:pPr>
              <w:ind w:left="160"/>
              <w:spacing w:after="0"/>
              <w:rPr>
                <w:sz w:val="20"/>
                <w:szCs w:val="20"/>
                <w:color w:val="auto"/>
              </w:rPr>
            </w:pPr>
            <w:r>
              <w:rPr>
                <w:rFonts w:ascii="Arial" w:cs="Arial" w:eastAsia="Arial" w:hAnsi="Arial"/>
                <w:sz w:val="18"/>
                <w:szCs w:val="18"/>
                <w:color w:val="auto"/>
              </w:rPr>
              <w:t>This standard will require entities to</w:t>
            </w:r>
          </w:p>
        </w:tc>
        <w:tc>
          <w:tcPr>
            <w:tcW w:w="2180" w:type="dxa"/>
            <w:vAlign w:val="bottom"/>
          </w:tcPr>
          <w:p>
            <w:pPr>
              <w:ind w:left="100"/>
              <w:spacing w:after="0"/>
              <w:rPr>
                <w:sz w:val="20"/>
                <w:szCs w:val="20"/>
                <w:color w:val="auto"/>
              </w:rPr>
            </w:pPr>
            <w:r>
              <w:rPr>
                <w:rFonts w:ascii="Arial" w:cs="Arial" w:eastAsia="Arial" w:hAnsi="Arial"/>
                <w:sz w:val="18"/>
                <w:szCs w:val="18"/>
                <w:color w:val="auto"/>
              </w:rPr>
              <w:t>This standard is effective</w:t>
            </w:r>
          </w:p>
        </w:tc>
        <w:tc>
          <w:tcPr>
            <w:tcW w:w="3580" w:type="dxa"/>
            <w:vAlign w:val="bottom"/>
          </w:tcPr>
          <w:p>
            <w:pPr>
              <w:ind w:left="80"/>
              <w:spacing w:after="0"/>
              <w:rPr>
                <w:sz w:val="20"/>
                <w:szCs w:val="20"/>
                <w:color w:val="auto"/>
              </w:rPr>
            </w:pPr>
            <w:r>
              <w:rPr>
                <w:rFonts w:ascii="Arial" w:cs="Arial" w:eastAsia="Arial" w:hAnsi="Arial"/>
                <w:sz w:val="18"/>
                <w:szCs w:val="18"/>
                <w:color w:val="auto"/>
              </w:rPr>
              <w:t>We are continuing to assess the potential</w:t>
            </w:r>
          </w:p>
        </w:tc>
      </w:tr>
      <w:tr>
        <w:trPr>
          <w:trHeight w:val="185"/>
        </w:trPr>
        <w:tc>
          <w:tcPr>
            <w:tcW w:w="1940" w:type="dxa"/>
            <w:vAlign w:val="bottom"/>
          </w:tcPr>
          <w:p>
            <w:pPr>
              <w:ind w:left="40"/>
              <w:spacing w:after="0" w:line="185" w:lineRule="exact"/>
              <w:rPr>
                <w:sz w:val="20"/>
                <w:szCs w:val="20"/>
                <w:color w:val="auto"/>
              </w:rPr>
            </w:pPr>
            <w:r>
              <w:rPr>
                <w:rFonts w:ascii="Arial" w:cs="Arial" w:eastAsia="Arial" w:hAnsi="Arial"/>
                <w:sz w:val="18"/>
                <w:szCs w:val="18"/>
                <w:color w:val="auto"/>
              </w:rPr>
              <w:t>Update 2016-16,</w:t>
            </w:r>
          </w:p>
        </w:tc>
        <w:tc>
          <w:tcPr>
            <w:tcW w:w="3720" w:type="dxa"/>
            <w:vAlign w:val="bottom"/>
          </w:tcPr>
          <w:p>
            <w:pPr>
              <w:ind w:left="160"/>
              <w:spacing w:after="0" w:line="185" w:lineRule="exact"/>
              <w:rPr>
                <w:sz w:val="20"/>
                <w:szCs w:val="20"/>
                <w:color w:val="auto"/>
              </w:rPr>
            </w:pPr>
            <w:r>
              <w:rPr>
                <w:rFonts w:ascii="Arial" w:cs="Arial" w:eastAsia="Arial" w:hAnsi="Arial"/>
                <w:sz w:val="18"/>
                <w:szCs w:val="18"/>
                <w:color w:val="auto"/>
              </w:rPr>
              <w:t>recognize the income tax consequences of</w:t>
            </w:r>
          </w:p>
        </w:tc>
        <w:tc>
          <w:tcPr>
            <w:tcW w:w="2180" w:type="dxa"/>
            <w:vAlign w:val="bottom"/>
          </w:tcPr>
          <w:p>
            <w:pPr>
              <w:ind w:left="100"/>
              <w:spacing w:after="0" w:line="185" w:lineRule="exact"/>
              <w:rPr>
                <w:sz w:val="20"/>
                <w:szCs w:val="20"/>
                <w:color w:val="auto"/>
              </w:rPr>
            </w:pPr>
            <w:r>
              <w:rPr>
                <w:rFonts w:ascii="Arial" w:cs="Arial" w:eastAsia="Arial" w:hAnsi="Arial"/>
                <w:sz w:val="18"/>
                <w:szCs w:val="18"/>
                <w:color w:val="auto"/>
              </w:rPr>
              <w:t>January</w:t>
            </w:r>
          </w:p>
        </w:tc>
        <w:tc>
          <w:tcPr>
            <w:tcW w:w="3580" w:type="dxa"/>
            <w:vAlign w:val="bottom"/>
          </w:tcPr>
          <w:p>
            <w:pPr>
              <w:ind w:left="80"/>
              <w:spacing w:after="0" w:line="185" w:lineRule="exact"/>
              <w:rPr>
                <w:sz w:val="20"/>
                <w:szCs w:val="20"/>
                <w:color w:val="auto"/>
              </w:rPr>
            </w:pPr>
            <w:r>
              <w:rPr>
                <w:rFonts w:ascii="Arial" w:cs="Arial" w:eastAsia="Arial" w:hAnsi="Arial"/>
                <w:sz w:val="18"/>
                <w:szCs w:val="18"/>
                <w:color w:val="auto"/>
              </w:rPr>
              <w:t>impact of this standard on our consolidated</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Income Taxes: Intra-</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intra-entity transfers of assets other than</w:t>
            </w:r>
          </w:p>
        </w:tc>
        <w:tc>
          <w:tcPr>
            <w:tcW w:w="2180" w:type="dxa"/>
            <w:vAlign w:val="bottom"/>
          </w:tcPr>
          <w:p>
            <w:pPr>
              <w:ind w:left="100"/>
              <w:spacing w:after="0" w:line="202" w:lineRule="exact"/>
              <w:rPr>
                <w:sz w:val="20"/>
                <w:szCs w:val="20"/>
                <w:color w:val="auto"/>
              </w:rPr>
            </w:pPr>
            <w:r>
              <w:rPr>
                <w:rFonts w:ascii="Arial" w:cs="Arial" w:eastAsia="Arial" w:hAnsi="Arial"/>
                <w:sz w:val="18"/>
                <w:szCs w:val="18"/>
                <w:color w:val="auto"/>
              </w:rPr>
              <w:t>1, 2018, and we will</w:t>
            </w: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financial statements and currently estimate</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Entity Transfers of</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inventory at the time of transfer. This</w:t>
            </w:r>
          </w:p>
        </w:tc>
        <w:tc>
          <w:tcPr>
            <w:tcW w:w="2180" w:type="dxa"/>
            <w:vAlign w:val="bottom"/>
          </w:tcPr>
          <w:p>
            <w:pPr>
              <w:ind w:left="100"/>
              <w:spacing w:after="0" w:line="202" w:lineRule="exact"/>
              <w:rPr>
                <w:sz w:val="20"/>
                <w:szCs w:val="20"/>
                <w:color w:val="auto"/>
              </w:rPr>
            </w:pPr>
            <w:r>
              <w:rPr>
                <w:rFonts w:ascii="Arial" w:cs="Arial" w:eastAsia="Arial" w:hAnsi="Arial"/>
                <w:sz w:val="18"/>
                <w:szCs w:val="18"/>
                <w:color w:val="auto"/>
              </w:rPr>
              <w:t>adopt on that date.</w:t>
            </w: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that the cumulative effect of initially</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Assets Other Than</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standard requires a modified</w:t>
            </w: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applying the standard would result in an</w:t>
            </w:r>
          </w:p>
        </w:tc>
      </w:tr>
      <w:tr>
        <w:trPr>
          <w:trHeight w:val="221"/>
        </w:trPr>
        <w:tc>
          <w:tcPr>
            <w:tcW w:w="1940" w:type="dxa"/>
            <w:vAlign w:val="bottom"/>
          </w:tcPr>
          <w:p>
            <w:pPr>
              <w:ind w:left="40"/>
              <w:spacing w:after="0"/>
              <w:rPr>
                <w:sz w:val="20"/>
                <w:szCs w:val="20"/>
                <w:color w:val="auto"/>
              </w:rPr>
            </w:pPr>
            <w:r>
              <w:rPr>
                <w:rFonts w:ascii="Arial" w:cs="Arial" w:eastAsia="Arial" w:hAnsi="Arial"/>
                <w:sz w:val="18"/>
                <w:szCs w:val="18"/>
                <w:i w:val="1"/>
                <w:iCs w:val="1"/>
                <w:color w:val="auto"/>
              </w:rPr>
              <w:t>Inventory</w:t>
            </w:r>
          </w:p>
        </w:tc>
        <w:tc>
          <w:tcPr>
            <w:tcW w:w="3720" w:type="dxa"/>
            <w:vAlign w:val="bottom"/>
          </w:tcPr>
          <w:p>
            <w:pPr>
              <w:ind w:left="160"/>
              <w:spacing w:after="0"/>
              <w:rPr>
                <w:sz w:val="20"/>
                <w:szCs w:val="20"/>
                <w:color w:val="auto"/>
              </w:rPr>
            </w:pPr>
            <w:r>
              <w:rPr>
                <w:rFonts w:ascii="Arial" w:cs="Arial" w:eastAsia="Arial" w:hAnsi="Arial"/>
                <w:sz w:val="18"/>
                <w:szCs w:val="18"/>
                <w:color w:val="auto"/>
              </w:rPr>
              <w:t>retrospective approach to adoption.</w:t>
            </w:r>
          </w:p>
        </w:tc>
        <w:tc>
          <w:tcPr>
            <w:tcW w:w="218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increase to deferred tax assets and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opening balance of retained earnings of</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approximately $2 billion on January 1,</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2018. This estimate is subject to change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based upon intra-entity transfers of assets</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other than inventory over the remainder of</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2017 and ongoing assessments of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future deductibility and realizability of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deferred tax assets that would result from</w:t>
            </w:r>
          </w:p>
        </w:tc>
      </w:tr>
      <w:tr>
        <w:trPr>
          <w:trHeight w:val="217"/>
        </w:trPr>
        <w:tc>
          <w:tcPr>
            <w:tcW w:w="1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implementation.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3490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90595"/>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p>
      <w:pPr>
        <w:spacing w:after="0" w:line="35"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2080" w:val="left"/>
        </w:tabs>
        <w:rPr>
          <w:sz w:val="20"/>
          <w:szCs w:val="20"/>
          <w:color w:val="auto"/>
        </w:rPr>
      </w:pPr>
      <w:r>
        <w:rPr>
          <w:rFonts w:ascii="Arial" w:cs="Arial" w:eastAsia="Arial" w:hAnsi="Arial"/>
          <w:sz w:val="18"/>
          <w:szCs w:val="18"/>
          <w:color w:val="auto"/>
        </w:rPr>
        <w:t>Update 2017-07,</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7"/>
          <w:szCs w:val="17"/>
          <w:color w:val="auto"/>
        </w:rPr>
        <w:t>organizations by requiring entities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Retirement Benefits:</w:t>
      </w:r>
      <w:r>
        <w:rPr>
          <w:sz w:val="20"/>
          <w:szCs w:val="20"/>
          <w:color w:val="auto"/>
        </w:rPr>
        <w:tab/>
      </w:r>
      <w:r>
        <w:rPr>
          <w:rFonts w:ascii="Arial" w:cs="Arial" w:eastAsia="Arial" w:hAnsi="Arial"/>
          <w:sz w:val="17"/>
          <w:szCs w:val="17"/>
          <w:color w:val="auto"/>
        </w:rPr>
        <w:t>separate their net periodic pension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Improving the</w:t>
      </w:r>
      <w:r>
        <w:rPr>
          <w:sz w:val="20"/>
          <w:szCs w:val="20"/>
          <w:color w:val="auto"/>
        </w:rPr>
        <w:tab/>
      </w:r>
      <w:r>
        <w:rPr>
          <w:rFonts w:ascii="Arial" w:cs="Arial" w:eastAsia="Arial" w:hAnsi="Arial"/>
          <w:sz w:val="18"/>
          <w:szCs w:val="18"/>
          <w:color w:val="auto"/>
        </w:rPr>
        <w:t>and net periodic postretirement benefit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Presentation of Net</w:t>
      </w:r>
      <w:r>
        <w:rPr>
          <w:sz w:val="20"/>
          <w:szCs w:val="20"/>
          <w:color w:val="auto"/>
        </w:rPr>
        <w:tab/>
      </w:r>
      <w:r>
        <w:rPr>
          <w:rFonts w:ascii="Arial" w:cs="Arial" w:eastAsia="Arial" w:hAnsi="Arial"/>
          <w:sz w:val="18"/>
          <w:szCs w:val="18"/>
          <w:color w:val="auto"/>
        </w:rPr>
        <w:t>into a service cost component and other</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Periodic Pension Cost</w:t>
      </w:r>
      <w:r>
        <w:rPr>
          <w:sz w:val="20"/>
          <w:szCs w:val="20"/>
          <w:color w:val="auto"/>
        </w:rPr>
        <w:tab/>
      </w:r>
      <w:r>
        <w:rPr>
          <w:rFonts w:ascii="Arial" w:cs="Arial" w:eastAsia="Arial" w:hAnsi="Arial"/>
          <w:sz w:val="17"/>
          <w:szCs w:val="17"/>
          <w:color w:val="auto"/>
        </w:rPr>
        <w:t>components. Currently, the costs of the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Net Periodic</w:t>
      </w:r>
      <w:r>
        <w:rPr>
          <w:sz w:val="20"/>
          <w:szCs w:val="20"/>
          <w:color w:val="auto"/>
        </w:rPr>
        <w:tab/>
      </w:r>
      <w:r>
        <w:rPr>
          <w:rFonts w:ascii="Arial" w:cs="Arial" w:eastAsia="Arial" w:hAnsi="Arial"/>
          <w:sz w:val="17"/>
          <w:szCs w:val="17"/>
          <w:color w:val="auto"/>
        </w:rPr>
        <w:t>other components along with the service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Postretirement Benefit</w:t>
      </w:r>
      <w:r>
        <w:rPr>
          <w:sz w:val="20"/>
          <w:szCs w:val="20"/>
          <w:color w:val="auto"/>
        </w:rPr>
        <w:tab/>
      </w:r>
      <w:r>
        <w:rPr>
          <w:rFonts w:ascii="Arial" w:cs="Arial" w:eastAsia="Arial" w:hAnsi="Arial"/>
          <w:sz w:val="17"/>
          <w:szCs w:val="17"/>
          <w:color w:val="auto"/>
        </w:rPr>
        <w:t>cost component are classified based upon</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Cost</w:t>
      </w:r>
      <w:r>
        <w:rPr>
          <w:sz w:val="20"/>
          <w:szCs w:val="20"/>
          <w:color w:val="auto"/>
        </w:rPr>
        <w:tab/>
      </w:r>
      <w:r>
        <w:rPr>
          <w:rFonts w:ascii="Arial" w:cs="Arial" w:eastAsia="Arial" w:hAnsi="Arial"/>
          <w:sz w:val="18"/>
          <w:szCs w:val="18"/>
          <w:color w:val="auto"/>
        </w:rPr>
        <w:t>the function of the employee. This standard</w:t>
      </w:r>
    </w:p>
    <w:p>
      <w:pPr>
        <w:ind w:left="2100"/>
        <w:spacing w:after="0" w:line="235" w:lineRule="auto"/>
        <w:rPr>
          <w:sz w:val="20"/>
          <w:szCs w:val="20"/>
          <w:color w:val="auto"/>
        </w:rPr>
      </w:pPr>
      <w:r>
        <w:rPr>
          <w:rFonts w:ascii="Arial" w:cs="Arial" w:eastAsia="Arial" w:hAnsi="Arial"/>
          <w:sz w:val="18"/>
          <w:szCs w:val="18"/>
          <w:color w:val="auto"/>
        </w:rPr>
        <w:t>will require entities to classify the service cost component in the same financial statement line item or items as other compensation costs arising from services rendered by pertinent employees. The other components of net benefit cost will be presented separately from the line items that include the service cost component. When applicable, the service cost component will be the only component eligible for capitalization. An entity should apply the new standard retrospectively for the classification of the service cost and other components and prospectively for the capitalization of the service cost component.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This standard is effective January 1, 2018, with early adoption permitted. We intend to adopt this standard on January 1, 2018.</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will be presented in other–net, (income) expense. We do not expect the application of the new standard to have a material impact on consolidated net income either at initial implementation or on an ongoing basis.</w:t>
      </w:r>
    </w:p>
    <w:p>
      <w:pPr>
        <w:spacing w:after="0" w:line="3636" w:lineRule="exact"/>
        <w:rPr>
          <w:sz w:val="20"/>
          <w:szCs w:val="20"/>
          <w:color w:val="auto"/>
        </w:rPr>
      </w:pPr>
    </w:p>
    <w:p>
      <w:pPr>
        <w:sectPr>
          <w:pgSz w:w="11900" w:h="16838" w:orient="portrait"/>
          <w:cols w:equalWidth="0" w:num="3">
            <w:col w:w="5560" w:space="200"/>
            <w:col w:w="1980" w:space="180"/>
            <w:col w:w="3500"/>
          </w:cols>
          <w:pgMar w:left="240" w:top="910" w:right="2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91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are included in our consolidated condensed financial statements from the date of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acquisition of BIVIVP, we also acquired an asset in development in the three months ended March 31, 2017, which is 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in this note below in Asset Acquisition. Upon acquisition, the acquired in-process research and development (IPR&amp;D) charge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$857.6 million related to this product was immediately written off as an expense because the product had no alternative future use. There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acquired IPR&amp;D charges for the three months ended March 31,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acquired BIVIVP in an all-cash transaction for $882.1 million. Under the terms of the agreement, we acquired a manufacturing and research and development site, a U.S. vaccine portfolio including vaccines used for the treatment of bordetella, Lyme disease, rabies, and parvovirus, among others, as well as several pipeline assets. The accounting impact of this acquisition and the results of the operations are included in our consolidated condensed financial statements beginning on January 3, 2017.</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access to BIVIVP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156.2</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697.7</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30"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We anticipate that the goodwill associated with this acquisition will be deductible for tax purposes.</w:t>
      </w:r>
    </w:p>
    <w:p>
      <w:pPr>
        <w:spacing w:after="0" w:line="9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consolidated condensed statement of operations for the three months ended March 31, 2017 includes BIVIVP revenue of $40.8 million. BIVIVP has been partially integrated into our animal health products segment and as a result of these integration efforts, certain parts of the animal health business were operating on a combined basis, and we could not distinguish the operations between BIVIVP and our legacy animal health products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Asset Acquisition</w:t>
      </w:r>
    </w:p>
    <w:p>
      <w:pPr>
        <w:spacing w:after="0" w:line="139"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following table and narrative summarizes our asset acquisition during the three months ended March 31, 2017. There was no asset acquisition which resulted in acquired IPR&amp;D expense during the three months ended March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Acquired IPR&amp;D</w:t>
            </w:r>
          </w:p>
        </w:tc>
      </w:tr>
      <w:tr>
        <w:trPr>
          <w:trHeight w:val="20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Counterparty</w:t>
            </w:r>
          </w:p>
        </w:tc>
        <w:tc>
          <w:tcPr>
            <w:tcW w:w="3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Compound(s) or Therapy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Expense</w:t>
            </w:r>
          </w:p>
        </w:tc>
      </w:tr>
      <w:tr>
        <w:trPr>
          <w:trHeight w:val="277"/>
        </w:trPr>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CoLucid Pharmaceuticals, Inc. (CoLucid)</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Oral therapy for the acute treatment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March 2017</w:t>
            </w:r>
          </w:p>
        </w:tc>
        <w:tc>
          <w:tcPr>
            <w:tcW w:w="154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98"/>
              </w:rPr>
              <w:t>Phase III</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857.6</w:t>
            </w:r>
          </w:p>
        </w:tc>
      </w:tr>
      <w:tr>
        <w:trPr>
          <w:trHeight w:val="176"/>
        </w:trPr>
        <w:tc>
          <w:tcPr>
            <w:tcW w:w="3320" w:type="dxa"/>
            <w:vAlign w:val="bottom"/>
            <w:shd w:val="clear" w:color="auto" w:fill="CCEEFF"/>
          </w:tcPr>
          <w:p>
            <w:pPr>
              <w:spacing w:after="0"/>
              <w:rPr>
                <w:sz w:val="15"/>
                <w:szCs w:val="15"/>
                <w:color w:val="auto"/>
              </w:rPr>
            </w:pPr>
          </w:p>
        </w:tc>
        <w:tc>
          <w:tcPr>
            <w:tcW w:w="30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of migraine - lasmiditan</w:t>
            </w:r>
          </w:p>
        </w:tc>
        <w:tc>
          <w:tcPr>
            <w:tcW w:w="17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bl>
    <w:p>
      <w:pPr>
        <w:spacing w:after="0" w:line="12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11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March 2017, we acquired CoLucid, including its Phase III molecule, lasmiditan. Under the terms of the agreement, we acquired all shares of CoLucid for a cash purchase price of $831.8 million, net of cash acquired, plus net accrued liabilities assumed of $25.8 million. Substantially all of the value of CoLucid is related to lasmiditan, its only significant asset. The acquired IPR&amp;D expense is not tax deductible.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700" w:val="left"/>
          <w:tab w:leader="none" w:pos="10380" w:val="left"/>
          <w:tab w:leader="none" w:pos="10840" w:val="left"/>
        </w:tabs>
        <w:rPr>
          <w:sz w:val="20"/>
          <w:szCs w:val="20"/>
          <w:color w:val="auto"/>
        </w:rPr>
      </w:pPr>
      <w:r>
        <w:rPr>
          <w:rFonts w:ascii="Arial" w:cs="Arial" w:eastAsia="Arial" w:hAnsi="Arial"/>
          <w:sz w:val="18"/>
          <w:szCs w:val="18"/>
          <w:color w:val="auto"/>
        </w:rPr>
        <w:t>Collaboration and other revenue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240.4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182.3</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800" w:val="left"/>
          <w:tab w:leader="none" w:pos="10380" w:val="left"/>
          <w:tab w:leader="none" w:pos="10940" w:val="left"/>
        </w:tabs>
        <w:rPr>
          <w:sz w:val="20"/>
          <w:szCs w:val="20"/>
          <w:color w:val="auto"/>
        </w:rPr>
      </w:pPr>
      <w:r>
        <w:rPr>
          <w:rFonts w:ascii="Arial" w:cs="Arial" w:eastAsia="Arial" w:hAnsi="Arial"/>
          <w:sz w:val="18"/>
          <w:szCs w:val="18"/>
          <w:color w:val="auto"/>
        </w:rPr>
        <w:t>Marketing, selling, and administrative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49.0</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3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Milestones</w:t>
            </w:r>
          </w:p>
        </w:tc>
        <w:tc>
          <w:tcPr>
            <w:tcW w:w="1240" w:type="dxa"/>
            <w:vAlign w:val="bottom"/>
          </w:tcPr>
          <w:p>
            <w:pPr>
              <w:spacing w:after="0"/>
              <w:rPr>
                <w:sz w:val="14"/>
                <w:szCs w:val="14"/>
                <w:color w:val="auto"/>
              </w:rPr>
            </w:pPr>
          </w:p>
        </w:tc>
      </w:tr>
      <w:tr>
        <w:trPr>
          <w:trHeight w:val="202"/>
        </w:trPr>
        <w:tc>
          <w:tcPr>
            <w:tcW w:w="25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198"/>
        </w:trPr>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Product Family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Japan</w:t>
            </w:r>
          </w:p>
        </w:tc>
        <w:tc>
          <w:tcPr>
            <w:tcW w:w="1560" w:type="dxa"/>
            <w:vAlign w:val="bottom"/>
          </w:tcPr>
          <w:p>
            <w:pPr>
              <w:jc w:val="center"/>
              <w:ind w:left="54"/>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66"/>
        </w:trPr>
        <w:tc>
          <w:tcPr>
            <w:tcW w:w="25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14"/>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2011</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2011</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0"/>
        </w:trPr>
        <w:tc>
          <w:tcPr>
            <w:tcW w:w="2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
              <w:spacing w:after="0" w:line="240" w:lineRule="exact"/>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446.4</w:t>
            </w: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14"/>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0"/>
        </w:trPr>
        <w:tc>
          <w:tcPr>
            <w:tcW w:w="2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
              <w:spacing w:after="0" w:line="240" w:lineRule="exact"/>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299.5</w:t>
            </w: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0"/>
        </w:trPr>
        <w:tc>
          <w:tcPr>
            <w:tcW w:w="25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2016</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2015</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84"/>
        </w:trPr>
        <w:tc>
          <w:tcPr>
            <w:tcW w:w="2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0" w:hanging="172"/>
        <w:spacing w:after="0" w:line="225" w:lineRule="auto"/>
        <w:tabs>
          <w:tab w:leader="none" w:pos="167"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initial amounts that were (deferred) or capitalized from the start of this collaboration through the end of the reporting period.</w:t>
      </w:r>
    </w:p>
    <w:p>
      <w:pPr>
        <w:spacing w:after="0" w:line="9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w:t>
      </w:r>
    </w:p>
    <w:p>
      <w:pPr>
        <w:spacing w:after="0" w:line="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4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113.0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Jardiance</w:t>
            </w:r>
          </w:p>
        </w:tc>
        <w:tc>
          <w:tcPr>
            <w:tcW w:w="444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74.0</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38.2</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4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46.0</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Collaboration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341"/>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741"/>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341"/>
        <w:spacing w:after="0"/>
        <w:tabs>
          <w:tab w:leader="none" w:pos="1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72" w:lineRule="exact"/>
        <w:rPr>
          <w:sz w:val="20"/>
          <w:szCs w:val="20"/>
          <w:color w:val="auto"/>
        </w:rPr>
      </w:pPr>
    </w:p>
    <w:p>
      <w:pPr>
        <w:ind w:left="461" w:hanging="461"/>
        <w:spacing w:after="0"/>
        <w:tabs>
          <w:tab w:leader="none" w:pos="46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131.3   </w:t>
      </w:r>
      <w:r>
        <w:rPr>
          <w:rFonts w:ascii="Arial" w:cs="Arial" w:eastAsia="Arial" w:hAnsi="Arial"/>
          <w:sz w:val="18"/>
          <w:szCs w:val="18"/>
          <w:color w:val="auto"/>
        </w:rPr>
        <w:t>$    141.5</w:t>
      </w:r>
    </w:p>
    <w:p>
      <w:pPr>
        <w:spacing w:after="0" w:line="63" w:lineRule="exact"/>
        <w:rPr>
          <w:sz w:val="20"/>
          <w:szCs w:val="20"/>
          <w:color w:val="auto"/>
        </w:rPr>
      </w:pPr>
    </w:p>
    <w:p>
      <w:pPr>
        <w:jc w:val="right"/>
        <w:ind w:right="100"/>
        <w:spacing w:after="0"/>
        <w:tabs>
          <w:tab w:leader="none" w:pos="3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26.6</w:t>
      </w:r>
    </w:p>
    <w:p>
      <w:pPr>
        <w:spacing w:after="0" w:line="63" w:lineRule="exact"/>
        <w:rPr>
          <w:sz w:val="20"/>
          <w:szCs w:val="20"/>
          <w:color w:val="auto"/>
        </w:rPr>
      </w:pPr>
    </w:p>
    <w:p>
      <w:pPr>
        <w:ind w:left="1"/>
        <w:spacing w:after="0"/>
        <w:tabs>
          <w:tab w:leader="none" w:pos="440" w:val="left"/>
          <w:tab w:leader="none" w:pos="1120" w:val="left"/>
          <w:tab w:leader="none" w:pos="1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154.4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168.1</w:t>
      </w:r>
    </w:p>
    <w:p>
      <w:pPr>
        <w:spacing w:after="0" w:line="557" w:lineRule="exact"/>
        <w:rPr>
          <w:sz w:val="20"/>
          <w:szCs w:val="20"/>
          <w:color w:val="auto"/>
        </w:rPr>
      </w:pPr>
    </w:p>
    <w:p>
      <w:pPr>
        <w:sectPr>
          <w:pgSz w:w="11900" w:h="16838" w:orient="portrait"/>
          <w:cols w:equalWidth="0" w:num="2">
            <w:col w:w="8539" w:space="720"/>
            <w:col w:w="2161"/>
          </w:cols>
          <w:pgMar w:left="240" w:top="706" w:right="239" w:bottom="1440" w:gutter="0" w:footer="0" w:header="0"/>
          <w:type w:val="continuous"/>
        </w:sectPr>
      </w:pPr>
    </w:p>
    <w:p>
      <w:pPr>
        <w:ind w:right="60"/>
        <w:spacing w:after="0" w:line="252"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29"/>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5"/>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94"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700" w:val="left"/>
          <w:tab w:leader="none" w:pos="10380" w:val="left"/>
          <w:tab w:leader="none" w:pos="108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Olumiant</w:t>
      </w:r>
      <w:r>
        <w:rPr>
          <w:rFonts w:ascii="Arial" w:cs="Arial" w:eastAsia="Arial" w:hAnsi="Arial"/>
          <w:sz w:val="21"/>
          <w:szCs w:val="21"/>
          <w:color w:val="auto"/>
          <w:vertAlign w:val="superscript"/>
        </w:rPr>
        <w:t>®</w:t>
      </w:r>
    </w:p>
    <w:p>
      <w:pPr>
        <w:spacing w:after="0" w:line="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(trade name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and psoriatic arthritis in 2010 and 2017, respectively. The agreement calls for payments by us to Incyte associated with certain development, success-based regulatory, and sales-based milestones. In the first quarter of 2016, we incurred milestone-related expenses of $55.0 million in connection with regulatory submissions in the U.S. and Europe which were recorded as research and development expense. In the first quarter of 2017, we capitalized as an intangible asset a $65.0 million milestone in connection with the regulatory approval in Europe, which is being amortized to cost of sales over the term of the collaboration. As of March 31, 2017, Incyte is eligible to receive up to $295.0 million of additional payments from us contingent upon certain development and success-based regulatory milestones, of which $115.0 million relates to regulatory decisions for a first indication. Incyte is also eligible to receive up to $150.0 million of potential sales-based milestones.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U.S. Food and Drug Administration's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As of March 31, 2017, Pfizer is eligible to receive up to $350.0 million in success-based regulatory milestones and up to $1.23 billion in a series of sales-based milestones, contingent upon the commercial success of tanezumab.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Lanabecestat</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September 2014, we entered into a collaboration agreement with AstraZeneca for the worldwide co-development and co-commercialization of AstraZeneca’s lanabecestat,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$100.0 million developmental milestone, which was recorded as research and development expense in the second quarter of 2016. As of March 31, 2017, AstraZeneca is eligible to receive up to $350.0 million of additional payments from us contingent upon the achievement of certain development and success-based regulatory milestones.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0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2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113.1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55.6</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168.7</w:t>
            </w:r>
          </w:p>
        </w:tc>
        <w:tc>
          <w:tcPr>
            <w:tcW w:w="34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9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45.2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121.9</w:t>
            </w:r>
          </w:p>
        </w:tc>
      </w:tr>
      <w:tr>
        <w:trPr>
          <w:trHeight w:val="27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213.9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131.4</w:t>
            </w:r>
          </w:p>
        </w:tc>
      </w:tr>
    </w:tbl>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Severance costs recognized during the three months ended March 31, 2017 incurred as a result of actions taken to reduce our cost structure, as well as the integration of Novartis Animal Health (Novartis AH). Severance costs recognized during the three months ended March 31, 2016 related primarily to our decision to close an animal health manufacturing plant in Ireland as well as the integration of Novartis AH. Substantially all of the severance costs incurred during the three months ended March 31, 2017 are expected to be paid in the next 12 months.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Asset impairment and other special charges recognized during the three months ended March 31, 2017 resulted primarily from integration costs of Novartis AH, as well as asset impairments due to site closures. Asset impairment and other special charges recognized during the three months ended March 31, 2016 resulted primarily from $87.2 million of asset impairment and other charges related to our decision to close an animal health manufacturing plant in Ireland. The manufacturing plant was written down to its estimated fair value, which was based primarily on recent sales of similar assets. The remaining asset impairment and other special charges recognized during the three months ended March 31, 2016 consisted of integration costs related to our acquisition of Novartis AH.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2017, we had outstanding foreign currency forward commitments to purchase 4.16 billion U.S. dollars and sell 3.89 billion euro, commitments to purchase 3.47 billion euro and sell 3.75 billion U.S. dollars, commitments to purchase 587.1 million U.S. dollars and sell 65.96 billion Japanese yen, commitments to purchase 269.3 million British pounds and sell 310.1 million euro, and commitments to purchase 224.4 million U.S. dollars and sell 180.6 million British pounds, which will all settle within 30 days.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$3.42 billion and $3.34 billion as of March 31, 2017 and December 31, 2016, respectively,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2017, substantially all of our total long-term debt is at a fixed rate. We have converted approximately 25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75.3</w:t>
            </w: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7.5</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63"/>
        </w:trPr>
        <w:tc>
          <w:tcPr>
            <w:tcW w:w="90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 instruments</w:t>
            </w:r>
          </w:p>
        </w:tc>
        <w:tc>
          <w:tcPr>
            <w:tcW w:w="400" w:type="dxa"/>
            <w:vAlign w:val="bottom"/>
          </w:tcPr>
          <w:p>
            <w:pPr>
              <w:spacing w:after="0"/>
              <w:rPr>
                <w:sz w:val="22"/>
                <w:szCs w:val="22"/>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37.2</w:t>
            </w:r>
          </w:p>
        </w:tc>
        <w:tc>
          <w:tcPr>
            <w:tcW w:w="3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13.3</w:t>
            </w:r>
          </w:p>
        </w:tc>
      </w:tr>
    </w:tbl>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March 31, 2017 and 2016,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67"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3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22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3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(78.9)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7"/>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3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0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$15.1 million of pretax net losses on cash flow hedges of the variability in expected future interest payments on our floating rate debt.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tables summarize certain fair value information at March 31, 2017 and December 31, 2016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990.5</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990.5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916.8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73.7</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990.5</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98.9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99.0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98.9</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784.7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784.4</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784.7</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784.7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2.1</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2.1</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2.1</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888.7</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359.1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363.2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359.1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359.1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3,188.0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3,191.3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3,188.0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3,188.0</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171.5</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173.6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171.5</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171.5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513.4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514.3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513.4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513.4</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167.1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83.3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167.1</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167.1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340.1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78.3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340.1</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340.1</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558.5</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5,297.7</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2,986.8</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2,986.8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2,699.4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287.4</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2,986.8</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232.5</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1,219.2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1,219.1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1,219.2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1,219.2</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0.5</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1,456.5</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318.9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323.8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318.9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318.9</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3,062.2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3,062.2</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3,062.2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183.1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185.4</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183.1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183.1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502.7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502.7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502.7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153.7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77.6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153.7</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153.7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418.2</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568.7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5,207.5</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42"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(1,799.7)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(1,798.8)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(1,798.8)</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(1,299.3)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(1,299.3)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(1,299.3)</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(8,447.1)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(8,760.8)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(8,760.8)</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(9,005.9)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(9,419.1)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(9,419.1)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7"/>
                <w:szCs w:val="17"/>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28.9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28.9</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28.9</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w:t>
            </w:r>
          </w:p>
        </w:tc>
        <w:tc>
          <w:tcPr>
            <w:tcW w:w="20" w:type="dxa"/>
            <w:vAlign w:val="bottom"/>
            <w:shd w:val="clear" w:color="auto" w:fill="000000"/>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21.3</w:t>
            </w:r>
          </w:p>
        </w:tc>
        <w:tc>
          <w:tcPr>
            <w:tcW w:w="2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2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(213.8)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20" w:type="dxa"/>
            <w:vAlign w:val="bottom"/>
          </w:tcPr>
          <w:p>
            <w:pPr>
              <w:spacing w:after="0"/>
              <w:rPr>
                <w:sz w:val="23"/>
                <w:szCs w:val="23"/>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(189.4)</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(189.4)</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(189.4)</w:t>
            </w:r>
          </w:p>
        </w:tc>
        <w:tc>
          <w:tcPr>
            <w:tcW w:w="20" w:type="dxa"/>
            <w:vAlign w:val="bottom"/>
          </w:tcPr>
          <w:p>
            <w:pPr>
              <w:spacing w:after="0"/>
              <w:rPr>
                <w:sz w:val="22"/>
                <w:szCs w:val="22"/>
                <w:color w:val="auto"/>
              </w:rPr>
            </w:pPr>
          </w:p>
        </w:tc>
      </w:tr>
      <w:tr>
        <w:trPr>
          <w:trHeight w:val="331"/>
        </w:trPr>
        <w:tc>
          <w:tcPr>
            <w:tcW w:w="4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(215.9)</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24"/>
                <w:szCs w:val="24"/>
                <w:color w:val="auto"/>
              </w:rPr>
            </w:pPr>
          </w:p>
        </w:tc>
      </w:tr>
    </w:tbl>
    <w:p>
      <w:pPr>
        <w:spacing w:after="0" w:line="7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liabilities primarily relate to the Erbitux arrangement with BMS discussed in Note 4.</w:t>
      </w:r>
    </w:p>
    <w:p>
      <w:pPr>
        <w:spacing w:after="0" w:line="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910" w:right="219" w:bottom="1440" w:gutter="0" w:footer="0" w:header="0"/>
        </w:sectPr>
      </w:pPr>
    </w:p>
    <w:bookmarkStart w:id="21" w:name="page22"/>
    <w:bookmarkEnd w:id="21"/>
    <w:p>
      <w:pPr>
        <w:ind w:right="80"/>
        <w:spacing w:after="0" w:line="262" w:lineRule="auto"/>
        <w:rPr>
          <w:sz w:val="20"/>
          <w:szCs w:val="20"/>
          <w:color w:val="auto"/>
        </w:rPr>
      </w:pPr>
      <w:r>
        <w:rPr>
          <w:rFonts w:ascii="Arial" w:cs="Arial" w:eastAsia="Arial" w:hAnsi="Arial"/>
          <w:sz w:val="18"/>
          <w:szCs w:val="18"/>
          <w:color w:val="auto"/>
        </w:rPr>
        <w:t>inputs, including the investments' cost adjusted for impairments and price changes from orderly transactions. The fair values of cost and equity method investments are not readily available.</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three months ended March 31, 2017 was due primarily to cash payments of $49.9 million related to Erbitux. The change in the fair value of the contingent consideration liabilities recognized in earnings during the three months ended March 31, 2017 and 2016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5,118.5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886.6</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3,871.7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209.0</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352.6</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24.6</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2,173.7</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1,869.7</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3,030.5</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3,262.3</w:t>
            </w:r>
          </w:p>
        </w:tc>
      </w:tr>
    </w:tbl>
    <w:p>
      <w:pPr>
        <w:spacing w:after="0" w:line="12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recognized during the three months ended March 31, 2016 were $25.7 million. There were no other-than-temporary impairment losses in the three months ended March 31, 2017.</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March 31, 2017, the securities in an unrealized loss position include primarily fixed-rate debt securities of varying maturities, which are sensitive to changes in the yield curve and other market conditions. Approximately 95 percent of the fixed-rate debt securities in a loss position are investment-grade debt securities. As of March 31, 2017,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44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1,092.5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726.4</w:t>
            </w:r>
          </w:p>
        </w:tc>
      </w:tr>
      <w:tr>
        <w:trPr>
          <w:trHeight w:val="263"/>
        </w:trPr>
        <w:tc>
          <w:tcPr>
            <w:tcW w:w="588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4400" w:type="dxa"/>
            <w:vAlign w:val="bottom"/>
          </w:tcPr>
          <w:p>
            <w:pPr>
              <w:jc w:val="right"/>
              <w:ind w:right="34"/>
              <w:spacing w:after="0"/>
              <w:rPr>
                <w:sz w:val="20"/>
                <w:szCs w:val="20"/>
                <w:color w:val="auto"/>
              </w:rPr>
            </w:pPr>
            <w:r>
              <w:rPr>
                <w:rFonts w:ascii="Arial" w:cs="Arial" w:eastAsia="Arial" w:hAnsi="Arial"/>
                <w:sz w:val="18"/>
                <w:szCs w:val="18"/>
                <w:b w:val="1"/>
                <w:bCs w:val="1"/>
                <w:color w:val="auto"/>
              </w:rPr>
              <w:t>51.7</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44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interest in the underlying accounts receivable once sold. We derecognized $652.0 million and $661.6 million of accounts receivable as of March 31, 2017 and December 31, 2016, respectively, under these factoring arrangements. The cost of factoring such accounts receivable on our consolidated condensed results of operations for the three months ended March 31, 2017 and 2016 was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three months ended March 31, 2017 and 2016, we repurchased $60.0 million and $300.1 million of shares, respectively, associated with our $5.00 billion share repurchase program announced in October 2013. As of March 31, 2017, there were $2.35 billion of shares remaining in that program. Our share repurchases are facilitated through payments to a financial institution that purchases the shares on our behalf. As of December 31, 2016, we had paid $60.0 million to a financial institution for shares that were subsequently repurchased in the first quarter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first three months of 2017, we incurred $172.0 million of income tax expense, despite earning $61.2 million of income before income taxes, as a result of the nondeductible $857.6 million acquired IPR&amp;D charge for the acquisition of CoLucid.</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2016, we completed and effectively settled the U.S. examination of tax years 2010-2012. As a result of this resolution, our gross uncertain tax positions were reduced by approximately $ 140 million, and our consolidated condensed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Because the examination of years 2013-2015 is still in the early stages, the resolution of matters in this audit period will likely extend beyond the next 12 months.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p>
      <w:pPr>
        <w:jc w:val="right"/>
        <w:ind w:right="38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26035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p>
      <w:pPr>
        <w:ind w:left="9080"/>
        <w:spacing w:after="0"/>
        <w:tabs>
          <w:tab w:leader="none" w:pos="10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benefit cost:</w:t>
      </w:r>
    </w:p>
    <w:p>
      <w:pPr>
        <w:sectPr>
          <w:pgSz w:w="11900" w:h="16838" w:orient="portrait"/>
          <w:cols w:equalWidth="0" w:num="1">
            <w:col w:w="11420"/>
          </w:cols>
          <w:pgMar w:left="240" w:top="576" w:right="239" w:bottom="1440" w:gutter="0" w:footer="0" w:header="0"/>
        </w:sectPr>
      </w:pP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Amortization of prior service cost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Recognized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71.3</w:t>
      </w:r>
    </w:p>
    <w:p>
      <w:pPr>
        <w:spacing w:after="0" w:line="63" w:lineRule="exact"/>
        <w:rPr>
          <w:sz w:val="20"/>
          <w:szCs w:val="20"/>
          <w:color w:val="auto"/>
        </w:rPr>
      </w:pPr>
    </w:p>
    <w:p>
      <w:pPr>
        <w:ind w:left="800"/>
        <w:spacing w:after="0"/>
        <w:tabs>
          <w:tab w:leader="none" w:pos="2260" w:val="left"/>
        </w:tabs>
        <w:rPr>
          <w:sz w:val="20"/>
          <w:szCs w:val="20"/>
          <w:color w:val="auto"/>
        </w:rPr>
      </w:pPr>
      <w:r>
        <w:rPr>
          <w:rFonts w:ascii="Arial" w:cs="Arial" w:eastAsia="Arial" w:hAnsi="Arial"/>
          <w:sz w:val="18"/>
          <w:szCs w:val="18"/>
          <w:b w:val="1"/>
          <w:bCs w:val="1"/>
          <w:color w:val="auto"/>
        </w:rPr>
        <w:t>102.4</w:t>
      </w:r>
      <w:r>
        <w:rPr>
          <w:sz w:val="20"/>
          <w:szCs w:val="20"/>
          <w:color w:val="auto"/>
        </w:rPr>
        <w:tab/>
      </w:r>
      <w:r>
        <w:rPr>
          <w:rFonts w:ascii="Arial" w:cs="Arial" w:eastAsia="Arial" w:hAnsi="Arial"/>
          <w:sz w:val="18"/>
          <w:szCs w:val="18"/>
          <w:color w:val="auto"/>
        </w:rPr>
        <w:t>105.1</w:t>
      </w:r>
    </w:p>
    <w:p>
      <w:pPr>
        <w:spacing w:after="0" w:line="63" w:lineRule="exact"/>
        <w:rPr>
          <w:sz w:val="20"/>
          <w:szCs w:val="20"/>
          <w:color w:val="auto"/>
        </w:rPr>
      </w:pPr>
    </w:p>
    <w:p>
      <w:pPr>
        <w:jc w:val="right"/>
        <w:ind w:right="40"/>
        <w:spacing w:after="0"/>
        <w:tabs>
          <w:tab w:leader="none" w:pos="560" w:val="left"/>
        </w:tabs>
        <w:rPr>
          <w:sz w:val="20"/>
          <w:szCs w:val="20"/>
          <w:color w:val="auto"/>
        </w:rPr>
      </w:pPr>
      <w:r>
        <w:rPr>
          <w:rFonts w:ascii="Arial" w:cs="Arial" w:eastAsia="Arial" w:hAnsi="Arial"/>
          <w:sz w:val="18"/>
          <w:szCs w:val="18"/>
          <w:b w:val="1"/>
          <w:bCs w:val="1"/>
          <w:color w:val="auto"/>
        </w:rPr>
        <w:t>(194.0)</w:t>
      </w:r>
      <w:r>
        <w:rPr>
          <w:sz w:val="20"/>
          <w:szCs w:val="20"/>
          <w:color w:val="auto"/>
        </w:rPr>
        <w:tab/>
      </w:r>
      <w:r>
        <w:rPr>
          <w:rFonts w:ascii="Arial" w:cs="Arial" w:eastAsia="Arial" w:hAnsi="Arial"/>
          <w:sz w:val="18"/>
          <w:szCs w:val="18"/>
          <w:color w:val="auto"/>
        </w:rPr>
        <w:t>(189.6)</w:t>
      </w:r>
    </w:p>
    <w:p>
      <w:pPr>
        <w:spacing w:after="0" w:line="63" w:lineRule="exact"/>
        <w:rPr>
          <w:sz w:val="20"/>
          <w:szCs w:val="20"/>
          <w:color w:val="auto"/>
        </w:rPr>
      </w:pPr>
    </w:p>
    <w:p>
      <w:pPr>
        <w:ind w:left="1000"/>
        <w:spacing w:after="0"/>
        <w:tabs>
          <w:tab w:leader="none" w:pos="2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6.0</w:t>
      </w:r>
    </w:p>
    <w:p>
      <w:pPr>
        <w:spacing w:after="0" w:line="63"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b w:val="1"/>
          <w:bCs w:val="1"/>
          <w:color w:val="auto"/>
        </w:rPr>
        <w:t>72.7</w:t>
      </w:r>
      <w:r>
        <w:rPr>
          <w:sz w:val="20"/>
          <w:szCs w:val="20"/>
          <w:color w:val="auto"/>
        </w:rPr>
        <w:tab/>
      </w:r>
      <w:r>
        <w:rPr>
          <w:rFonts w:ascii="Arial" w:cs="Arial" w:eastAsia="Arial" w:hAnsi="Arial"/>
          <w:sz w:val="18"/>
          <w:szCs w:val="18"/>
          <w:color w:val="auto"/>
        </w:rPr>
        <w:t>68.3</w:t>
      </w:r>
    </w:p>
    <w:p>
      <w:pPr>
        <w:spacing w:after="0" w:line="77"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61.1</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Retiree Health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818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180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7860" w:space="720"/>
            <w:col w:w="284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13.0</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(40.3)</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(22.5)</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r>
      <w:tr>
        <w:trPr>
          <w:trHeight w:val="27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(34.5)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bl>
    <w:p>
      <w:pPr>
        <w:spacing w:after="0" w:line="1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contributed approximately $15 million required to satisfy minimum funding requirements to our defined benefit pension and retiree health benefit plans during the three months ended March 31, 2017. Additional discretionary funding in the aggregate was not material during the three months ended March 31, 2017. During the remainder of 2017, we expect to make contributions to our defined benefit pension and retiree health benefit plans of approximately $35 million to satisfy minimum funding requirements. Additional discretionary funding for the remainder of 2017 is not expected to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In January 2017, the U.S. Court of Appeals for the Federal Circuit affirmed the district court’s decisions concerning validity and infringement. The defendants did not file for writ of certiorari with the U.S. Supreme Court, making the Court of Appeal's decision final.</w:t>
      </w:r>
    </w:p>
    <w:p>
      <w:pPr>
        <w:spacing w:after="0" w:line="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From 2012 through 2017, we filed similar lawsuits against other ANDA defendants seeking a ruling that our patents are valid and infringed. Some of these cases have been stayed pending the outcome of the Teva/APP litigation, and several parties have agreed to be bound by the outcome of the Teva/APP litigation; the remaining cases have been administratively closed.</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have filed lawsuits alleging infringement against Dr. Reddy's Laboratories, Hospira, Inc., and Actavis LLC in response to their alternative forms of pemetrexed products.</w:t>
      </w:r>
    </w:p>
    <w:p>
      <w:pPr>
        <w:spacing w:after="0" w:line="8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In June 2016, the United States Patent and Trademark Office (USPTO) granted petitions by Neptune Generics, LLC and Sandoz Inc.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Several additional generic companies have filed petitions and joined these proceedings. The final written IPR decisions are expected in June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In October 2015 the generic manufacturers withdrew the appeal. As a result, the original EPO decision upholding the patent is now final.</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diluted in saline solution would not infringe the vitamin regimen patents for Alimta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court's decision granting declarations of non-infringement over the Alimta vitamin regimen patents in those countries, ruling that the Alimta vitamin regimen patent would be infringed by commercialization of Actavis' products as proposed to be diluted in saline solution prior to the patent's expiration in June 2021. In February 2016, the U.K. Supreme Court granted our and Actavis' requests for permission to appeal different aspects of the judgment. A hearing took place in April 2017.</w:t>
      </w:r>
    </w:p>
    <w:p>
      <w:pPr>
        <w:spacing w:after="0" w:line="10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parallel proceedings, Actavis returned to the lower court seeking a declaration of non-infringement for a different proposed product diluted in dextrose solution. In February 2016, the trial court ruled that Actavis’ commercialization of this product would not infringe the patent in the U.K., Italy, France, and Spain. We have sought to appeal this ruling.</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Court of Appeal to reconsider infringement based on its judgment.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60" w:right="259" w:bottom="1440" w:gutter="0" w:footer="0" w:header="0"/>
        </w:sectPr>
      </w:pPr>
    </w:p>
    <w:bookmarkStart w:id="25" w:name="page26"/>
    <w:bookmarkEnd w:id="25"/>
    <w:p>
      <w:pPr>
        <w:ind w:right="200"/>
        <w:spacing w:after="0" w:line="254"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a subsidiary of Teva, which had stated its intention to launch a proposed alternative salt form of pemetrexed product diluted in dextrose solution. Hexal has separately filed a challenge to the validity of our vitamin regimen patent before the German Federal Patent court.</w:t>
      </w:r>
    </w:p>
    <w:p>
      <w:pPr>
        <w:spacing w:after="0" w:line="96"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In late 2016, the German courts issued preliminary injunctions against two other companies that had stated their intentions to launch a proposed alternative salt form of pemetrexed product diluted in dextrose solution.</w:t>
      </w:r>
    </w:p>
    <w:p>
      <w:pPr>
        <w:spacing w:after="0" w:line="8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do not anticipate any generic entry into the German market at least until the Court of Appeal proceedings against Actavis considers the issues remanded by the German Federal Supreme Court or the injunctions are lifted.</w:t>
      </w:r>
    </w:p>
    <w:p>
      <w:pPr>
        <w:spacing w:after="0" w:line="8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generic competitors have received approval to market generic versions of pemetrexed in major European markets and generics have launched in two major European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demands for invalidation of our two vitamin regimen patents, involving several companies, have been filed with the Japanese Patent Office (JPO). In November 2015, the JPO issued written decisions in the invalidation trial initiated by Sawai Pharmaceutical Co., Ltd. (Sawai), which had been joined by three other companies, upholding both vitamin regimen patents. In February 2017, the Japan Intellectual Property High Court confirmed the decisions of the JPO and ruled in our favor in the invalidation trials initiated by Sawai. The Japan Intellectual Property High Court’s decision regarding the demand initiated by Sawai is now final. These patents provide intellectual property protection for Alimta until June 2021. The remaining two separate demands are currently suspended but may resume now that the High Court decision relating to the first demand is final.</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Notwithstanding our patents, generic versions of Alimta were approved in Japan starting in February 2016. We do not currently anticipate that generic versions of Alimta will proceed to pricing approval.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alleged that the compound patent for Effient (expiring in April 2017) was invalid. We have entered into a settlement relating to the compound patent litigation and anticipate that a generic version could launch as early as mid-August 2017.</w:t>
      </w:r>
    </w:p>
    <w:p>
      <w:pPr>
        <w:spacing w:after="0" w:line="1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2016, the USPTO determined that the method-of-use patents are invalid. Daiichi Sankyo and Ube have appealed these decisions to the U.S. Court of Appeals for the Federal Circuit. We expect a final decision in late 2017. The consolidated lawsuit is currently stayed with respect to all parties pending the outcome of this appeal.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w:t>
      </w:r>
    </w:p>
    <w:p>
      <w:pPr>
        <w:spacing w:after="0" w:line="9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In April 2015, Takeda announced they will pay approximately $2.4 billion to resolve the vast majority of the U.S. product liability lawsuits involving Actos. Although the vast majority of U.S. product liability lawsuits involving Actos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06" w:right="259" w:bottom="1440" w:gutter="0" w:footer="0" w:header="0"/>
        </w:sectPr>
      </w:pPr>
    </w:p>
    <w:bookmarkStart w:id="26" w:name="page27"/>
    <w:bookmarkEnd w:id="26"/>
    <w:p>
      <w:pPr>
        <w:ind w:right="220"/>
        <w:spacing w:after="0" w:line="253" w:lineRule="auto"/>
        <w:rPr>
          <w:sz w:val="20"/>
          <w:szCs w:val="20"/>
          <w:color w:val="auto"/>
        </w:rPr>
      </w:pPr>
      <w:r>
        <w:rPr>
          <w:rFonts w:ascii="Arial" w:cs="Arial" w:eastAsia="Arial" w:hAnsi="Arial"/>
          <w:sz w:val="18"/>
          <w:szCs w:val="18"/>
          <w:color w:val="auto"/>
        </w:rPr>
        <w:t>are included in the resolution program, there may be additional cases pending against Takeda and us following completion of the resolution program. Our agreement with Takeda calls for Takeda to defend and indemnify us against our losses and expenses with respect to the U.S. litigation arising out of the manufacture, use, or sale of Actos and other related expenses in accordance with the terms of the agreement. We believe we are entitled to full indemnification of our losses and expenses in the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 xml:space="preserve">In October 2012, 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 Oral argument is expected in late 2017.</w:t>
      </w:r>
    </w:p>
    <w:p>
      <w:pPr>
        <w:spacing w:after="0" w:line="10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w:t>
      </w:r>
    </w:p>
    <w:p>
      <w:pPr>
        <w:spacing w:after="0" w:line="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reached a settlement framework which provides for a comprehensive resolution of nearly all of these personal injury claims, filed or unfiled, alleging injuries from discontinuing treatment with Cymbalta. There can be no assurances, however, that a final settlement will be reached.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$315 million as of March 31, 2017) plus interest. We strongly disagree with the decision and filed an appeal in May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06" w:right="259" w:bottom="1440" w:gutter="0" w:footer="0" w:header="0"/>
        </w:sectPr>
      </w:pPr>
    </w:p>
    <w:bookmarkStart w:id="27" w:name="page28"/>
    <w:bookmarkEnd w:id="27"/>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(1,867.3)</w:t>
            </w: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218.6</w:t>
            </w: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(11.8)</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w:t>
            </w:r>
          </w:p>
        </w:tc>
        <w:tc>
          <w:tcPr>
            <w:tcW w:w="22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189.9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(32.8)</w:t>
            </w:r>
          </w:p>
        </w:tc>
        <w:tc>
          <w:tcPr>
            <w:tcW w:w="260" w:type="dxa"/>
            <w:vAlign w:val="bottom"/>
          </w:tcPr>
          <w:p>
            <w:pPr>
              <w:spacing w:after="0"/>
              <w:rPr>
                <w:sz w:val="19"/>
                <w:szCs w:val="19"/>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39.1</w:t>
            </w:r>
          </w:p>
        </w:tc>
        <w:tc>
          <w:tcPr>
            <w:tcW w:w="220" w:type="dxa"/>
            <w:vAlign w:val="bottom"/>
          </w:tcPr>
          <w:p>
            <w:pPr>
              <w:spacing w:after="0"/>
              <w:rPr>
                <w:sz w:val="19"/>
                <w:szCs w:val="19"/>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218.6</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(44.6)</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22.2</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198.7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March 31, 2017 </w:t>
            </w:r>
            <w:r>
              <w:rPr>
                <w:rFonts w:ascii="Arial" w:cs="Arial" w:eastAsia="Arial" w:hAnsi="Arial"/>
                <w:sz w:val="21"/>
                <w:szCs w:val="21"/>
                <w:color w:val="auto"/>
                <w:vertAlign w:val="superscript"/>
              </w:rPr>
              <w:t>(2)</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(1,648.7)</w:t>
            </w:r>
          </w:p>
        </w:tc>
        <w:tc>
          <w:tcPr>
            <w:tcW w:w="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179.4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(5,027.1)</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0" w:type="dxa"/>
            <w:vAlign w:val="bottom"/>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2016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(1,360.2)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74.5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March 31, 2016 </w:t>
            </w:r>
            <w:r>
              <w:rPr>
                <w:rFonts w:ascii="Arial" w:cs="Arial" w:eastAsia="Arial" w:hAnsi="Arial"/>
                <w:sz w:val="21"/>
                <w:szCs w:val="21"/>
                <w:color w:val="auto"/>
                <w:vertAlign w:val="superscript"/>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(1,085.4)</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(2,981.1)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(4,264.7)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180" w:hanging="172"/>
        <w:spacing w:after="0" w:line="264"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2017 consists of $5,274.0 million of accumulated other comprehensive loss attributable to controlling interest and $48.2 million of accumulated other comprehensive income attributable to non-controlling interest. The accumulated other comprehensive loss attributable to non-controlling interest as of January 1, 2016 is immaterial.</w:t>
      </w:r>
    </w:p>
    <w:p>
      <w:pPr>
        <w:spacing w:after="0" w:line="136" w:lineRule="exact"/>
        <w:rPr>
          <w:rFonts w:ascii="Arial" w:cs="Arial" w:eastAsia="Arial" w:hAnsi="Arial"/>
          <w:sz w:val="21"/>
          <w:szCs w:val="21"/>
          <w:color w:val="auto"/>
          <w:vertAlign w:val="superscript"/>
        </w:rPr>
      </w:pPr>
    </w:p>
    <w:p>
      <w:pPr>
        <w:jc w:val="both"/>
        <w:ind w:left="180" w:hanging="172"/>
        <w:spacing w:after="0" w:line="257" w:lineRule="auto"/>
        <w:tabs>
          <w:tab w:leader="none" w:pos="195"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March 31, 2017 consists of $5,064.3 million of accumulated other comprehensive loss attributable to controlling interest and $37.2 million of accumulated other comprehensive income attributable to non-controlling interest. The accumulated other comprehensive loss attributable to non-controlling interest as of March 31, 2016 is immaterial.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264"/>
        </w:trPr>
        <w:tc>
          <w:tcPr>
            <w:tcW w:w="8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70"/>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29.7</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27.7</w:t>
            </w:r>
          </w:p>
        </w:tc>
      </w:tr>
      <w:tr>
        <w:trPr>
          <w:trHeight w:val="263"/>
        </w:trPr>
        <w:tc>
          <w:tcPr>
            <w:tcW w:w="894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b w:val="1"/>
                <w:bCs w:val="1"/>
                <w:color w:val="auto"/>
              </w:rPr>
              <w:t>18.1</w:t>
            </w:r>
          </w:p>
        </w:tc>
        <w:tc>
          <w:tcPr>
            <w:tcW w:w="500" w:type="dxa"/>
            <w:vAlign w:val="bottom"/>
          </w:tcPr>
          <w:p>
            <w:pPr>
              <w:spacing w:after="0"/>
              <w:rPr>
                <w:sz w:val="22"/>
                <w:szCs w:val="22"/>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(4.2)</w:t>
            </w:r>
          </w:p>
        </w:tc>
      </w:tr>
      <w:tr>
        <w:trPr>
          <w:trHeight w:val="277"/>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(8.5)</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(25.7)</w:t>
            </w:r>
          </w:p>
        </w:tc>
      </w:tr>
      <w:tr>
        <w:trPr>
          <w:trHeight w:val="264"/>
        </w:trPr>
        <w:tc>
          <w:tcPr>
            <w:tcW w:w="8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(1.3)</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w:t>
            </w:r>
          </w:p>
        </w:tc>
      </w:tr>
      <w:tr>
        <w:trPr>
          <w:trHeight w:val="264"/>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allocated to other comprehensive income (loss)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38.0</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w:t>
            </w: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80" w:type="dxa"/>
            <w:vAlign w:val="bottom"/>
          </w:tcPr>
          <w:p>
            <w:pPr>
              <w:jc w:val="center"/>
              <w:ind w:right="1128"/>
              <w:spacing w:after="0"/>
              <w:rPr>
                <w:sz w:val="20"/>
                <w:szCs w:val="20"/>
                <w:color w:val="auto"/>
              </w:rPr>
            </w:pPr>
            <w:r>
              <w:rPr>
                <w:rFonts w:ascii="Arial" w:cs="Arial" w:eastAsia="Arial" w:hAnsi="Arial"/>
                <w:sz w:val="14"/>
                <w:szCs w:val="14"/>
                <w:b w:val="1"/>
                <w:bCs w:val="1"/>
                <w:color w:val="auto"/>
              </w:rPr>
              <w:t>Three Months Ended</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320" w:type="dxa"/>
            <w:vAlign w:val="bottom"/>
          </w:tcPr>
          <w:p>
            <w:pPr>
              <w:spacing w:after="0"/>
              <w:rPr>
                <w:sz w:val="16"/>
                <w:szCs w:val="16"/>
                <w:color w:val="auto"/>
              </w:rPr>
            </w:pPr>
          </w:p>
        </w:tc>
        <w:tc>
          <w:tcPr>
            <w:tcW w:w="2780" w:type="dxa"/>
            <w:vAlign w:val="bottom"/>
          </w:tcPr>
          <w:p>
            <w:pPr>
              <w:jc w:val="center"/>
              <w:ind w:right="1108"/>
              <w:spacing w:after="0"/>
              <w:rPr>
                <w:sz w:val="20"/>
                <w:szCs w:val="20"/>
                <w:color w:val="auto"/>
              </w:rPr>
            </w:pPr>
            <w:r>
              <w:rPr>
                <w:rFonts w:ascii="Arial" w:cs="Arial" w:eastAsia="Arial" w:hAnsi="Arial"/>
                <w:sz w:val="14"/>
                <w:szCs w:val="14"/>
                <w:b w:val="1"/>
                <w:bCs w:val="1"/>
                <w:color w:val="auto"/>
              </w:rPr>
              <w:t>March 31,</w:t>
            </w:r>
          </w:p>
        </w:tc>
        <w:tc>
          <w:tcPr>
            <w:tcW w:w="35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39"/>
        </w:trPr>
        <w:tc>
          <w:tcPr>
            <w:tcW w:w="3500" w:type="dxa"/>
            <w:vAlign w:val="bottom"/>
            <w:vMerge w:val="continue"/>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500" w:type="dxa"/>
            <w:vAlign w:val="bottom"/>
            <w:vMerge w:val="continue"/>
          </w:tcPr>
          <w:p>
            <w:pPr>
              <w:spacing w:after="0"/>
              <w:rPr>
                <w:sz w:val="5"/>
                <w:szCs w:val="5"/>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2017</w:t>
            </w:r>
          </w:p>
        </w:tc>
        <w:tc>
          <w:tcPr>
            <w:tcW w:w="2780" w:type="dxa"/>
            <w:vAlign w:val="bottom"/>
          </w:tcPr>
          <w:p>
            <w:pPr>
              <w:spacing w:after="0"/>
              <w:rPr>
                <w:sz w:val="5"/>
                <w:szCs w:val="5"/>
                <w:color w:val="auto"/>
              </w:rPr>
            </w:pP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500" w:type="dxa"/>
            <w:vAlign w:val="bottom"/>
          </w:tcPr>
          <w:p>
            <w:pPr>
              <w:jc w:val="center"/>
              <w:ind w:right="48"/>
              <w:spacing w:after="0"/>
              <w:rPr>
                <w:sz w:val="20"/>
                <w:szCs w:val="20"/>
                <w:color w:val="auto"/>
              </w:rPr>
            </w:pPr>
            <w:r>
              <w:rPr>
                <w:rFonts w:ascii="Arial" w:cs="Arial" w:eastAsia="Arial" w:hAnsi="Arial"/>
                <w:sz w:val="14"/>
                <w:szCs w:val="14"/>
                <w:b w:val="1"/>
                <w:bCs w:val="1"/>
                <w:color w:val="auto"/>
              </w:rPr>
              <w:t>Loss Components</w:t>
            </w:r>
          </w:p>
        </w:tc>
        <w:tc>
          <w:tcPr>
            <w:tcW w:w="1320" w:type="dxa"/>
            <w:vAlign w:val="bottom"/>
            <w:vMerge w:val="continue"/>
          </w:tcPr>
          <w:p>
            <w:pPr>
              <w:spacing w:after="0"/>
              <w:rPr>
                <w:sz w:val="16"/>
                <w:szCs w:val="16"/>
                <w:color w:val="auto"/>
              </w:rPr>
            </w:pPr>
          </w:p>
        </w:tc>
        <w:tc>
          <w:tcPr>
            <w:tcW w:w="2780" w:type="dxa"/>
            <w:vAlign w:val="bottom"/>
          </w:tcPr>
          <w:p>
            <w:pPr>
              <w:jc w:val="right"/>
              <w:ind w:right="728"/>
              <w:spacing w:after="0"/>
              <w:rPr>
                <w:sz w:val="20"/>
                <w:szCs w:val="20"/>
                <w:color w:val="auto"/>
              </w:rPr>
            </w:pPr>
            <w:r>
              <w:rPr>
                <w:rFonts w:ascii="Arial" w:cs="Arial" w:eastAsia="Arial" w:hAnsi="Arial"/>
                <w:sz w:val="14"/>
                <w:szCs w:val="14"/>
                <w:b w:val="1"/>
                <w:bCs w:val="1"/>
                <w:color w:val="auto"/>
              </w:rPr>
              <w:t>2016</w:t>
            </w:r>
          </w:p>
        </w:tc>
        <w:tc>
          <w:tcPr>
            <w:tcW w:w="3540" w:type="dxa"/>
            <w:vAlign w:val="bottom"/>
          </w:tcPr>
          <w:p>
            <w:pPr>
              <w:jc w:val="center"/>
              <w:ind w:left="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88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82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6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3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62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880" w:type="dxa"/>
            <w:vAlign w:val="bottom"/>
          </w:tcPr>
          <w:p>
            <w:pPr>
              <w:spacing w:after="0"/>
              <w:rPr>
                <w:sz w:val="14"/>
                <w:szCs w:val="14"/>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76.8</w:t>
            </w:r>
          </w:p>
        </w:tc>
        <w:tc>
          <w:tcPr>
            <w:tcW w:w="820" w:type="dxa"/>
            <w:vAlign w:val="bottom"/>
          </w:tcPr>
          <w:p>
            <w:pPr>
              <w:spacing w:after="0"/>
              <w:rPr>
                <w:sz w:val="14"/>
                <w:szCs w:val="14"/>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73.5</w:t>
            </w:r>
          </w:p>
        </w:tc>
        <w:tc>
          <w:tcPr>
            <w:tcW w:w="3640" w:type="dxa"/>
            <w:vAlign w:val="bottom"/>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620" w:type="dxa"/>
            <w:vAlign w:val="bottom"/>
            <w:tcBorders>
              <w:bottom w:val="single" w:sz="8" w:color="CCEEFF"/>
            </w:tcBorders>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6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8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55.7</w:t>
            </w:r>
          </w:p>
        </w:tc>
        <w:tc>
          <w:tcPr>
            <w:tcW w:w="8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3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Tax benefit</w:t>
            </w:r>
          </w:p>
        </w:tc>
        <w:tc>
          <w:tcPr>
            <w:tcW w:w="8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w:t>
            </w:r>
          </w:p>
        </w:tc>
        <w:tc>
          <w:tcPr>
            <w:tcW w:w="8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39.1</w:t>
            </w:r>
          </w:p>
        </w:tc>
        <w:tc>
          <w:tcPr>
            <w:tcW w:w="8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3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160"/>
              <w:spacing w:after="0"/>
              <w:rPr>
                <w:sz w:val="20"/>
                <w:szCs w:val="20"/>
                <w:color w:val="auto"/>
              </w:rPr>
            </w:pPr>
            <w:r>
              <w:rPr>
                <w:rFonts w:ascii="Arial" w:cs="Arial" w:eastAsia="Arial" w:hAnsi="Arial"/>
                <w:sz w:val="18"/>
                <w:szCs w:val="18"/>
                <w:color w:val="auto"/>
              </w:rPr>
              <w:t>Realized (gains) losses, net before tax</w:t>
            </w:r>
          </w:p>
        </w:tc>
        <w:tc>
          <w:tcPr>
            <w:tcW w:w="8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(50.4)</w:t>
            </w:r>
          </w:p>
        </w:tc>
        <w:tc>
          <w:tcPr>
            <w:tcW w:w="82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3640" w:type="dxa"/>
            <w:vAlign w:val="bottom"/>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Tax (benefit) expense</w:t>
            </w:r>
          </w:p>
        </w:tc>
        <w:tc>
          <w:tcPr>
            <w:tcW w:w="8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17.6</w:t>
            </w:r>
          </w:p>
        </w:tc>
        <w:tc>
          <w:tcPr>
            <w:tcW w:w="8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620" w:type="dxa"/>
            <w:vAlign w:val="bottom"/>
          </w:tcPr>
          <w:p>
            <w:pPr>
              <w:jc w:val="right"/>
              <w:spacing w:after="0"/>
              <w:rPr>
                <w:sz w:val="20"/>
                <w:szCs w:val="20"/>
                <w:color w:val="auto"/>
              </w:rPr>
            </w:pPr>
            <w:r>
              <w:rPr>
                <w:rFonts w:ascii="Arial" w:cs="Arial" w:eastAsia="Arial" w:hAnsi="Arial"/>
                <w:sz w:val="18"/>
                <w:szCs w:val="18"/>
                <w:color w:val="auto"/>
              </w:rPr>
              <w:t>Net of tax</w:t>
            </w:r>
          </w:p>
        </w:tc>
        <w:tc>
          <w:tcPr>
            <w:tcW w:w="8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(32.8)</w:t>
            </w:r>
          </w:p>
        </w:tc>
        <w:tc>
          <w:tcPr>
            <w:tcW w:w="82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8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w:t>
            </w:r>
          </w:p>
        </w:tc>
        <w:tc>
          <w:tcPr>
            <w:tcW w:w="8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w:t>
            </w:r>
          </w:p>
        </w:tc>
        <w:tc>
          <w:tcPr>
            <w:tcW w:w="8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8.8</w:t>
            </w:r>
          </w:p>
        </w:tc>
        <w:tc>
          <w:tcPr>
            <w:tcW w:w="8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115.6</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tax)</w:t>
            </w:r>
          </w:p>
        </w:tc>
        <w:tc>
          <w:tcPr>
            <w:tcW w:w="8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(income) cost (see Note 9).</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Amount for the three months ended March 31, 2016 included primarily $74.5 million of foreign currency translation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Venezuela charge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Other–net, (income) expense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72" w:lineRule="exact"/>
        <w:rPr>
          <w:sz w:val="20"/>
          <w:szCs w:val="20"/>
          <w:color w:val="auto"/>
        </w:rPr>
      </w:pPr>
    </w:p>
    <w:p>
      <w:pPr>
        <w:spacing w:after="0"/>
        <w:tabs>
          <w:tab w:leader="none" w:pos="540" w:val="left"/>
          <w:tab w:leader="none" w:pos="1120" w:val="left"/>
          <w:tab w:leader="none" w:pos="1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43.4</w:t>
      </w:r>
    </w:p>
    <w:p>
      <w:pPr>
        <w:spacing w:after="0" w:line="63" w:lineRule="exact"/>
        <w:rPr>
          <w:sz w:val="20"/>
          <w:szCs w:val="20"/>
          <w:color w:val="auto"/>
        </w:rPr>
      </w:pPr>
    </w:p>
    <w:p>
      <w:pPr>
        <w:jc w:val="right"/>
        <w:ind w:right="40"/>
        <w:spacing w:after="0"/>
        <w:tabs>
          <w:tab w:leader="none" w:pos="4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8"/>
          <w:szCs w:val="18"/>
          <w:color w:val="auto"/>
        </w:rPr>
        <w:t>(24.2)</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203.9</w:t>
      </w:r>
    </w:p>
    <w:p>
      <w:pPr>
        <w:spacing w:after="0" w:line="63" w:lineRule="exact"/>
        <w:rPr>
          <w:sz w:val="20"/>
          <w:szCs w:val="20"/>
          <w:color w:val="auto"/>
        </w:rPr>
      </w:pPr>
    </w:p>
    <w:p>
      <w:pPr>
        <w:jc w:val="right"/>
        <w:ind w:right="40"/>
        <w:spacing w:after="0"/>
        <w:tabs>
          <w:tab w:leader="none" w:pos="46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8"/>
          <w:szCs w:val="18"/>
          <w:color w:val="auto"/>
        </w:rPr>
        <w:t>(74.1)</w:t>
      </w:r>
    </w:p>
    <w:p>
      <w:pPr>
        <w:spacing w:after="0" w:line="63" w:lineRule="exact"/>
        <w:rPr>
          <w:sz w:val="20"/>
          <w:szCs w:val="20"/>
          <w:color w:val="auto"/>
        </w:rPr>
      </w:pPr>
    </w:p>
    <w:p>
      <w:pPr>
        <w:spacing w:after="0"/>
        <w:tabs>
          <w:tab w:leader="none" w:pos="480" w:val="left"/>
          <w:tab w:leader="none" w:pos="1120" w:val="left"/>
          <w:tab w:leader="none" w:pos="1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149.0</w:t>
      </w:r>
    </w:p>
    <w:p>
      <w:pPr>
        <w:spacing w:after="0" w:line="179" w:lineRule="exact"/>
        <w:rPr>
          <w:sz w:val="20"/>
          <w:szCs w:val="20"/>
          <w:color w:val="auto"/>
        </w:rPr>
      </w:pPr>
    </w:p>
    <w:p>
      <w:pPr>
        <w:sectPr>
          <w:pgSz w:w="11900" w:h="16838" w:orient="portrait"/>
          <w:cols w:equalWidth="0" w:num="2">
            <w:col w:w="8540" w:space="720"/>
            <w:col w:w="2160"/>
          </w:cols>
          <w:pgMar w:left="240" w:top="706" w:right="239" w:bottom="1440" w:gutter="0" w:footer="0" w:header="0"/>
          <w:type w:val="continuous"/>
        </w:sectPr>
      </w:pPr>
    </w:p>
    <w:p>
      <w:pPr>
        <w:ind w:right="120"/>
        <w:spacing w:after="0" w:line="253"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first quarter of 2016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Segment Information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4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4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708.4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606.3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372.9</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347.5</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318.6</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314.5</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356.4</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113.0</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94.4</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46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266.8</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2,123.1</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1,756.7</w:t>
            </w:r>
          </w:p>
        </w:tc>
      </w:tr>
      <w:tr>
        <w:trPr>
          <w:trHeight w:val="128"/>
        </w:trPr>
        <w:tc>
          <w:tcPr>
            <w:tcW w:w="4620" w:type="dxa"/>
            <w:vAlign w:val="bottom"/>
            <w:shd w:val="clear" w:color="auto" w:fill="CCEEFF"/>
          </w:tcPr>
          <w:p>
            <w:pPr>
              <w:spacing w:after="0"/>
              <w:rPr>
                <w:sz w:val="11"/>
                <w:szCs w:val="11"/>
                <w:color w:val="auto"/>
              </w:rPr>
            </w:pPr>
          </w:p>
        </w:tc>
        <w:tc>
          <w:tcPr>
            <w:tcW w:w="4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4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489.9</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171.2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131.0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154.4</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887.0</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894.5</w:t>
            </w:r>
          </w:p>
        </w:tc>
      </w:tr>
      <w:tr>
        <w:trPr>
          <w:trHeight w:val="122"/>
        </w:trPr>
        <w:tc>
          <w:tcPr>
            <w:tcW w:w="46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533.6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576.7</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127.8</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35.8</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697.2</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754.2</w:t>
            </w:r>
          </w:p>
        </w:tc>
      </w:tr>
      <w:tr>
        <w:trPr>
          <w:trHeight w:val="122"/>
        </w:trPr>
        <w:tc>
          <w:tcPr>
            <w:tcW w:w="46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196.2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188.1</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174.6</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198.7</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147.5</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212.8</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46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61.0</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579.3</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643.7</w:t>
            </w:r>
          </w:p>
        </w:tc>
      </w:tr>
      <w:tr>
        <w:trPr>
          <w:trHeight w:val="128"/>
        </w:trPr>
        <w:tc>
          <w:tcPr>
            <w:tcW w:w="4620" w:type="dxa"/>
            <w:vAlign w:val="bottom"/>
            <w:shd w:val="clear" w:color="auto" w:fill="CCEEFF"/>
          </w:tcPr>
          <w:p>
            <w:pPr>
              <w:spacing w:after="0"/>
              <w:rPr>
                <w:sz w:val="11"/>
                <w:szCs w:val="11"/>
                <w:color w:val="auto"/>
              </w:rPr>
            </w:pPr>
          </w:p>
        </w:tc>
        <w:tc>
          <w:tcPr>
            <w:tcW w:w="4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64"/>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172.4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61.4</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4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4,459.0</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4,110.5</w:t>
            </w: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769.4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754.6</w:t>
            </w:r>
          </w:p>
        </w:tc>
      </w:tr>
      <w:tr>
        <w:trPr>
          <w:trHeight w:val="29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5,228.3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4,865.1</w:t>
            </w:r>
          </w:p>
        </w:tc>
      </w:tr>
      <w:tr>
        <w:trPr>
          <w:trHeight w:val="662"/>
        </w:trPr>
        <w:tc>
          <w:tcPr>
            <w:tcW w:w="4620" w:type="dxa"/>
            <w:vAlign w:val="bottom"/>
          </w:tcPr>
          <w:p>
            <w:pPr>
              <w:spacing w:after="0"/>
              <w:rPr>
                <w:sz w:val="24"/>
                <w:szCs w:val="24"/>
                <w:color w:val="auto"/>
              </w:rPr>
            </w:pPr>
          </w:p>
        </w:tc>
        <w:tc>
          <w:tcPr>
            <w:tcW w:w="4620" w:type="dxa"/>
            <w:vAlign w:val="bottom"/>
          </w:tcPr>
          <w:p>
            <w:pPr>
              <w:jc w:val="right"/>
              <w:ind w:right="33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0" w:name="page31"/>
    <w:bookmarkEnd w:id="30"/>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92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1,170.9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927.0</w:t>
            </w:r>
          </w:p>
        </w:tc>
      </w:tr>
      <w:tr>
        <w:trPr>
          <w:trHeight w:val="270"/>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148.3</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147.6</w:t>
            </w:r>
          </w:p>
        </w:tc>
      </w:tr>
      <w:tr>
        <w:trPr>
          <w:trHeight w:val="277"/>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1,319.2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1,074.6</w:t>
            </w:r>
          </w:p>
        </w:tc>
      </w:tr>
      <w:tr>
        <w:trPr>
          <w:trHeight w:val="122"/>
        </w:trPr>
        <w:tc>
          <w:tcPr>
            <w:tcW w:w="9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1,319.2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1,074.6</w:t>
            </w:r>
          </w:p>
        </w:tc>
      </w:tr>
      <w:tr>
        <w:trPr>
          <w:trHeight w:val="263"/>
        </w:trPr>
        <w:tc>
          <w:tcPr>
            <w:tcW w:w="924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(857.6)</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(176.1)</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(213.9)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Venezuela charge (Note 12)</w:t>
            </w:r>
          </w:p>
        </w:tc>
        <w:tc>
          <w:tcPr>
            <w:tcW w:w="220" w:type="dxa"/>
            <w:vAlign w:val="bottom"/>
          </w:tcPr>
          <w:p>
            <w:pPr>
              <w:spacing w:after="0"/>
              <w:rPr>
                <w:sz w:val="22"/>
                <w:szCs w:val="22"/>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70"/>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fair value adjustment related to BIVIVP (Note 3)</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9240" w:type="dxa"/>
            <w:vAlign w:val="bottom"/>
          </w:tcPr>
          <w:p>
            <w:pPr>
              <w:ind w:left="40"/>
              <w:spacing w:after="0"/>
              <w:rPr>
                <w:sz w:val="20"/>
                <w:szCs w:val="20"/>
                <w:color w:val="auto"/>
              </w:rPr>
            </w:pPr>
            <w:r>
              <w:rPr>
                <w:rFonts w:ascii="Arial" w:cs="Arial" w:eastAsia="Arial" w:hAnsi="Arial"/>
                <w:sz w:val="18"/>
                <w:szCs w:val="18"/>
                <w:color w:val="auto"/>
              </w:rPr>
              <w:t>Consolidated income before taxes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61.2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0</wp:posOffset>
            </wp:positionV>
            <wp:extent cx="13893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w:t>
      </w:r>
    </w:p>
    <w:p>
      <w:pPr>
        <w:spacing w:after="0" w:line="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Item 1A, “Risk Factors,” of Part I of our Annual Report on Form 10-K for the year ended December 31, 2016 may cause our actual results and cash generated from operations to differ materially from these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(loss)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96"/>
        </w:trPr>
        <w:tc>
          <w:tcPr>
            <w:tcW w:w="7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5,228.3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4,865.1</w:t>
            </w:r>
          </w:p>
        </w:tc>
        <w:tc>
          <w:tcPr>
            <w:tcW w:w="13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7</w:t>
            </w:r>
          </w:p>
        </w:tc>
      </w:tr>
      <w:tr>
        <w:trPr>
          <w:trHeight w:val="263"/>
        </w:trPr>
        <w:tc>
          <w:tcPr>
            <w:tcW w:w="72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3,900.6</w:t>
            </w:r>
          </w:p>
        </w:tc>
        <w:tc>
          <w:tcPr>
            <w:tcW w:w="4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3,542.1</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77"/>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360" w:type="dxa"/>
            <w:vAlign w:val="bottom"/>
            <w:shd w:val="clear" w:color="auto" w:fill="CCEEFF"/>
          </w:tcPr>
          <w:p>
            <w:pPr>
              <w:spacing w:after="0"/>
              <w:rPr>
                <w:sz w:val="24"/>
                <w:szCs w:val="24"/>
                <w:color w:val="auto"/>
              </w:rPr>
            </w:pP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2,783.0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2,694.9</w:t>
            </w: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9"/>
              </w:rPr>
              <w:t>3</w:t>
            </w:r>
          </w:p>
        </w:tc>
      </w:tr>
      <w:tr>
        <w:trPr>
          <w:trHeight w:val="270"/>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857.6</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NM</w:t>
            </w:r>
          </w:p>
        </w:tc>
      </w:tr>
      <w:tr>
        <w:trPr>
          <w:trHeight w:val="263"/>
        </w:trPr>
        <w:tc>
          <w:tcPr>
            <w:tcW w:w="726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213.9</w:t>
            </w:r>
          </w:p>
        </w:tc>
        <w:tc>
          <w:tcPr>
            <w:tcW w:w="4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131.4</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99"/>
              </w:rPr>
              <w:t>63</w:t>
            </w:r>
          </w:p>
        </w:tc>
      </w:tr>
      <w:tr>
        <w:trPr>
          <w:trHeight w:val="277"/>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(110.8)</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440.1</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NM</w:t>
            </w:r>
          </w:p>
        </w:tc>
      </w:tr>
      <w:tr>
        <w:trPr>
          <w:trHeight w:val="257"/>
        </w:trPr>
        <w:tc>
          <w:tcPr>
            <w:tcW w:w="726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22"/>
                <w:szCs w:val="22"/>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b w:val="1"/>
                <w:bCs w:val="1"/>
                <w:color w:val="auto"/>
              </w:rPr>
              <w:t>(0.10)</w:t>
            </w:r>
          </w:p>
        </w:tc>
        <w:tc>
          <w:tcPr>
            <w:tcW w:w="4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0.41</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99"/>
              </w:rPr>
              <w:t>NM</w:t>
            </w:r>
          </w:p>
        </w:tc>
      </w:tr>
    </w:tbl>
    <w:p>
      <w:pPr>
        <w:spacing w:after="0" w:line="126" w:lineRule="exact"/>
        <w:rPr>
          <w:sz w:val="20"/>
          <w:szCs w:val="20"/>
          <w:color w:val="auto"/>
        </w:rPr>
      </w:pPr>
    </w:p>
    <w:p>
      <w:pPr>
        <w:ind w:right="4220" w:firstLine="8"/>
        <w:spacing w:after="0" w:line="307" w:lineRule="auto"/>
        <w:tabs>
          <w:tab w:leader="none" w:pos="135"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Revenue increased for the three months ended March 31, 2017 driven by increased volume for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and other new pharmaceutical products. The increase in operating expense was primarily driven by an increase in marketing, selling, and administrative expense. The following highlighted items also affect comparisons of our financial results for the three months ended March 31, 2017 and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and development (IPR&amp;D) (Note 3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an acquired IPR&amp;D charge of $857.6 million, or $0.81 per share, associated with the acquisition of CoLucid Pharmaceuticals, Inc. (CoLucid). This charge is not tax-deductible.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charges of $213.9 million (pretax), or $0.16 per share, due to severance costs incurred as a result of actions taken to reduce our cost structure, integration costs, and asset impairments and exit fees due to site closures.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$131.4 million (pretax), or $0.11 per share, related to the closure of an animal health manufacturing facility in Ireland and integration costs related to our acquisition of Novartis Animal Health (Novartis AH).</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related to the impact of the Venezuelan financial crisis, including the significant deterioration of the bolívar.</w:t>
      </w:r>
    </w:p>
    <w:p>
      <w:pPr>
        <w:spacing w:after="0" w:line="8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Income before income taxes for the three months ended March 31, 2017, was $61.2 million as the acquired IPR&amp;D charge of $857.6 million offset substantially all of the income that was otherwise generated during the period. The non-tax deductible acquired IPR&amp;D charge caused tax expense for the three months ended March 31, 2017 to exceed income before income taxes resulting in a net loss of $110.8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new molecular entities (NMEs) were approved by regulatory authorities in at least one of the major geographies for use in the diseases described. The quarter in which each NME initially was approved in any major geography for any indication is shown in parentheses:</w:t>
      </w:r>
    </w:p>
    <w:p>
      <w:pPr>
        <w:spacing w:after="0" w:line="66" w:lineRule="exact"/>
        <w:rPr>
          <w:sz w:val="20"/>
          <w:szCs w:val="20"/>
          <w:color w:val="auto"/>
        </w:rPr>
      </w:pPr>
    </w:p>
    <w:p>
      <w:pPr>
        <w:ind w:left="660" w:right="60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0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66" w:lineRule="exact"/>
        <w:rPr>
          <w:sz w:val="20"/>
          <w:szCs w:val="20"/>
          <w:color w:val="auto"/>
        </w:rPr>
      </w:pPr>
    </w:p>
    <w:p>
      <w:pPr>
        <w:ind w:left="660" w:right="50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non-small cell lung cancer (NSCLC).</w:t>
      </w:r>
    </w:p>
    <w:p>
      <w:pPr>
        <w:spacing w:after="0" w:line="45"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45" w:lineRule="exact"/>
        <w:rPr>
          <w:sz w:val="20"/>
          <w:szCs w:val="20"/>
          <w:color w:val="auto"/>
        </w:rPr>
      </w:pPr>
    </w:p>
    <w:p>
      <w:pPr>
        <w:ind w:left="660" w:right="700"/>
        <w:spacing w:after="0" w:line="287" w:lineRule="auto"/>
        <w:rPr>
          <w:sz w:val="20"/>
          <w:szCs w:val="20"/>
          <w:color w:val="auto"/>
        </w:rPr>
      </w:pPr>
      <w:r>
        <w:rPr>
          <w:rFonts w:ascii="Arial" w:cs="Arial" w:eastAsia="Arial" w:hAnsi="Arial"/>
          <w:sz w:val="18"/>
          <w:szCs w:val="18"/>
          <w:b w:val="1"/>
          <w:bCs w:val="1"/>
          <w:color w:val="auto"/>
        </w:rPr>
        <w:t>Galcanezumab* (Q2 2015)</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and cluster headache.</w:t>
      </w:r>
    </w:p>
    <w:p>
      <w:pPr>
        <w:spacing w:after="0" w:line="45"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Lanabecestat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15" w:lineRule="exact"/>
        <w:rPr>
          <w:sz w:val="20"/>
          <w:szCs w:val="20"/>
          <w:color w:val="auto"/>
        </w:rPr>
      </w:pPr>
    </w:p>
    <w:p>
      <w:pPr>
        <w:ind w:left="660" w:right="10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67" w:lineRule="exact"/>
        <w:rPr>
          <w:sz w:val="20"/>
          <w:szCs w:val="20"/>
          <w:color w:val="auto"/>
        </w:rPr>
      </w:pPr>
    </w:p>
    <w:p>
      <w:pPr>
        <w:ind w:left="340" w:right="2800" w:hanging="8"/>
        <w:spacing w:after="0" w:line="387"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0" w:right="239" w:bottom="1440" w:gutter="0" w:footer="0" w:header="0"/>
        </w:sectPr>
      </w:pPr>
    </w:p>
    <w:bookmarkStart w:id="33" w:name="page34"/>
    <w:bookmarkEnd w:id="33"/>
    <w:p>
      <w:pPr>
        <w:ind w:right="76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2017:</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6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of commercial manufacturing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process is ongoing.</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Europe in first</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2017. Received complete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response letter from the U.S. Food and</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Olumiant</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w w:val="99"/>
              </w:rPr>
              <w:t>See Developments</w:t>
            </w:r>
          </w:p>
        </w:tc>
        <w:tc>
          <w:tcPr>
            <w:tcW w:w="16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6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Submitted</w:t>
            </w: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Drug Administration (FDA) in second</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2017. Timing of a resubmission</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U.S. will be based on further</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discussions with the FDA.</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Galcanezumab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16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with CoLucid in first quarter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Lasmiditan</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Migraine</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2017. Phase III studies are ongoing. See</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 3 for information on the acquisition.</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16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Two Phase III trials met primary endpoints.</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First submission to FDA expected in</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 quarter of 2017.</w:t>
            </w: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18"/>
                <w:szCs w:val="18"/>
                <w:color w:val="auto"/>
                <w:w w:val="99"/>
              </w:rPr>
              <w:t>Granted accelerated approval</w:t>
            </w:r>
            <w:r>
              <w:rPr>
                <w:rFonts w:ascii="Arial" w:cs="Arial" w:eastAsia="Arial" w:hAnsi="Arial"/>
                <w:sz w:val="21"/>
                <w:szCs w:val="21"/>
                <w:color w:val="auto"/>
                <w:w w:val="99"/>
                <w:vertAlign w:val="superscript"/>
              </w:rPr>
              <w:t>(1)</w:t>
            </w:r>
            <w:r>
              <w:rPr>
                <w:rFonts w:ascii="Arial" w:cs="Arial" w:eastAsia="Arial" w:hAnsi="Arial"/>
                <w:sz w:val="18"/>
                <w:szCs w:val="18"/>
                <w:color w:val="auto"/>
                <w:w w:val="99"/>
              </w:rPr>
              <w:t xml:space="preserve"> by the FDA</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fourth quarter of 2016 based on phase II</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data. Launched in the U.S. in the fourth</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Lartruvo</w:t>
            </w:r>
          </w:p>
        </w:tc>
        <w:tc>
          <w:tcPr>
            <w:tcW w:w="160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gridSpan w:val="2"/>
            <w:vMerge w:val="restart"/>
          </w:tcPr>
          <w:p>
            <w:pPr>
              <w:ind w:left="1200"/>
              <w:spacing w:after="0" w:line="201" w:lineRule="exact"/>
              <w:rPr>
                <w:sz w:val="20"/>
                <w:szCs w:val="20"/>
                <w:color w:val="auto"/>
              </w:rPr>
            </w:pPr>
            <w:r>
              <w:rPr>
                <w:rFonts w:ascii="Arial" w:cs="Arial" w:eastAsia="Arial" w:hAnsi="Arial"/>
                <w:sz w:val="18"/>
                <w:szCs w:val="18"/>
                <w:color w:val="auto"/>
              </w:rPr>
              <w:t>Launched</w:t>
            </w:r>
          </w:p>
        </w:tc>
        <w:tc>
          <w:tcPr>
            <w:tcW w:w="160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Phase III</w:t>
            </w:r>
          </w:p>
        </w:tc>
        <w:tc>
          <w:tcPr>
            <w:tcW w:w="3520" w:type="dxa"/>
            <w:vAlign w:val="bottom"/>
            <w:tcBorders>
              <w:right w:val="single" w:sz="8" w:color="auto"/>
            </w:tcBorders>
            <w:vMerge w:val="restart"/>
          </w:tcPr>
          <w:p>
            <w:pPr>
              <w:ind w:left="20"/>
              <w:spacing w:after="0" w:line="201" w:lineRule="exact"/>
              <w:rPr>
                <w:sz w:val="20"/>
                <w:szCs w:val="20"/>
                <w:color w:val="auto"/>
              </w:rPr>
            </w:pPr>
            <w:r>
              <w:rPr>
                <w:rFonts w:ascii="Arial" w:cs="Arial" w:eastAsia="Arial" w:hAnsi="Arial"/>
                <w:sz w:val="18"/>
                <w:szCs w:val="18"/>
                <w:color w:val="auto"/>
              </w:rPr>
              <w:t>quarter of 2016. Granted conditional</w:t>
            </w:r>
          </w:p>
        </w:tc>
        <w:tc>
          <w:tcPr>
            <w:tcW w:w="0" w:type="dxa"/>
            <w:vAlign w:val="bottom"/>
          </w:tcPr>
          <w:p>
            <w:pPr>
              <w:spacing w:after="0"/>
              <w:rPr>
                <w:sz w:val="1"/>
                <w:szCs w:val="1"/>
                <w:color w:val="auto"/>
              </w:rPr>
            </w:pPr>
          </w:p>
        </w:tc>
      </w:tr>
      <w:tr>
        <w:trPr>
          <w:trHeight w:val="106"/>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3200" w:type="dxa"/>
            <w:vAlign w:val="bottom"/>
            <w:tcBorders>
              <w:right w:val="single" w:sz="8" w:color="auto"/>
            </w:tcBorders>
            <w:gridSpan w:val="2"/>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continue"/>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approval</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launched in Europe in</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 of 2016. Phase III study is</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6"/>
          <w:szCs w:val="16"/>
          <w:color w:val="auto"/>
          <w:vertAlign w:val="superscript"/>
        </w:rPr>
      </w:pPr>
    </w:p>
    <w:p>
      <w:pPr>
        <w:ind w:left="180" w:right="140" w:hanging="172"/>
        <w:spacing w:after="0" w:line="230"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706"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We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The loss of exclusivity for Zyprexa in Japan has caused a rapid and severe decline in revenue for the product.</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Court of Appeals recently ruled in our favor regarding the validity and infringement of the vitamin regimen patent, that patent remains the subject of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challenges as further described in Note 10 to the consolidated condensed financial statements. We are aware that generic competitors have received approval to market generic versions of pemetrexed in major European markets and generics have launched in two major European markets. Notwithstanding our patents, generic versions of Alimta were also approved in Japan starting in February 2016. As described in Note 10 to the consolidated condensed financial statements, we do not currently anticipate that generic versions of Alimta will proceed to pricing approval.</w:t>
      </w:r>
    </w:p>
    <w:p>
      <w:pPr>
        <w:spacing w:after="0" w:line="9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will also lose exclusivity for Effient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October 2017, and we have authorized one generic manufacturer to enter the market as early as mid-August 2017.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and to date none have been approved in the U.S. or Europe. Other manufacturers have efforts underway to bring to market a similar version of insulin lispro and we are aware that a competitor's insulin lispro product has been accepted for regulatory review by the European Medicines Agency. It is difficult to estimate the impact of these products entering the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9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first quarter of 2016. See Note 12 to the consolidated condensed financial statements for additional information related to the charge. As of March 31, 2017,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3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10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President Trump, the new administration, and Congress have identified repealing and replacing the ACA as a top priority. The proposed timeframe remains unclear. Further, provisions included in legislation repealing the ACA and any potential replacement program have yet to be determined and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8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Trump administration has stated that one of its top priorities is comprehensive tax reform. The tax rates and the manner in which U.S. companies are taxed could be altered by any such potential tax reform and could have a material adverse effect on our consolidated results of operations and cash flows. Additionally, the Organisation for Economic Co-operation and Development issued its final recommendations of international tax reform proposals to influence international tax policy in major countries in which we operate. Other institutions have also become more active regarding tax-related matters, including the European Commission, the United Nations, the Group of Twenty, and the European Parliament. While outcomes of these initiatives continue to develop and remain uncertain, changes to key elements of the U.S. or international tax framework could have a material adverse effect on our consolidated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discussion regarding the following acquisitions:</w:t>
      </w:r>
    </w:p>
    <w:p>
      <w:pPr>
        <w:spacing w:after="0" w:line="33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 of CoLucid, completed on March 1, 2017, for a cash purchase price of $831.8 million, net of cash acquired.</w:t>
      </w:r>
    </w:p>
    <w:p>
      <w:pPr>
        <w:spacing w:after="0" w:line="117"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(BIVIVP), completed on January 3, 2017, in an all-cash transaction for $882.1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2,933.5</w:t>
            </w:r>
          </w:p>
        </w:tc>
        <w:tc>
          <w:tcPr>
            <w:tcW w:w="8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2,555.6</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right="274"/>
              <w:spacing w:after="0"/>
              <w:rPr>
                <w:sz w:val="20"/>
                <w:szCs w:val="20"/>
                <w:color w:val="auto"/>
              </w:rPr>
            </w:pPr>
            <w:r>
              <w:rPr>
                <w:rFonts w:ascii="Arial" w:cs="Arial" w:eastAsia="Arial" w:hAnsi="Arial"/>
                <w:sz w:val="18"/>
                <w:szCs w:val="18"/>
                <w:color w:val="auto"/>
                <w:w w:val="99"/>
              </w:rPr>
              <w:t>15</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2,294.8</w:t>
            </w:r>
          </w:p>
        </w:tc>
        <w:tc>
          <w:tcPr>
            <w:tcW w:w="8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2,309.5</w:t>
            </w:r>
          </w:p>
        </w:tc>
        <w:tc>
          <w:tcPr>
            <w:tcW w:w="4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center"/>
              <w:ind w:right="254"/>
              <w:spacing w:after="0"/>
              <w:rPr>
                <w:sz w:val="20"/>
                <w:szCs w:val="20"/>
                <w:color w:val="auto"/>
              </w:rPr>
            </w:pPr>
            <w:r>
              <w:rPr>
                <w:rFonts w:ascii="Arial" w:cs="Arial" w:eastAsia="Arial" w:hAnsi="Arial"/>
                <w:sz w:val="18"/>
                <w:szCs w:val="18"/>
                <w:color w:val="auto"/>
                <w:w w:val="99"/>
              </w:rPr>
              <w:t>(1)</w:t>
            </w:r>
          </w:p>
        </w:tc>
      </w:tr>
      <w:tr>
        <w:trPr>
          <w:trHeight w:val="29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5,228.3</w:t>
            </w:r>
          </w:p>
        </w:tc>
        <w:tc>
          <w:tcPr>
            <w:tcW w:w="8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4,865.1</w:t>
            </w:r>
          </w:p>
        </w:tc>
        <w:tc>
          <w:tcPr>
            <w:tcW w:w="4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ind w:right="254"/>
              <w:spacing w:after="0"/>
              <w:rPr>
                <w:sz w:val="20"/>
                <w:szCs w:val="20"/>
                <w:color w:val="auto"/>
              </w:rPr>
            </w:pPr>
            <w:r>
              <w:rPr>
                <w:rFonts w:ascii="Arial" w:cs="Arial" w:eastAsia="Arial" w:hAnsi="Arial"/>
                <w:sz w:val="18"/>
                <w:szCs w:val="18"/>
                <w:color w:val="auto"/>
                <w:w w:val="99"/>
              </w:rPr>
              <w:t>7</w:t>
            </w:r>
          </w:p>
        </w:tc>
      </w:tr>
      <w:tr>
        <w:trPr>
          <w:trHeight w:val="324"/>
        </w:trPr>
        <w:tc>
          <w:tcPr>
            <w:tcW w:w="596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U.S. revenue includes revenue in Puerto Rico.</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1"/>
        </w:trPr>
        <w:tc>
          <w:tcPr>
            <w:tcW w:w="7580" w:type="dxa"/>
            <w:vAlign w:val="bottom"/>
            <w:gridSpan w:val="4"/>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1"/>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24"/>
                <w:szCs w:val="24"/>
                <w:color w:val="auto"/>
              </w:rPr>
            </w:pPr>
          </w:p>
        </w:tc>
      </w:tr>
      <w:tr>
        <w:trPr>
          <w:trHeight w:val="190"/>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March 31,</w:t>
            </w:r>
          </w:p>
        </w:tc>
        <w:tc>
          <w:tcPr>
            <w:tcW w:w="1480" w:type="dxa"/>
            <w:vAlign w:val="bottom"/>
          </w:tcPr>
          <w:p>
            <w:pPr>
              <w:spacing w:after="0"/>
              <w:rPr>
                <w:sz w:val="16"/>
                <w:szCs w:val="16"/>
                <w:color w:val="auto"/>
              </w:rPr>
            </w:pPr>
          </w:p>
        </w:tc>
      </w:tr>
      <w:tr>
        <w:trPr>
          <w:trHeight w:val="276"/>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2017 vs. 2016</w:t>
            </w:r>
          </w:p>
        </w:tc>
        <w:tc>
          <w:tcPr>
            <w:tcW w:w="1480" w:type="dxa"/>
            <w:vAlign w:val="bottom"/>
            <w:tcBorders>
              <w:bottom w:val="single" w:sz="8" w:color="auto"/>
            </w:tcBorders>
          </w:tcPr>
          <w:p>
            <w:pPr>
              <w:spacing w:after="0"/>
              <w:rPr>
                <w:sz w:val="24"/>
                <w:szCs w:val="24"/>
                <w:color w:val="auto"/>
              </w:rPr>
            </w:pPr>
          </w:p>
        </w:tc>
      </w:tr>
      <w:tr>
        <w:trPr>
          <w:trHeight w:val="250"/>
        </w:trPr>
        <w:tc>
          <w:tcPr>
            <w:tcW w:w="5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453"/>
              <w:spacing w:after="0"/>
              <w:rPr>
                <w:sz w:val="20"/>
                <w:szCs w:val="20"/>
                <w:color w:val="auto"/>
              </w:rPr>
            </w:pPr>
            <w:r>
              <w:rPr>
                <w:rFonts w:ascii="Arial" w:cs="Arial" w:eastAsia="Arial" w:hAnsi="Arial"/>
                <w:sz w:val="14"/>
                <w:szCs w:val="14"/>
                <w:b w:val="1"/>
                <w:bCs w:val="1"/>
                <w:color w:val="auto"/>
              </w:rPr>
              <w:t>U.S.</w:t>
            </w: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Outside U.S.</w:t>
            </w:r>
          </w:p>
        </w:tc>
        <w:tc>
          <w:tcPr>
            <w:tcW w:w="14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5960" w:type="dxa"/>
            <w:vAlign w:val="bottom"/>
          </w:tcPr>
          <w:p>
            <w:pPr>
              <w:ind w:left="40"/>
              <w:spacing w:after="0"/>
              <w:rPr>
                <w:sz w:val="20"/>
                <w:szCs w:val="20"/>
                <w:color w:val="auto"/>
              </w:rPr>
            </w:pPr>
            <w:r>
              <w:rPr>
                <w:rFonts w:ascii="Arial" w:cs="Arial" w:eastAsia="Arial" w:hAnsi="Arial"/>
                <w:sz w:val="18"/>
                <w:szCs w:val="18"/>
                <w:color w:val="auto"/>
              </w:rPr>
              <w:t>Volume</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4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6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4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U.S., for the three months ended March 31, 2017, the volume increase was driven primarily by Trulicity, Taltz, Lartruvo, and companion animal products due to the inclusion of revenue from the BIVIVP acquisition, partially offset by decreased volume for Alimta. The U.S. increase in realized prices was primarily driven by Humalog which had significant unfavorable changes to rebates and discounts in the first quarter of 2016 that did not recur in the first quarter of 2017.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7" w:name="page38"/>
    <w:bookmarkEnd w:id="37"/>
    <w:p>
      <w:pPr>
        <w:ind w:right="580"/>
        <w:spacing w:after="0" w:line="248" w:lineRule="auto"/>
        <w:rPr>
          <w:sz w:val="20"/>
          <w:szCs w:val="20"/>
          <w:color w:val="auto"/>
        </w:rPr>
      </w:pPr>
      <w:r>
        <w:rPr>
          <w:rFonts w:ascii="Arial" w:cs="Arial" w:eastAsia="Arial" w:hAnsi="Arial"/>
          <w:sz w:val="18"/>
          <w:szCs w:val="18"/>
          <w:color w:val="auto"/>
        </w:rPr>
        <w:t>Outside the U.S., for the three months ended March 31, 2017, the volume increase was driven by sales of several newly launched pharmaceutical products including Trulicity and Cyramza</w:t>
      </w:r>
      <w:r>
        <w:rPr>
          <w:rFonts w:ascii="Arial" w:cs="Arial" w:eastAsia="Arial" w:hAnsi="Arial"/>
          <w:sz w:val="21"/>
          <w:szCs w:val="21"/>
          <w:color w:val="auto"/>
          <w:vertAlign w:val="superscript"/>
        </w:rPr>
        <w:t>®</w:t>
      </w:r>
      <w:r>
        <w:rPr>
          <w:rFonts w:ascii="Arial" w:cs="Arial" w:eastAsia="Arial" w:hAnsi="Arial"/>
          <w:sz w:val="18"/>
          <w:szCs w:val="18"/>
          <w:color w:val="auto"/>
        </w:rPr>
        <w:t>. The volume increase was offset by the loss of exclusivity for several products including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Canada and Europe, Zyprexa in Japan, and Alimta in numerous countries.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Outside U.S.</w:t>
            </w: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 Change</w:t>
            </w:r>
          </w:p>
        </w:tc>
      </w:tr>
      <w:tr>
        <w:trPr>
          <w:trHeight w:val="252"/>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5"/>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449.1</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259.4</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708.4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606.3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296.7</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236.9</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576.7</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227.3</w:t>
            </w:r>
          </w:p>
        </w:tc>
        <w:tc>
          <w:tcPr>
            <w:tcW w:w="300" w:type="dxa"/>
            <w:vAlign w:val="bottom"/>
          </w:tcPr>
          <w:p>
            <w:pPr>
              <w:spacing w:after="0"/>
              <w:rPr>
                <w:sz w:val="22"/>
                <w:szCs w:val="22"/>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262.6</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489.9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564.2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296.3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76.6</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160</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177.7</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169.8</w:t>
            </w:r>
          </w:p>
        </w:tc>
        <w:tc>
          <w:tcPr>
            <w:tcW w:w="5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347.5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318.6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205.4</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109.1</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122.4</w:t>
            </w:r>
          </w:p>
        </w:tc>
        <w:tc>
          <w:tcPr>
            <w:tcW w:w="300" w:type="dxa"/>
            <w:vAlign w:val="bottom"/>
          </w:tcPr>
          <w:p>
            <w:pPr>
              <w:spacing w:after="0"/>
              <w:rPr>
                <w:sz w:val="22"/>
                <w:szCs w:val="22"/>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73.8</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188.1</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140.5</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66.2</w:t>
            </w:r>
          </w:p>
        </w:tc>
        <w:tc>
          <w:tcPr>
            <w:tcW w:w="300" w:type="dxa"/>
            <w:vAlign w:val="bottom"/>
          </w:tcPr>
          <w:p>
            <w:pPr>
              <w:spacing w:after="0"/>
              <w:rPr>
                <w:sz w:val="22"/>
                <w:szCs w:val="22"/>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105.1</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129.2</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25.2</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23.7</w:t>
            </w:r>
          </w:p>
        </w:tc>
        <w:tc>
          <w:tcPr>
            <w:tcW w:w="300" w:type="dxa"/>
            <w:vAlign w:val="bottom"/>
          </w:tcPr>
          <w:p>
            <w:pPr>
              <w:spacing w:after="0"/>
              <w:rPr>
                <w:sz w:val="22"/>
                <w:szCs w:val="22"/>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123.8</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147.5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212.8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10.8</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45.4</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67.6</w:t>
            </w:r>
          </w:p>
        </w:tc>
        <w:tc>
          <w:tcPr>
            <w:tcW w:w="5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20</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329.2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278.0</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420.1</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45</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413.8</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355.6</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769.4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754.6</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2,933.5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2,294.8</w:t>
            </w:r>
          </w:p>
        </w:tc>
        <w:tc>
          <w:tcPr>
            <w:tcW w:w="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5,228.3</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4,865.1</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74"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92"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Revenue of Humalog, our injectable human insulin analog for the treatment of diabetes, increased 24 percent in the U.S. during the first three months of 2017, driven by decreased revenue in the first quarter of 2016 resulting from changes in estimates for rebates and discounts, and to a lesser extent increased demand. Revenue outside the U.S. increased 6 percent during the first three months of 2017, driven by increased volume and, to a lesser extent, higher realized prices, partially offset by the unfavorable impact of foreign exchange rates.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Cialis, a treatment for erectile dysfunction and benign prostatic hyperplasia, decreased 8 percent in the U.S. during the first three months of 2017, driven by decreased demand. Revenue outside the U.S. decreased 6 percent during the first three months of 2017, driven by decreased volume and, to a lesser extent, the unfavorable impact of foreign exchange rates, partially offset by higher realized prices. We will lose our patent protection for Cialis in the U.S. and major European markets in November 2017. We expect that the entry of generic competition following the loss of exclusivity will cause a rapid and severe decline in revenue.</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Alimta, a treatment for various cancers, decreased 14 percent in the U.S. during the first three months of 2017, driven by decreased demand due to competitive pressure. Revenue outside the U.S. decreased 13 percent during the first three months of 2017, driven by lower realized prices, the loss of exclusivity in several countries and, to a lesser extent, the unfavorable impact of foreign exchange rates. We have faced and remain exposed to generic entry in multiple countries that has eroded revenue and is likely to continue to erode revenue from current levels.</w:t>
      </w:r>
    </w:p>
    <w:p>
      <w:pPr>
        <w:spacing w:after="0" w:line="9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Revenue of Trulicity, a treatment for type 2 diabetes, in the U.S. during the first three months of 2017, was driven by growth in the GLP-1 market and increased share of market for Trulicity. Revenue outside the U.S. during the first three months of 2017, was primarily driven by uptake in Europe and Japan.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6" w:right="23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20 percent in the U.S. in the first three months of 2017, driven by higher realized prices and, to a lesser extent, wholesaler buying patterns. Revenue outside the U.S. remained flat for the first three months of 2017, as lower realized prices were offset by increased volume.</w:t>
      </w:r>
    </w:p>
    <w:p>
      <w:pPr>
        <w:spacing w:after="0" w:line="9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Revenue of Humulin, an injectable human insulin for the treatment of diabetes, decreased 14 percent in the U.S. in the first three months of 2017, driven by a change in estimate in the first quarter of 2016 for a government rebate, which increased revenue in that period and, to a lesser extent, decreased demand. Revenue outside the U.S. decreased 6 percent in the first three months of 2017, driven by lower realized prices and, to a lesser extent, the unfavorable impact of foreign exchange rates, partially offset by increased volume.</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 of Strattera, a treatment for attention-deficit hyperactivity disorder, increased 5 percent in the U.S. in the first three months of 2017, driven by higher realized prices, partially offset by decreased demand. We will lose our patent protection for Strattera in the U.S. in May 2017. We expect that the entry of generic competition following the loss of effective patent protection will cause a rapid and severe decline in revenue. Revenue outside the U.S. increased 3 percent during the first three months of 2017, driven by increased volume in Japan, partially offset by lower realized prices.</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was $34.1 million in the U.S. during the first three months of 2017, compared to $23.3 million in the first three months of 2016. Cymbalta revenue decreased 20 percent outside the U.S. in the first three months of 2016, primarily driven by the loss of exclusivity in Canada and Europe.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 of Cyramza, a treatment for various cancers, decreased 8 percent in the U.S. in the first three months of 2017, driven by lower realized prices and, to a lesser extent, decreased demand due to competitive pressure. Revenue outside the U.S. increased 77 percent in the first three months of 2017, primarily due to increased volume in Japan, partially offset by lower realized prices.</w:t>
      </w:r>
    </w:p>
    <w:p>
      <w:pPr>
        <w:spacing w:after="0" w:line="9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Revenue of Erbitux, a treatment for various cancers, decreased 8 percent in the U.S. in the first three months of 2017, due to competitive pressure.</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Worldwide food animal revenue decreased 3 percent, driven by lower worldwide volume due to continued economic pressure in the dairy market and customer buying patterns. Worldwide companion animal revenue increased 13 percent, driven by the inclusion of $40.8 million in revenue from the BIVIVP acquisition, partially offset by worldwide competitive pressure.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Gross margin as a percent of revenue increased 1.8 percentage points to 74.6 percent for the first three months of 2017 compared with the first three months of 2016. The increase in gross margin percent for the first three months of 2017 was primarily due to manufacturing efficiencies.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 percent to $1.24 billion for the first three months of 2017.</w:t>
      </w:r>
    </w:p>
    <w:p>
      <w:pPr>
        <w:spacing w:after="0" w:line="117" w:lineRule="exact"/>
        <w:rPr>
          <w:sz w:val="20"/>
          <w:szCs w:val="20"/>
          <w:color w:val="auto"/>
        </w:rPr>
      </w:pPr>
    </w:p>
    <w:p>
      <w:pPr>
        <w:jc w:val="both"/>
        <w:ind w:right="780"/>
        <w:spacing w:after="0" w:line="262" w:lineRule="auto"/>
        <w:rPr>
          <w:sz w:val="20"/>
          <w:szCs w:val="20"/>
          <w:color w:val="auto"/>
        </w:rPr>
      </w:pPr>
      <w:r>
        <w:rPr>
          <w:rFonts w:ascii="Arial" w:cs="Arial" w:eastAsia="Arial" w:hAnsi="Arial"/>
          <w:sz w:val="18"/>
          <w:szCs w:val="18"/>
          <w:color w:val="auto"/>
        </w:rPr>
        <w:t>Marketing, selling, and administrative expenses increased 5 percent to $1.54 billion for the first three months of 2017, primarily due to increased expenses related to new pharmaceutical products, partially offset by decreased expenses related to late life-cycle products.</w:t>
      </w:r>
    </w:p>
    <w:p>
      <w:pPr>
        <w:spacing w:after="0" w:line="8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recognized $857.6 million of acquired IPR&amp;D charges in the first three months of 2017 associated with the acquisition of CoLucid. There were no acquired IPR&amp;D charges for the first three months of 2016. See Note 3 to the consolidated condensed financial statements for additional information.</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$213.9 million for the first three months of 2017 compared with charges of $131.4 million for the first three months of 2016. The charges for the first three months of 2017 were due to severance costs incurred as a result of actions taken to reduce our cost structure, integration costs, and asset impairments and exit fees due to site closures. The charges for the first three months of 2016 were associated with asset impairments related to the closure of an animal health manufacturing facility in Ireland and integration costs related to the acquisition of Novartis AH. See Note 5 to the consolidated condensed financial statements for additional information.</w:t>
      </w:r>
    </w:p>
    <w:p>
      <w:pPr>
        <w:spacing w:after="0" w:line="1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Other–net, (income) expense was income of $15.1 million for the first three months of 2017 compared with expense $149.0 million for the first three months of 2016. Other expense during the first three months of 2016 was driven by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6" w:right="239" w:bottom="1440" w:gutter="0" w:footer="0" w:header="0"/>
        </w:sectPr>
      </w:pPr>
    </w:p>
    <w:bookmarkStart w:id="39" w:name="page40"/>
    <w:bookmarkEnd w:id="39"/>
    <w:p>
      <w:pPr>
        <w:spacing w:after="0" w:line="262" w:lineRule="auto"/>
        <w:rPr>
          <w:sz w:val="20"/>
          <w:szCs w:val="20"/>
          <w:color w:val="auto"/>
        </w:rPr>
      </w:pPr>
      <w:r>
        <w:rPr>
          <w:rFonts w:ascii="Arial" w:cs="Arial" w:eastAsia="Arial" w:hAnsi="Arial"/>
          <w:sz w:val="18"/>
          <w:szCs w:val="18"/>
          <w:color w:val="auto"/>
        </w:rPr>
        <w:t>a $203.9 million charge related to the impact of the Venezuelan financial crisis, including the significant deterioration of the bolívar. See Note 12 to the consolidated condensed financial statements for additional information.</w:t>
      </w:r>
    </w:p>
    <w:p>
      <w:pPr>
        <w:spacing w:after="0" w:line="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three months of 2017, we incurred $172.0 million of income tax expense despite earning $61.2 million of income before income taxes as a result of the nondeductible $857.6 million acquired IPR&amp;D charge for the acquisition of CoLucid. During the first three months of 2016 our effective tax rate was 22.4 percent.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and cash equivalents decreased to $2.62 billion as of March 31, 2017, compared with $4.58 billion as of December 31, 2016. Refer to the consolidated condensed statements of cash flows for additional details on the significant sources and uses of cash for the three months ended March 31, 2017 and 2016.</w:t>
      </w:r>
    </w:p>
    <w:p>
      <w:pPr>
        <w:spacing w:after="0" w:line="94"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$6.19 billion and $6.66 billion as of March 31, 2017 and December 31, 2016, respectively. See Note 6 to the consolidated condensed financial statements for additional details.</w:t>
      </w:r>
    </w:p>
    <w:p>
      <w:pPr>
        <w:spacing w:after="0" w:line="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Total debt decreased to $10.25 billion as of March 31, 2017, compared with $10.31 billion as of December 31, 2016. The decrease was due to the repayment of $630.2 million of long term debt largely offset by the net issuance of $497.5 million of commercial paper. At March 31, 2017, we had a total of $5.17 billion of committed bank credit facilities, $5.00 billion of which is available to support our commercial paper program. We believe that amounts accessible through existing commercial paper markets should be adequate to fund short-term borrowings.</w:t>
      </w:r>
    </w:p>
    <w:p>
      <w:pPr>
        <w:spacing w:after="0" w:line="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During the three months ended March 31, 2017, we repurchased $60.0 million of shares associated with our previously announced $5.00 billion share repurchase program.</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8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See "Other Matters—Patent Matters" for information regarding recent and upcoming losses of patent protection for Zyprexa (Japan), Alimta (U.S., Europe, and Japan), Strattera (U.S.), Effient (U.S.), and Cialis (U.S. and Europe).</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0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Full-year 2017 EPS is revised to be in the range of $2.60 to $2.70, primarily due to severance costs incurred as a result of actions taken to reduce our cost structure. We still expect 2017 revenue of between $21.8 billion and $22.3 billion. Excluding the impact of foreign exchange rates, we expect revenue growth from animal health products and a number of established pharmaceutical products including Trajenta, Forteo, and Humalog, as well as higher revenue from new products including Trulicity, Taltz, Basaglar</w:t>
      </w:r>
      <w:r>
        <w:rPr>
          <w:rFonts w:ascii="Arial" w:cs="Arial" w:eastAsia="Arial" w:hAnsi="Arial"/>
          <w:sz w:val="21"/>
          <w:szCs w:val="21"/>
          <w:color w:val="auto"/>
          <w:vertAlign w:val="superscript"/>
        </w:rPr>
        <w:t>®</w:t>
      </w:r>
      <w:r>
        <w:rPr>
          <w:rFonts w:ascii="Arial" w:cs="Arial" w:eastAsia="Arial" w:hAnsi="Arial"/>
          <w:sz w:val="18"/>
          <w:szCs w:val="18"/>
          <w:color w:val="auto"/>
        </w:rPr>
        <w:t>, Cyramza, Jardiance</w:t>
      </w:r>
      <w:r>
        <w:rPr>
          <w:rFonts w:ascii="Arial" w:cs="Arial" w:eastAsia="Arial" w:hAnsi="Arial"/>
          <w:sz w:val="21"/>
          <w:szCs w:val="21"/>
          <w:color w:val="auto"/>
          <w:vertAlign w:val="superscript"/>
        </w:rPr>
        <w:t>®</w:t>
      </w:r>
      <w:r>
        <w:rPr>
          <w:rFonts w:ascii="Arial" w:cs="Arial" w:eastAsia="Arial" w:hAnsi="Arial"/>
          <w:sz w:val="18"/>
          <w:szCs w:val="18"/>
          <w:color w:val="auto"/>
        </w:rPr>
        <w:t>, and Lartruvo.</w:t>
      </w:r>
    </w:p>
    <w:p>
      <w:pPr>
        <w:spacing w:after="0" w:line="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73.5 percent. Research and development expenses are still expected to be in the range of $4.9 billion to $5.1 billion. Marketing, selling, and administrative expenses are still expected to be in the range of $6.4 billion to $6.6 billion. Other—net, (income) expense is still expected to be income of up to $100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2017 tax rate is still expected to be approximately 24.5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$1.2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36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president and chief executive officer, and Derica W. Rice, executive vice president, global services, and chief financial officer, evaluated our disclosure controls and procedures as of March 31, 2017, and concluded that they are effective.</w:t>
      </w:r>
    </w:p>
    <w:p>
      <w:pPr>
        <w:spacing w:after="0" w:line="75" w:lineRule="exact"/>
        <w:rPr>
          <w:rFonts w:ascii="Arial" w:cs="Arial" w:eastAsia="Arial" w:hAnsi="Arial"/>
          <w:sz w:val="18"/>
          <w:szCs w:val="18"/>
          <w:color w:val="auto"/>
        </w:rPr>
      </w:pPr>
    </w:p>
    <w:p>
      <w:pPr>
        <w:ind w:left="660" w:right="40" w:hanging="652"/>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2017, there were no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6" w:right="259" w:bottom="1440" w:gutter="0" w:footer="0" w:header="0"/>
        </w:sectPr>
      </w:pPr>
    </w:p>
    <w:bookmarkStart w:id="41" w:name="page42"/>
    <w:bookmarkEnd w:id="41"/>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Cymbalta.</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2016 (Part I, Item 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9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named as a defendant in approximately 495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760 plaintiffs. Approximately 60 of these lawsuits, covering about 320 plaintiffs, are filed in California state court and coordinated in a Los Angeles Superior Court. Approximately 430 lawsuits, covering about 435 plaintiffs, are filed in federal court, the majority of which are coordinated in a multidistrict litigation (MDL) in the U.S. District Court for the Southern District of California. The remaining three lawsuits, representing four plaintiffs, are in various state courts. Approximately 485 of the lawsuits, involving approximately 720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co-defendants on the claims alleging pancreatic cancer; those rulings are being appealed by the plaintiffs.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1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are named as a defendant in approximately 530 Axiron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530 plaintiffs. In about one-third of the cases, other manufacturers of testosterone are named as co-defendants. Nearly all of these lawsuits have been consolidated in a federal MDL in the U.S. District Court for the Northern District of Illinois. A small number of lawsuits have been filed in state courts. The cases generally allege cardiovascular and related injuries. Medical Mutual of Ohio has filed a class action complaint against multiple manufacturers of testosterone products in the Northern District of Illinois, on behalf of third party payers who paid for those products. The complainant is seeking damages under various state consumer protection laws and the federal Racketeer Influenced and Corrupt Organizations Act. We believe these lawsuits and claims are without merit and are prepared to defend against them vigorously.</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are named as a defendant in approximately 60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 ® .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Liability Litigation </w:t>
      </w:r>
      <w:r>
        <w:rPr>
          <w:rFonts w:ascii="Arial" w:cs="Arial" w:eastAsia="Arial" w:hAnsi="Arial"/>
          <w:sz w:val="18"/>
          <w:szCs w:val="18"/>
          <w:color w:val="auto"/>
        </w:rPr>
        <w:t>. We believe these lawsuits and claims are without merit and are prepared to defend against them vigorously.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Litigation</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patent. In September 2012, the Canadian Court of Appeals affirmed the lower court's decision that the patent was invalid for lack of utility. In 2013, our petition for leave to appeal the decision to the Supreme Court of Canada was denied. Two of the generic companies, Apotex Inc. (Apotex) and Teva Canada Limited (Teva Canada), pursued claims for damages arising from our enforcement of the patent under Canadian regulations. In April 2014, the Supreme Court of Canada dismissed Apotex's damages suit. Teva Canada's claim for damages remains, and a separate trial to determine the total amount of damages that may be awarded to Teva Canada concluded in May 2016. In January 2017, the court issued a ruling that Teva Canada is entitled to damages. We have appealed this decision.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along with Sanofi and Novo Nordisk, are named as defendants in a purported class action lawsuit in the U.S. District Court of New Jersey, </w:t>
      </w:r>
      <w:r>
        <w:rPr>
          <w:rFonts w:ascii="Arial" w:cs="Arial" w:eastAsia="Arial" w:hAnsi="Arial"/>
          <w:sz w:val="18"/>
          <w:szCs w:val="18"/>
          <w:i w:val="1"/>
          <w:iCs w:val="1"/>
          <w:color w:val="auto"/>
        </w:rPr>
        <w:t>In re. Insulin Pricing Litig.</w:t>
      </w:r>
      <w:r>
        <w:rPr>
          <w:rFonts w:ascii="Arial" w:cs="Arial" w:eastAsia="Arial" w:hAnsi="Arial"/>
          <w:sz w:val="18"/>
          <w:szCs w:val="18"/>
          <w:color w:val="auto"/>
        </w:rPr>
        <w:t>, relating to insulin pricing. Three additional purported class action lawsuits,</w:t>
      </w:r>
      <w:r>
        <w:rPr>
          <w:rFonts w:ascii="Arial" w:cs="Arial" w:eastAsia="Arial" w:hAnsi="Arial"/>
          <w:sz w:val="18"/>
          <w:szCs w:val="18"/>
          <w:i w:val="1"/>
          <w:iCs w:val="1"/>
          <w:color w:val="auto"/>
        </w:rPr>
        <w:t xml:space="preserve"> Barnett v. Novo Nordisk Inc. </w:t>
      </w:r>
      <w:r>
        <w:rPr>
          <w:rFonts w:ascii="Arial" w:cs="Arial" w:eastAsia="Arial" w:hAnsi="Arial"/>
          <w:sz w:val="18"/>
          <w:szCs w:val="18"/>
          <w:color w:val="auto"/>
        </w:rPr>
        <w:t>and</w:t>
      </w:r>
      <w:r>
        <w:rPr>
          <w:rFonts w:ascii="Arial" w:cs="Arial" w:eastAsia="Arial" w:hAnsi="Arial"/>
          <w:sz w:val="18"/>
          <w:szCs w:val="18"/>
          <w:i w:val="1"/>
          <w:iCs w:val="1"/>
          <w:color w:val="auto"/>
        </w:rPr>
        <w:t xml:space="preserve"> Boss v. CVS Health Corp.</w:t>
      </w:r>
      <w:r>
        <w:rPr>
          <w:rFonts w:ascii="Arial" w:cs="Arial" w:eastAsia="Arial" w:hAnsi="Arial"/>
          <w:sz w:val="18"/>
          <w:szCs w:val="18"/>
          <w:color w:val="auto"/>
        </w:rPr>
        <w:t>, and</w:t>
      </w:r>
      <w:r>
        <w:rPr>
          <w:rFonts w:ascii="Arial" w:cs="Arial" w:eastAsia="Arial" w:hAnsi="Arial"/>
          <w:sz w:val="18"/>
          <w:szCs w:val="18"/>
          <w:i w:val="1"/>
          <w:iCs w:val="1"/>
          <w:color w:val="auto"/>
        </w:rPr>
        <w:t xml:space="preserve"> Christensen v. Novo Nordisk Inc.</w:t>
      </w:r>
      <w:r>
        <w:rPr>
          <w:rFonts w:ascii="Arial" w:cs="Arial" w:eastAsia="Arial" w:hAnsi="Arial"/>
          <w:sz w:val="18"/>
          <w:szCs w:val="18"/>
          <w:color w:val="auto"/>
        </w:rPr>
        <w:t>, have been filed against the three manufacturers and various pharmacy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in the same court. The complainants in all four lawsuits are seeking damages under various state consumer protection laws and the federal Racketeer Influenced and Corrupt Organizations Act. The three lawsuits that include the pharmacy benefit managers as defendants also allege anti-trust violations, among other state and federal law violations. We believe these lawsuits and claims are without merit and are prepared to defend against them vigorously.</w:t>
      </w:r>
    </w:p>
    <w:p>
      <w:pPr>
        <w:spacing w:after="0" w:line="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September 2015, we were advised that the U.S. Attorney’s office for the Eastern District of Pennsylvania and the Civil Division of the Department of Justice are conducting an inquiry concerning the treatment by various pharmaceutical companies, including us, of certain distribution service agreements with wholesalers when calculating and reporting Average Manufacturer Prices in connection with the Medicaid drug rebate program. We are voluntarily responding to this request.</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received a civil investigative demand from the State of Washington’s Office of the Attorney General relating to the pricing of our insulin products and our relationships with pharmacy benefit managers. We are cooperating with this investigation.</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have received a civil investigative demand from the State of New Mexico's Office of the Attorney General relating to the pricing of our insulin products. We are cooperating with this investigation.</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2016.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14"/>
                <w:szCs w:val="14"/>
                <w:color w:val="auto"/>
              </w:rPr>
            </w:pPr>
          </w:p>
        </w:tc>
        <w:tc>
          <w:tcPr>
            <w:tcW w:w="2200" w:type="dxa"/>
            <w:vAlign w:val="bottom"/>
          </w:tcPr>
          <w:p>
            <w:pPr>
              <w:jc w:val="center"/>
              <w:ind w:right="18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20" w:type="dxa"/>
            <w:vAlign w:val="bottom"/>
          </w:tcPr>
          <w:p>
            <w:pPr>
              <w:spacing w:after="0"/>
              <w:rPr>
                <w:sz w:val="14"/>
                <w:szCs w:val="14"/>
                <w:color w:val="auto"/>
              </w:rPr>
            </w:pPr>
          </w:p>
        </w:tc>
        <w:tc>
          <w:tcPr>
            <w:tcW w:w="2200" w:type="dxa"/>
            <w:vAlign w:val="bottom"/>
          </w:tcPr>
          <w:p>
            <w:pPr>
              <w:jc w:val="center"/>
              <w:ind w:right="12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20" w:type="dxa"/>
            <w:vAlign w:val="bottom"/>
          </w:tcPr>
          <w:p>
            <w:pPr>
              <w:spacing w:after="0"/>
              <w:rPr>
                <w:sz w:val="14"/>
                <w:szCs w:val="14"/>
                <w:color w:val="auto"/>
              </w:rPr>
            </w:pPr>
          </w:p>
        </w:tc>
        <w:tc>
          <w:tcPr>
            <w:tcW w:w="220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20" w:type="dxa"/>
            <w:vAlign w:val="bottom"/>
          </w:tcPr>
          <w:p>
            <w:pPr>
              <w:spacing w:after="0"/>
              <w:rPr>
                <w:sz w:val="14"/>
                <w:szCs w:val="14"/>
                <w:color w:val="auto"/>
              </w:rPr>
            </w:pPr>
          </w:p>
        </w:tc>
        <w:tc>
          <w:tcPr>
            <w:tcW w:w="2200" w:type="dxa"/>
            <w:vAlign w:val="bottom"/>
          </w:tcPr>
          <w:p>
            <w:pPr>
              <w:jc w:val="center"/>
              <w:ind w:right="12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2017</w:t>
            </w:r>
          </w:p>
        </w:tc>
        <w:tc>
          <w:tcPr>
            <w:tcW w:w="1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746.1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80.42</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2,350.4</w:t>
            </w: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February 2017</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2200" w:type="dxa"/>
            <w:vAlign w:val="bottom"/>
          </w:tcPr>
          <w:p>
            <w:pPr>
              <w:jc w:val="right"/>
              <w:ind w:right="41"/>
              <w:spacing w:after="0"/>
              <w:rPr>
                <w:sz w:val="20"/>
                <w:szCs w:val="20"/>
                <w:color w:val="auto"/>
              </w:rPr>
            </w:pPr>
            <w:r>
              <w:rPr>
                <w:rFonts w:ascii="Arial" w:cs="Arial" w:eastAsia="Arial" w:hAnsi="Arial"/>
                <w:sz w:val="18"/>
                <w:szCs w:val="18"/>
                <w:color w:val="auto"/>
              </w:rPr>
              <w:t>2,350.4</w:t>
            </w: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2017</w:t>
            </w:r>
          </w:p>
        </w:tc>
        <w:tc>
          <w:tcPr>
            <w:tcW w:w="1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2,350.4</w:t>
            </w:r>
          </w:p>
        </w:tc>
      </w:tr>
      <w:tr>
        <w:trPr>
          <w:trHeight w:val="264"/>
        </w:trPr>
        <w:tc>
          <w:tcPr>
            <w:tcW w:w="262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746.1</w:t>
            </w:r>
          </w:p>
        </w:tc>
        <w:tc>
          <w:tcPr>
            <w:tcW w:w="28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80.42</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746.1</w:t>
            </w: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r>
    </w:tbl>
    <w:p>
      <w:pPr>
        <w:spacing w:after="0" w:line="1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three months ended March 31, 2017, we repurchased $60.0 million of shares associated with our $5.00 billion share repurchase program announced in October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00"/>
          </w:cols>
          <w:pgMar w:left="240" w:top="576" w:right="25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David A. Ricks, President and Chief Executive Officer</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40"/>
          </w:cols>
          <w:pgMar w:left="240" w:top="576" w:right="259" w:bottom="1440" w:gutter="0" w:footer="0" w:header="0"/>
          <w:type w:val="continuous"/>
        </w:sectPr>
      </w:pP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576" w:right="25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May 1,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May 1,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sz w:val="20"/>
          <w:szCs w:val="20"/>
          <w:color w:val="auto"/>
        </w:rPr>
      </w:pPr>
    </w:p>
    <w:p>
      <w:pPr>
        <w:ind w:left="2660" w:right="200" w:hanging="2633"/>
        <w:spacing w:after="0" w:line="246" w:lineRule="auto"/>
        <w:tabs>
          <w:tab w:leader="none" w:pos="26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Amended Articles of Incorporation are incorporated by reference to Exhibit 3.1 to the Company's Report on Form 10-K for the year ended December 31, 2013.</w:t>
      </w:r>
    </w:p>
    <w:p>
      <w:pPr>
        <w:sectPr>
          <w:pgSz w:w="11900" w:h="16838" w:orient="portrait"/>
          <w:cols w:equalWidth="0" w:num="1">
            <w:col w:w="11360"/>
          </w:cols>
          <w:pgMar w:left="240" w:top="576" w:right="299" w:bottom="1440" w:gutter="0" w:footer="0" w:header="0"/>
        </w:sect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By-laws, as amended, are incorporated by reference to Exhibit 99 to the Company's Report on Form 8-K filed February 27, 2012.</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David A. Ricks, President and Chief Executive Officer</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60"/>
          </w:cols>
          <w:pgMar w:left="240" w:top="576" w:right="299" w:bottom="1440" w:gutter="0" w:footer="0" w:header="0"/>
          <w:type w:val="continuous"/>
        </w:sectPr>
      </w:pPr>
    </w:p>
    <w:bookmarkStart w:id="46" w:name="page47"/>
    <w:bookmarkEnd w:id="46"/>
    <w:p>
      <w:pPr>
        <w:jc w:val="center"/>
        <w:ind w:left="260" w:right="2540"/>
        <w:spacing w:after="0" w:line="42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5,889.3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58.1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198.8</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107.8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3,559.2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3,149.1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6,049.4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EXHIBIT 31.1 Rule 13a-14(a) Certification of David A. Ricks,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1,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8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1,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March 31, 2017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May 1, 2017</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May 1, 2017</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emdash "/>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2019-12-29T07:03:36Z</dcterms:created>
  <dcterms:modified xsi:type="dcterms:W3CDTF">2019-12-29T07:03:36Z</dcterms:modified>
</cp:coreProperties>
</file>