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599440</wp:posOffset>
            </wp:positionH>
            <wp:positionV relativeFrom="page">
              <wp:posOffset>679450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638810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Quarterly Report Pursuant to Section 13 or 15(d) of the</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Exchange Act of 1934</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001-6351</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ELI LILLY AND COMPANY</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114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3"/>
          <w:szCs w:val="13"/>
          <w:color w:val="auto"/>
        </w:rPr>
        <w:t>35-0470950</w:t>
      </w:r>
    </w:p>
    <w:p>
      <w:pPr>
        <w:spacing w:after="0" w:line="44" w:lineRule="exact"/>
        <w:rPr>
          <w:sz w:val="24"/>
          <w:szCs w:val="24"/>
          <w:color w:val="auto"/>
        </w:rPr>
      </w:pPr>
    </w:p>
    <w:p>
      <w:pPr>
        <w:sectPr>
          <w:pgSz w:w="11900" w:h="16838" w:orient="portrait"/>
          <w:cols w:equalWidth="0" w:num="2">
            <w:col w:w="7480" w:space="720"/>
            <w:col w:w="3040"/>
          </w:cols>
          <w:pgMar w:left="320" w:top="1145" w:right="339" w:bottom="1440" w:gutter="0" w:footer="0" w:header="0"/>
          <w:type w:val="continuous"/>
        </w:sectPr>
      </w:pPr>
    </w:p>
    <w:p>
      <w:pPr>
        <w:ind w:left="190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44" w:lineRule="exact"/>
        <w:rPr>
          <w:sz w:val="24"/>
          <w:szCs w:val="24"/>
          <w:color w:val="auto"/>
        </w:rPr>
      </w:pPr>
    </w:p>
    <w:p>
      <w:pPr>
        <w:sectPr>
          <w:pgSz w:w="11900" w:h="16838" w:orient="portrait"/>
          <w:cols w:equalWidth="0" w:num="2">
            <w:col w:w="7340" w:space="720"/>
            <w:col w:w="3180"/>
          </w:cols>
          <w:pgMar w:left="320" w:top="1145" w:right="339" w:bottom="1440" w:gutter="0" w:footer="0" w:header="0"/>
          <w:type w:val="continuous"/>
        </w:sectPr>
      </w:pPr>
    </w:p>
    <w:p>
      <w:pPr>
        <w:ind w:left="18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186" w:lineRule="exact"/>
        <w:rPr>
          <w:sz w:val="24"/>
          <w:szCs w:val="24"/>
          <w:color w:val="auto"/>
        </w:rPr>
      </w:pPr>
    </w:p>
    <w:p>
      <w:pPr>
        <w:sectPr>
          <w:pgSz w:w="11900" w:h="16838" w:orient="portrait"/>
          <w:cols w:equalWidth="0" w:num="2">
            <w:col w:w="7320" w:space="720"/>
            <w:col w:w="3200"/>
          </w:cols>
          <w:pgMar w:left="320" w:top="1145" w:right="339" w:bottom="1440" w:gutter="0" w:footer="0" w:header="0"/>
          <w:type w:val="continuous"/>
        </w:sectPr>
      </w:pPr>
    </w:p>
    <w:p>
      <w:pPr>
        <w:ind w:left="4080"/>
        <w:spacing w:after="0"/>
        <w:rPr>
          <w:sz w:val="20"/>
          <w:szCs w:val="20"/>
          <w:color w:val="auto"/>
        </w:rPr>
      </w:pPr>
      <w:r>
        <w:rPr>
          <w:rFonts w:ascii="Arial" w:cs="Arial" w:eastAsia="Arial" w:hAnsi="Arial"/>
          <w:sz w:val="14"/>
          <w:szCs w:val="14"/>
          <w:color w:val="auto"/>
        </w:rPr>
        <w:t>Lilly Corporate Center, Indianapolis, Indiana 46285</w:t>
      </w:r>
    </w:p>
    <w:p>
      <w:pPr>
        <w:spacing w:after="0" w:line="4"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(Address and zip code of principal executive offices)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 (317) 276-2000</w:t>
      </w:r>
    </w:p>
    <w:p>
      <w:pPr>
        <w:sectPr>
          <w:pgSz w:w="11900" w:h="16838" w:orient="portrait"/>
          <w:cols w:equalWidth="0" w:num="1">
            <w:col w:w="11240"/>
          </w:cols>
          <w:pgMar w:left="320" w:top="1145"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6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1080" w:type="dxa"/>
            <w:vAlign w:val="bottom"/>
          </w:tcPr>
          <w:p>
            <w:pPr>
              <w:spacing w:after="0"/>
              <w:rPr>
                <w:sz w:val="20"/>
                <w:szCs w:val="20"/>
                <w:color w:val="auto"/>
              </w:rPr>
            </w:pPr>
            <w:r>
              <w:rPr>
                <w:rFonts w:ascii="Arial" w:cs="Arial" w:eastAsia="Arial" w:hAnsi="Arial"/>
                <w:sz w:val="12"/>
                <w:szCs w:val="12"/>
                <w:b w:val="1"/>
                <w:bCs w:val="1"/>
                <w:color w:val="auto"/>
                <w:w w:val="99"/>
              </w:rPr>
              <w:t>Title of Each Class</w:t>
            </w:r>
          </w:p>
        </w:tc>
        <w:tc>
          <w:tcPr>
            <w:tcW w:w="2640" w:type="dxa"/>
            <w:vAlign w:val="bottom"/>
          </w:tcPr>
          <w:p>
            <w:pPr>
              <w:spacing w:after="0"/>
              <w:rPr>
                <w:sz w:val="12"/>
                <w:szCs w:val="12"/>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w w:val="98"/>
              </w:rPr>
              <w:t>Trading Symbols</w:t>
            </w:r>
          </w:p>
        </w:tc>
        <w:tc>
          <w:tcPr>
            <w:tcW w:w="4720" w:type="dxa"/>
            <w:vAlign w:val="bottom"/>
            <w:gridSpan w:val="2"/>
          </w:tcPr>
          <w:p>
            <w:pPr>
              <w:ind w:left="2060"/>
              <w:spacing w:after="0"/>
              <w:rPr>
                <w:sz w:val="20"/>
                <w:szCs w:val="20"/>
                <w:color w:val="auto"/>
              </w:rPr>
            </w:pPr>
            <w:r>
              <w:rPr>
                <w:rFonts w:ascii="Arial" w:cs="Arial" w:eastAsia="Arial" w:hAnsi="Arial"/>
                <w:sz w:val="12"/>
                <w:szCs w:val="12"/>
                <w:b w:val="1"/>
                <w:bCs w:val="1"/>
                <w:color w:val="auto"/>
                <w:w w:val="99"/>
              </w:rPr>
              <w:t>Name of Each Exchange On Which Registered</w:t>
            </w:r>
          </w:p>
        </w:tc>
      </w:tr>
      <w:tr>
        <w:trPr>
          <w:trHeight w:val="20"/>
        </w:trPr>
        <w:tc>
          <w:tcPr>
            <w:tcW w:w="10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171"/>
        </w:trPr>
        <w:tc>
          <w:tcPr>
            <w:tcW w:w="3720" w:type="dxa"/>
            <w:vAlign w:val="bottom"/>
            <w:gridSpan w:val="2"/>
          </w:tcPr>
          <w:p>
            <w:pPr>
              <w:spacing w:after="0"/>
              <w:rPr>
                <w:sz w:val="20"/>
                <w:szCs w:val="20"/>
                <w:color w:val="auto"/>
              </w:rPr>
            </w:pPr>
            <w:r>
              <w:rPr>
                <w:rFonts w:ascii="Arial" w:cs="Arial" w:eastAsia="Arial" w:hAnsi="Arial"/>
                <w:sz w:val="12"/>
                <w:szCs w:val="12"/>
                <w:color w:val="auto"/>
              </w:rPr>
              <w:t>Common Stock (no par value)</w:t>
            </w:r>
          </w:p>
        </w:tc>
        <w:tc>
          <w:tcPr>
            <w:tcW w:w="980" w:type="dxa"/>
            <w:vAlign w:val="bottom"/>
          </w:tcPr>
          <w:p>
            <w:pPr>
              <w:spacing w:after="0"/>
              <w:rPr>
                <w:sz w:val="20"/>
                <w:szCs w:val="20"/>
                <w:color w:val="auto"/>
              </w:rPr>
            </w:pPr>
            <w:r>
              <w:rPr>
                <w:rFonts w:ascii="Arial" w:cs="Arial" w:eastAsia="Arial" w:hAnsi="Arial"/>
                <w:sz w:val="12"/>
                <w:szCs w:val="12"/>
                <w:color w:val="auto"/>
              </w:rPr>
              <w:t>LLY</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7 1/8% Notes due 2025</w:t>
            </w:r>
          </w:p>
        </w:tc>
        <w:tc>
          <w:tcPr>
            <w:tcW w:w="980" w:type="dxa"/>
            <w:vAlign w:val="bottom"/>
          </w:tcPr>
          <w:p>
            <w:pPr>
              <w:spacing w:after="0"/>
              <w:rPr>
                <w:sz w:val="20"/>
                <w:szCs w:val="20"/>
                <w:color w:val="auto"/>
              </w:rPr>
            </w:pPr>
            <w:r>
              <w:rPr>
                <w:rFonts w:ascii="Arial" w:cs="Arial" w:eastAsia="Arial" w:hAnsi="Arial"/>
                <w:sz w:val="12"/>
                <w:szCs w:val="12"/>
                <w:color w:val="auto"/>
              </w:rPr>
              <w:t>LLY25</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1.625% Notes due 2026</w:t>
            </w:r>
          </w:p>
        </w:tc>
        <w:tc>
          <w:tcPr>
            <w:tcW w:w="980" w:type="dxa"/>
            <w:vAlign w:val="bottom"/>
          </w:tcPr>
          <w:p>
            <w:pPr>
              <w:spacing w:after="0"/>
              <w:rPr>
                <w:sz w:val="20"/>
                <w:szCs w:val="20"/>
                <w:color w:val="auto"/>
              </w:rPr>
            </w:pPr>
            <w:r>
              <w:rPr>
                <w:rFonts w:ascii="Arial" w:cs="Arial" w:eastAsia="Arial" w:hAnsi="Arial"/>
                <w:sz w:val="12"/>
                <w:szCs w:val="12"/>
                <w:color w:val="auto"/>
              </w:rPr>
              <w:t>LLY26</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2.125% Notes due 2030</w:t>
            </w:r>
          </w:p>
        </w:tc>
        <w:tc>
          <w:tcPr>
            <w:tcW w:w="980" w:type="dxa"/>
            <w:vAlign w:val="bottom"/>
          </w:tcPr>
          <w:p>
            <w:pPr>
              <w:spacing w:after="0"/>
              <w:rPr>
                <w:sz w:val="20"/>
                <w:szCs w:val="20"/>
                <w:color w:val="auto"/>
              </w:rPr>
            </w:pPr>
            <w:r>
              <w:rPr>
                <w:rFonts w:ascii="Arial" w:cs="Arial" w:eastAsia="Arial" w:hAnsi="Arial"/>
                <w:sz w:val="12"/>
                <w:szCs w:val="12"/>
                <w:color w:val="auto"/>
              </w:rPr>
              <w:t>LLY30</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0.625% Notes due 2031</w:t>
            </w:r>
          </w:p>
        </w:tc>
        <w:tc>
          <w:tcPr>
            <w:tcW w:w="980" w:type="dxa"/>
            <w:vAlign w:val="bottom"/>
          </w:tcPr>
          <w:p>
            <w:pPr>
              <w:spacing w:after="0"/>
              <w:rPr>
                <w:sz w:val="20"/>
                <w:szCs w:val="20"/>
                <w:color w:val="auto"/>
              </w:rPr>
            </w:pPr>
            <w:r>
              <w:rPr>
                <w:rFonts w:ascii="Arial" w:cs="Arial" w:eastAsia="Arial" w:hAnsi="Arial"/>
                <w:sz w:val="12"/>
                <w:szCs w:val="12"/>
                <w:color w:val="auto"/>
              </w:rPr>
              <w:t>LLY31</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0.500% Notes due 2033</w:t>
            </w:r>
          </w:p>
        </w:tc>
        <w:tc>
          <w:tcPr>
            <w:tcW w:w="980" w:type="dxa"/>
            <w:vAlign w:val="bottom"/>
          </w:tcPr>
          <w:p>
            <w:pPr>
              <w:spacing w:after="0"/>
              <w:rPr>
                <w:sz w:val="20"/>
                <w:szCs w:val="20"/>
                <w:color w:val="auto"/>
              </w:rPr>
            </w:pPr>
            <w:r>
              <w:rPr>
                <w:rFonts w:ascii="Arial" w:cs="Arial" w:eastAsia="Arial" w:hAnsi="Arial"/>
                <w:sz w:val="12"/>
                <w:szCs w:val="12"/>
                <w:color w:val="auto"/>
              </w:rPr>
              <w:t>LLY33</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6.77% Notes due 2036</w:t>
            </w:r>
          </w:p>
        </w:tc>
        <w:tc>
          <w:tcPr>
            <w:tcW w:w="980" w:type="dxa"/>
            <w:vAlign w:val="bottom"/>
          </w:tcPr>
          <w:p>
            <w:pPr>
              <w:spacing w:after="0"/>
              <w:rPr>
                <w:sz w:val="20"/>
                <w:szCs w:val="20"/>
                <w:color w:val="auto"/>
              </w:rPr>
            </w:pPr>
            <w:r>
              <w:rPr>
                <w:rFonts w:ascii="Arial" w:cs="Arial" w:eastAsia="Arial" w:hAnsi="Arial"/>
                <w:sz w:val="12"/>
                <w:szCs w:val="12"/>
                <w:color w:val="auto"/>
              </w:rPr>
              <w:t>LLY36</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1.625% Notes due 2043</w:t>
            </w:r>
          </w:p>
        </w:tc>
        <w:tc>
          <w:tcPr>
            <w:tcW w:w="980" w:type="dxa"/>
            <w:vAlign w:val="bottom"/>
          </w:tcPr>
          <w:p>
            <w:pPr>
              <w:spacing w:after="0"/>
              <w:rPr>
                <w:sz w:val="20"/>
                <w:szCs w:val="20"/>
                <w:color w:val="auto"/>
              </w:rPr>
            </w:pPr>
            <w:r>
              <w:rPr>
                <w:rFonts w:ascii="Arial" w:cs="Arial" w:eastAsia="Arial" w:hAnsi="Arial"/>
                <w:sz w:val="12"/>
                <w:szCs w:val="12"/>
                <w:color w:val="auto"/>
              </w:rPr>
              <w:t>LLY43</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1.700% Notes due 2049</w:t>
            </w:r>
          </w:p>
        </w:tc>
        <w:tc>
          <w:tcPr>
            <w:tcW w:w="980" w:type="dxa"/>
            <w:vAlign w:val="bottom"/>
          </w:tcPr>
          <w:p>
            <w:pPr>
              <w:spacing w:after="0"/>
              <w:rPr>
                <w:sz w:val="20"/>
                <w:szCs w:val="20"/>
                <w:color w:val="auto"/>
              </w:rPr>
            </w:pPr>
            <w:r>
              <w:rPr>
                <w:rFonts w:ascii="Arial" w:cs="Arial" w:eastAsia="Arial" w:hAnsi="Arial"/>
                <w:sz w:val="12"/>
                <w:szCs w:val="12"/>
                <w:color w:val="auto"/>
              </w:rPr>
              <w:t>LLY49A</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1.125% Notes due 2051</w:t>
            </w:r>
          </w:p>
        </w:tc>
        <w:tc>
          <w:tcPr>
            <w:tcW w:w="980" w:type="dxa"/>
            <w:vAlign w:val="bottom"/>
          </w:tcPr>
          <w:p>
            <w:pPr>
              <w:spacing w:after="0"/>
              <w:rPr>
                <w:sz w:val="20"/>
                <w:szCs w:val="20"/>
                <w:color w:val="auto"/>
              </w:rPr>
            </w:pPr>
            <w:r>
              <w:rPr>
                <w:rFonts w:ascii="Arial" w:cs="Arial" w:eastAsia="Arial" w:hAnsi="Arial"/>
                <w:sz w:val="12"/>
                <w:szCs w:val="12"/>
                <w:color w:val="auto"/>
              </w:rPr>
              <w:t>LLY51</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1.375% Notes due 2061</w:t>
            </w:r>
          </w:p>
        </w:tc>
        <w:tc>
          <w:tcPr>
            <w:tcW w:w="980" w:type="dxa"/>
            <w:vAlign w:val="bottom"/>
          </w:tcPr>
          <w:p>
            <w:pPr>
              <w:spacing w:after="0"/>
              <w:rPr>
                <w:sz w:val="20"/>
                <w:szCs w:val="20"/>
                <w:color w:val="auto"/>
              </w:rPr>
            </w:pPr>
            <w:r>
              <w:rPr>
                <w:rFonts w:ascii="Arial" w:cs="Arial" w:eastAsia="Arial" w:hAnsi="Arial"/>
                <w:sz w:val="12"/>
                <w:szCs w:val="12"/>
                <w:color w:val="auto"/>
              </w:rPr>
              <w:t>LLY61</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bl>
    <w:p>
      <w:pPr>
        <w:spacing w:after="0" w:line="101" w:lineRule="exact"/>
        <w:rPr>
          <w:sz w:val="24"/>
          <w:szCs w:val="24"/>
          <w:color w:val="auto"/>
        </w:rPr>
      </w:pPr>
    </w:p>
    <w:p>
      <w:pPr>
        <w:ind w:right="40"/>
        <w:spacing w:after="0" w:line="25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920" w:type="dxa"/>
        <w:tblCellMar>
          <w:top w:w="0" w:type="dxa"/>
          <w:left w:w="0" w:type="dxa"/>
          <w:bottom w:w="0" w:type="dxa"/>
          <w:right w:w="0" w:type="dxa"/>
        </w:tblCellMar>
      </w:tblPr>
      <w:tr>
        <w:trPr>
          <w:trHeight w:val="194"/>
        </w:trPr>
        <w:tc>
          <w:tcPr>
            <w:tcW w:w="4920" w:type="dxa"/>
            <w:vAlign w:val="bottom"/>
          </w:tcPr>
          <w:p>
            <w:pPr>
              <w:jc w:val="right"/>
              <w:ind w:right="3331"/>
              <w:spacing w:after="0" w:line="161" w:lineRule="exact"/>
              <w:rPr>
                <w:sz w:val="20"/>
                <w:szCs w:val="20"/>
                <w:color w:val="auto"/>
              </w:rPr>
            </w:pPr>
            <w:r>
              <w:rPr>
                <w:rFonts w:ascii="Arial" w:cs="Arial" w:eastAsia="Arial" w:hAnsi="Arial"/>
                <w:sz w:val="14"/>
                <w:szCs w:val="14"/>
                <w:color w:val="auto"/>
                <w:w w:val="95"/>
              </w:rPr>
              <w:t xml:space="preserve">Large accelerated filer </w:t>
            </w:r>
            <w:r>
              <w:rPr>
                <w:rFonts w:ascii="MS PGothic" w:cs="MS PGothic" w:eastAsia="MS PGothic" w:hAnsi="MS PGothic"/>
                <w:sz w:val="14"/>
                <w:szCs w:val="14"/>
                <w:color w:val="auto"/>
                <w:w w:val="95"/>
              </w:rPr>
              <w:t>☒</w:t>
            </w:r>
          </w:p>
        </w:tc>
        <w:tc>
          <w:tcPr>
            <w:tcW w:w="5160" w:type="dxa"/>
            <w:vAlign w:val="bottom"/>
          </w:tcPr>
          <w:p>
            <w:pPr>
              <w:jc w:val="right"/>
              <w:ind w:right="31"/>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4"/>
        </w:trPr>
        <w:tc>
          <w:tcPr>
            <w:tcW w:w="4920" w:type="dxa"/>
            <w:vAlign w:val="bottom"/>
          </w:tcPr>
          <w:p>
            <w:pPr>
              <w:jc w:val="right"/>
              <w:ind w:right="3331"/>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60" w:type="dxa"/>
            <w:vAlign w:val="bottom"/>
          </w:tcPr>
          <w:p>
            <w:pPr>
              <w:jc w:val="right"/>
              <w:ind w:right="31"/>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4920" w:type="dxa"/>
            <w:vAlign w:val="bottom"/>
          </w:tcPr>
          <w:p>
            <w:pPr>
              <w:spacing w:after="0"/>
              <w:rPr>
                <w:sz w:val="19"/>
                <w:szCs w:val="19"/>
                <w:color w:val="auto"/>
              </w:rPr>
            </w:pPr>
          </w:p>
        </w:tc>
        <w:tc>
          <w:tcPr>
            <w:tcW w:w="5160" w:type="dxa"/>
            <w:vAlign w:val="bottom"/>
          </w:tcPr>
          <w:p>
            <w:pPr>
              <w:jc w:val="right"/>
              <w:ind w:right="31"/>
              <w:spacing w:after="0"/>
              <w:rPr>
                <w:sz w:val="20"/>
                <w:szCs w:val="20"/>
                <w:color w:val="auto"/>
              </w:rPr>
            </w:pPr>
            <w:r>
              <w:rPr>
                <w:rFonts w:ascii="Arial" w:cs="Arial" w:eastAsia="Arial" w:hAnsi="Arial"/>
                <w:sz w:val="14"/>
                <w:szCs w:val="14"/>
                <w:color w:val="auto"/>
              </w:rPr>
              <w:t>Emerging growth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5" w:lineRule="exact"/>
        <w:rPr>
          <w:sz w:val="24"/>
          <w:szCs w:val="24"/>
          <w:color w:val="auto"/>
        </w:rPr>
      </w:pPr>
    </w:p>
    <w:p>
      <w:pPr>
        <w:jc w:val="both"/>
        <w:ind w:right="2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rPr>
          <w:sz w:val="20"/>
          <w:szCs w:val="20"/>
          <w:color w:val="auto"/>
        </w:rPr>
      </w:pPr>
      <w:r>
        <w:rPr>
          <w:rFonts w:ascii="Arial" w:cs="Arial" w:eastAsia="Arial" w:hAnsi="Arial"/>
          <w:sz w:val="14"/>
          <w:szCs w:val="14"/>
          <w:color w:val="auto"/>
        </w:rPr>
        <w:t>The number of shares of common stock outstanding as of October 30, 2023:</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Class</w:t>
            </w:r>
          </w:p>
        </w:tc>
        <w:tc>
          <w:tcPr>
            <w:tcW w:w="420" w:type="dxa"/>
            <w:vAlign w:val="bottom"/>
          </w:tcPr>
          <w:p>
            <w:pPr>
              <w:spacing w:after="0"/>
              <w:rPr>
                <w:sz w:val="15"/>
                <w:szCs w:val="15"/>
                <w:color w:val="auto"/>
              </w:rPr>
            </w:pPr>
          </w:p>
        </w:tc>
        <w:tc>
          <w:tcPr>
            <w:tcW w:w="5300" w:type="dxa"/>
            <w:vAlign w:val="bottom"/>
            <w:tcBorders>
              <w:bottom w:val="single" w:sz="8" w:color="auto"/>
            </w:tcBorders>
          </w:tcPr>
          <w:p>
            <w:pPr>
              <w:jc w:val="right"/>
              <w:ind w:right="1631"/>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900" w:type="dxa"/>
            <w:vAlign w:val="bottom"/>
            <w:gridSpan w:val="2"/>
          </w:tcPr>
          <w:p>
            <w:pPr>
              <w:jc w:val="center"/>
              <w:ind w:right="420"/>
              <w:spacing w:after="0"/>
              <w:rPr>
                <w:sz w:val="20"/>
                <w:szCs w:val="20"/>
                <w:color w:val="auto"/>
              </w:rPr>
            </w:pPr>
            <w:r>
              <w:rPr>
                <w:rFonts w:ascii="Arial" w:cs="Arial" w:eastAsia="Arial" w:hAnsi="Arial"/>
                <w:sz w:val="14"/>
                <w:szCs w:val="14"/>
                <w:color w:val="auto"/>
                <w:w w:val="98"/>
              </w:rPr>
              <w:t>Common</w:t>
            </w:r>
          </w:p>
        </w:tc>
        <w:tc>
          <w:tcPr>
            <w:tcW w:w="5300" w:type="dxa"/>
            <w:vAlign w:val="bottom"/>
          </w:tcPr>
          <w:p>
            <w:pPr>
              <w:jc w:val="right"/>
              <w:spacing w:after="0"/>
              <w:rPr>
                <w:sz w:val="20"/>
                <w:szCs w:val="20"/>
                <w:color w:val="auto"/>
              </w:rPr>
            </w:pPr>
            <w:r>
              <w:rPr>
                <w:rFonts w:ascii="Arial" w:cs="Arial" w:eastAsia="Arial" w:hAnsi="Arial"/>
                <w:sz w:val="14"/>
                <w:szCs w:val="14"/>
                <w:color w:val="auto"/>
              </w:rPr>
              <w:t>949,307,237</w:t>
            </w:r>
          </w:p>
        </w:tc>
        <w:tc>
          <w:tcPr>
            <w:tcW w:w="20" w:type="dxa"/>
            <w:vAlign w:val="bottom"/>
          </w:tcPr>
          <w:p>
            <w:pPr>
              <w:spacing w:after="0"/>
              <w:rPr>
                <w:sz w:val="15"/>
                <w:szCs w:val="15"/>
                <w:color w:val="auto"/>
              </w:rPr>
            </w:pPr>
          </w:p>
        </w:tc>
      </w:tr>
      <w:tr>
        <w:trPr>
          <w:trHeight w:val="115"/>
        </w:trPr>
        <w:tc>
          <w:tcPr>
            <w:tcW w:w="20" w:type="dxa"/>
            <w:vAlign w:val="bottom"/>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936"/>
        </w:trPr>
        <w:tc>
          <w:tcPr>
            <w:tcW w:w="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p>
      <w:pPr>
        <w:ind w:left="4720"/>
        <w:spacing w:after="0"/>
        <w:rPr>
          <w:sz w:val="20"/>
          <w:szCs w:val="20"/>
          <w:color w:val="auto"/>
        </w:rPr>
      </w:pPr>
      <w:r>
        <w:rPr>
          <w:rFonts w:ascii="Arial" w:cs="Arial" w:eastAsia="Arial" w:hAnsi="Arial"/>
          <w:sz w:val="17"/>
          <w:szCs w:val="17"/>
          <w:b w:val="1"/>
          <w:bCs w:val="1"/>
          <w:color w:val="auto"/>
        </w:rPr>
        <w:t>Eli Lilly and Company</w:t>
      </w:r>
    </w:p>
    <w:p>
      <w:pPr>
        <w:spacing w:after="0" w:line="115"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September 30, 2023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5"/>
          </w:tcPr>
          <w:p>
            <w:pPr>
              <w:spacing w:after="0"/>
              <w:rPr>
                <w:sz w:val="20"/>
                <w:szCs w:val="20"/>
                <w:color w:val="auto"/>
              </w:rPr>
            </w:pPr>
            <w:r>
              <w:rPr>
                <w:rFonts w:ascii="Arial" w:cs="Arial" w:eastAsia="Arial" w:hAnsi="Arial"/>
                <w:sz w:val="17"/>
                <w:szCs w:val="17"/>
                <w:b w:val="1"/>
                <w:bCs w:val="1"/>
                <w:color w:val="auto"/>
              </w:rPr>
              <w:t>Page</w:t>
            </w:r>
          </w:p>
        </w:tc>
      </w:tr>
      <w:tr>
        <w:trPr>
          <w:trHeight w:val="200"/>
        </w:trPr>
        <w:tc>
          <w:tcPr>
            <w:tcW w:w="2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7"/>
                <w:szCs w:val="17"/>
                <w:color w:val="0000FF"/>
                <w:w w:val="99"/>
              </w:rPr>
              <w:t>PART I. Financial Information</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tcBorders>
            <w:gridSpan w:val="3"/>
          </w:tcPr>
          <w:p>
            <w:pPr>
              <w:jc w:val="center"/>
              <w:ind w:left="34"/>
              <w:spacing w:after="0"/>
              <w:rPr>
                <w:sz w:val="20"/>
                <w:szCs w:val="20"/>
                <w:color w:val="auto"/>
              </w:rPr>
            </w:pPr>
            <w:r>
              <w:rPr>
                <w:rFonts w:ascii="Arial" w:cs="Arial" w:eastAsia="Arial" w:hAnsi="Arial"/>
                <w:sz w:val="17"/>
                <w:szCs w:val="17"/>
                <w:color w:val="0000FF"/>
              </w:rPr>
              <w:t>5</w:t>
            </w:r>
          </w:p>
        </w:tc>
        <w:tc>
          <w:tcPr>
            <w:tcW w:w="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7"/>
                <w:szCs w:val="17"/>
                <w:color w:val="0000FF"/>
              </w:rPr>
              <w:t>Item 1.</w:t>
            </w:r>
          </w:p>
        </w:tc>
        <w:tc>
          <w:tcPr>
            <w:tcW w:w="880" w:type="dxa"/>
            <w:vAlign w:val="bottom"/>
          </w:tcPr>
          <w:p>
            <w:pPr>
              <w:spacing w:after="0"/>
              <w:rPr>
                <w:sz w:val="24"/>
                <w:szCs w:val="24"/>
                <w:color w:val="auto"/>
              </w:rPr>
            </w:pPr>
          </w:p>
        </w:tc>
        <w:tc>
          <w:tcPr>
            <w:tcW w:w="7540" w:type="dxa"/>
            <w:vAlign w:val="bottom"/>
            <w:gridSpan w:val="21"/>
          </w:tcPr>
          <w:p>
            <w:pPr>
              <w:spacing w:after="0"/>
              <w:rPr>
                <w:sz w:val="20"/>
                <w:szCs w:val="20"/>
                <w:color w:val="auto"/>
              </w:rPr>
            </w:pPr>
            <w:r>
              <w:rPr>
                <w:rFonts w:ascii="Arial" w:cs="Arial" w:eastAsia="Arial" w:hAnsi="Arial"/>
                <w:sz w:val="17"/>
                <w:szCs w:val="17"/>
                <w:color w:val="0000FF"/>
              </w:rPr>
              <w:t>Financial Statements</w:t>
            </w:r>
          </w:p>
        </w:tc>
        <w:tc>
          <w:tcPr>
            <w:tcW w:w="300" w:type="dxa"/>
            <w:vAlign w:val="bottom"/>
            <w:gridSpan w:val="3"/>
          </w:tcPr>
          <w:p>
            <w:pPr>
              <w:jc w:val="center"/>
              <w:ind w:left="34"/>
              <w:spacing w:after="0"/>
              <w:rPr>
                <w:sz w:val="20"/>
                <w:szCs w:val="20"/>
                <w:color w:val="auto"/>
              </w:rPr>
            </w:pPr>
            <w:r>
              <w:rPr>
                <w:rFonts w:ascii="Arial" w:cs="Arial" w:eastAsia="Arial" w:hAnsi="Arial"/>
                <w:sz w:val="17"/>
                <w:szCs w:val="17"/>
                <w:color w:val="0000FF"/>
              </w:rPr>
              <w:t>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14"/>
          </w:tcPr>
          <w:p>
            <w:pPr>
              <w:spacing w:after="0"/>
              <w:rPr>
                <w:sz w:val="20"/>
                <w:szCs w:val="20"/>
                <w:color w:val="auto"/>
              </w:rPr>
            </w:pPr>
            <w:r>
              <w:rPr>
                <w:rFonts w:ascii="Arial" w:cs="Arial" w:eastAsia="Arial" w:hAnsi="Arial"/>
                <w:sz w:val="17"/>
                <w:szCs w:val="17"/>
                <w:color w:val="0000FF"/>
              </w:rPr>
              <w:t>Consolidated Condensed Statements of Operations</w:t>
            </w:r>
          </w:p>
        </w:tc>
        <w:tc>
          <w:tcPr>
            <w:tcW w:w="3340" w:type="dxa"/>
            <w:vAlign w:val="bottom"/>
            <w:gridSpan w:val="6"/>
          </w:tcPr>
          <w:p>
            <w:pPr>
              <w:spacing w:after="0"/>
              <w:rPr>
                <w:sz w:val="17"/>
                <w:szCs w:val="17"/>
                <w:color w:val="auto"/>
              </w:rPr>
            </w:pPr>
          </w:p>
        </w:tc>
        <w:tc>
          <w:tcPr>
            <w:tcW w:w="300" w:type="dxa"/>
            <w:vAlign w:val="bottom"/>
            <w:gridSpan w:val="3"/>
          </w:tcPr>
          <w:p>
            <w:pPr>
              <w:jc w:val="center"/>
              <w:ind w:left="34"/>
              <w:spacing w:after="0"/>
              <w:rPr>
                <w:sz w:val="20"/>
                <w:szCs w:val="20"/>
                <w:color w:val="auto"/>
              </w:rPr>
            </w:pPr>
            <w:r>
              <w:rPr>
                <w:rFonts w:ascii="Arial" w:cs="Arial" w:eastAsia="Arial" w:hAnsi="Arial"/>
                <w:sz w:val="17"/>
                <w:szCs w:val="17"/>
                <w:color w:val="0000FF"/>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40" w:type="dxa"/>
            <w:vAlign w:val="bottom"/>
            <w:gridSpan w:val="18"/>
          </w:tcPr>
          <w:p>
            <w:pPr>
              <w:spacing w:after="0"/>
              <w:rPr>
                <w:sz w:val="20"/>
                <w:szCs w:val="20"/>
                <w:color w:val="auto"/>
              </w:rPr>
            </w:pPr>
            <w:r>
              <w:rPr>
                <w:rFonts w:ascii="Arial" w:cs="Arial" w:eastAsia="Arial" w:hAnsi="Arial"/>
                <w:sz w:val="17"/>
                <w:szCs w:val="17"/>
                <w:color w:val="0000FF"/>
              </w:rPr>
              <w:t>Consolidated Condensed Statements of Comprehensive Income (Loss)</w:t>
            </w:r>
          </w:p>
        </w:tc>
        <w:tc>
          <w:tcPr>
            <w:tcW w:w="1900" w:type="dxa"/>
            <w:vAlign w:val="bottom"/>
            <w:gridSpan w:val="2"/>
          </w:tcPr>
          <w:p>
            <w:pPr>
              <w:spacing w:after="0"/>
              <w:rPr>
                <w:sz w:val="17"/>
                <w:szCs w:val="17"/>
                <w:color w:val="auto"/>
              </w:rPr>
            </w:pPr>
          </w:p>
        </w:tc>
        <w:tc>
          <w:tcPr>
            <w:tcW w:w="300" w:type="dxa"/>
            <w:vAlign w:val="bottom"/>
            <w:gridSpan w:val="3"/>
          </w:tcPr>
          <w:p>
            <w:pPr>
              <w:jc w:val="center"/>
              <w:ind w:left="34"/>
              <w:spacing w:after="0"/>
              <w:rPr>
                <w:sz w:val="20"/>
                <w:szCs w:val="20"/>
                <w:color w:val="auto"/>
              </w:rPr>
            </w:pPr>
            <w:r>
              <w:rPr>
                <w:rFonts w:ascii="Arial" w:cs="Arial" w:eastAsia="Arial" w:hAnsi="Arial"/>
                <w:sz w:val="17"/>
                <w:szCs w:val="17"/>
                <w:color w:val="0000FF"/>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40" w:type="dxa"/>
            <w:vAlign w:val="bottom"/>
            <w:gridSpan w:val="18"/>
          </w:tcPr>
          <w:p>
            <w:pPr>
              <w:spacing w:after="0"/>
              <w:rPr>
                <w:sz w:val="20"/>
                <w:szCs w:val="20"/>
                <w:color w:val="auto"/>
              </w:rPr>
            </w:pPr>
            <w:r>
              <w:rPr>
                <w:rFonts w:ascii="Arial" w:cs="Arial" w:eastAsia="Arial" w:hAnsi="Arial"/>
                <w:sz w:val="17"/>
                <w:szCs w:val="17"/>
                <w:color w:val="0000FF"/>
              </w:rPr>
              <w:t>Consolidated Condensed Balance Sheets</w:t>
            </w:r>
          </w:p>
        </w:tc>
        <w:tc>
          <w:tcPr>
            <w:tcW w:w="1900" w:type="dxa"/>
            <w:vAlign w:val="bottom"/>
            <w:gridSpan w:val="2"/>
          </w:tcPr>
          <w:p>
            <w:pPr>
              <w:spacing w:after="0"/>
              <w:rPr>
                <w:sz w:val="17"/>
                <w:szCs w:val="17"/>
                <w:color w:val="auto"/>
              </w:rPr>
            </w:pPr>
          </w:p>
        </w:tc>
        <w:tc>
          <w:tcPr>
            <w:tcW w:w="300" w:type="dxa"/>
            <w:vAlign w:val="bottom"/>
            <w:gridSpan w:val="3"/>
          </w:tcPr>
          <w:p>
            <w:pPr>
              <w:jc w:val="center"/>
              <w:ind w:left="34"/>
              <w:spacing w:after="0"/>
              <w:rPr>
                <w:sz w:val="20"/>
                <w:szCs w:val="20"/>
                <w:color w:val="auto"/>
              </w:rPr>
            </w:pPr>
            <w:r>
              <w:rPr>
                <w:rFonts w:ascii="Arial" w:cs="Arial" w:eastAsia="Arial" w:hAnsi="Arial"/>
                <w:sz w:val="17"/>
                <w:szCs w:val="17"/>
                <w:color w:val="0000FF"/>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0000FF"/>
              </w:rPr>
              <w:t>Consolidated Condensed Statements of Equity</w:t>
            </w:r>
          </w:p>
        </w:tc>
        <w:tc>
          <w:tcPr>
            <w:tcW w:w="3760" w:type="dxa"/>
            <w:vAlign w:val="bottom"/>
            <w:gridSpan w:val="8"/>
          </w:tcPr>
          <w:p>
            <w:pPr>
              <w:spacing w:after="0"/>
              <w:rPr>
                <w:sz w:val="17"/>
                <w:szCs w:val="17"/>
                <w:color w:val="auto"/>
              </w:rPr>
            </w:pPr>
          </w:p>
        </w:tc>
        <w:tc>
          <w:tcPr>
            <w:tcW w:w="300" w:type="dxa"/>
            <w:vAlign w:val="bottom"/>
            <w:gridSpan w:val="3"/>
          </w:tcPr>
          <w:p>
            <w:pPr>
              <w:jc w:val="center"/>
              <w:ind w:left="34"/>
              <w:spacing w:after="0"/>
              <w:rPr>
                <w:sz w:val="20"/>
                <w:szCs w:val="20"/>
                <w:color w:val="auto"/>
              </w:rPr>
            </w:pPr>
            <w:r>
              <w:rPr>
                <w:rFonts w:ascii="Arial" w:cs="Arial" w:eastAsia="Arial" w:hAnsi="Arial"/>
                <w:sz w:val="17"/>
                <w:szCs w:val="17"/>
                <w:color w:val="0000FF"/>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rPr>
              <w:t>Consolidated Condensed Statements of Cash Flows</w:t>
            </w:r>
          </w:p>
        </w:tc>
        <w:tc>
          <w:tcPr>
            <w:tcW w:w="33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540" w:type="dxa"/>
            <w:vAlign w:val="bottom"/>
            <w:gridSpan w:val="21"/>
          </w:tcPr>
          <w:p>
            <w:pPr>
              <w:spacing w:after="0"/>
              <w:rPr>
                <w:sz w:val="20"/>
                <w:szCs w:val="20"/>
                <w:color w:val="auto"/>
              </w:rPr>
            </w:pPr>
            <w:r>
              <w:rPr>
                <w:rFonts w:ascii="Arial" w:cs="Arial" w:eastAsia="Arial" w:hAnsi="Arial"/>
                <w:sz w:val="17"/>
                <w:szCs w:val="17"/>
                <w:color w:val="0000FF"/>
              </w:rPr>
              <w:t>Notes to Consolidated Condensed Financial Statements</w:t>
            </w:r>
          </w:p>
        </w:tc>
        <w:tc>
          <w:tcPr>
            <w:tcW w:w="300" w:type="dxa"/>
            <w:vAlign w:val="bottom"/>
            <w:gridSpan w:val="3"/>
          </w:tcPr>
          <w:p>
            <w:pPr>
              <w:jc w:val="center"/>
              <w:ind w:left="34"/>
              <w:spacing w:after="0"/>
              <w:rPr>
                <w:sz w:val="20"/>
                <w:szCs w:val="20"/>
                <w:color w:val="auto"/>
              </w:rPr>
            </w:pPr>
            <w:r>
              <w:rPr>
                <w:rFonts w:ascii="Arial" w:cs="Arial" w:eastAsia="Arial" w:hAnsi="Arial"/>
                <w:sz w:val="17"/>
                <w:szCs w:val="17"/>
                <w:color w:val="0000FF"/>
                <w:w w:val="94"/>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2.</w:t>
            </w:r>
          </w:p>
        </w:tc>
        <w:tc>
          <w:tcPr>
            <w:tcW w:w="754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Results of Operations and Financial Condition</w:t>
            </w: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35</w:t>
            </w: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5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7"/>
                <w:szCs w:val="17"/>
                <w:color w:val="0000FF"/>
              </w:rPr>
              <w:t>Executive Overview</w:t>
            </w:r>
          </w:p>
        </w:tc>
        <w:tc>
          <w:tcPr>
            <w:tcW w:w="5060" w:type="dxa"/>
            <w:vAlign w:val="bottom"/>
            <w:tcBorders>
              <w:top w:val="single" w:sz="8" w:color="0000FF"/>
            </w:tcBorders>
            <w:gridSpan w:val="13"/>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Results of Operations</w:t>
            </w:r>
          </w:p>
        </w:tc>
        <w:tc>
          <w:tcPr>
            <w:tcW w:w="56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rPr>
              <w:t>Financial Condition and Liquidity</w:t>
            </w:r>
          </w:p>
        </w:tc>
        <w:tc>
          <w:tcPr>
            <w:tcW w:w="45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Critical Accounting Estimates</w:t>
            </w:r>
          </w:p>
        </w:tc>
        <w:tc>
          <w:tcPr>
            <w:tcW w:w="510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gridSpan w:val="20"/>
          </w:tcPr>
          <w:p>
            <w:pPr>
              <w:spacing w:after="0"/>
              <w:rPr>
                <w:sz w:val="20"/>
                <w:szCs w:val="20"/>
                <w:color w:val="auto"/>
              </w:rPr>
            </w:pPr>
            <w:r>
              <w:rPr>
                <w:rFonts w:ascii="Arial" w:cs="Arial" w:eastAsia="Arial" w:hAnsi="Arial"/>
                <w:sz w:val="17"/>
                <w:szCs w:val="17"/>
                <w:color w:val="0000FF"/>
              </w:rPr>
              <w:t>Available Information on our Website</w:t>
            </w: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46</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3.</w:t>
            </w:r>
          </w:p>
        </w:tc>
        <w:tc>
          <w:tcPr>
            <w:tcW w:w="7540" w:type="dxa"/>
            <w:vAlign w:val="bottom"/>
            <w:gridSpan w:val="2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47</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4.</w:t>
            </w:r>
          </w:p>
        </w:tc>
        <w:tc>
          <w:tcPr>
            <w:tcW w:w="754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47</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PART II. Other Information</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48</w:t>
            </w:r>
          </w:p>
        </w:tc>
        <w:tc>
          <w:tcPr>
            <w:tcW w:w="16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202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Item 1.</w:t>
            </w:r>
          </w:p>
        </w:tc>
        <w:tc>
          <w:tcPr>
            <w:tcW w:w="1100" w:type="dxa"/>
            <w:vAlign w:val="bottom"/>
            <w:gridSpan w:val="2"/>
          </w:tcPr>
          <w:p>
            <w:pPr>
              <w:spacing w:after="0"/>
              <w:rPr>
                <w:sz w:val="24"/>
                <w:szCs w:val="24"/>
                <w:color w:val="auto"/>
              </w:rPr>
            </w:pPr>
          </w:p>
        </w:tc>
        <w:tc>
          <w:tcPr>
            <w:tcW w:w="7540" w:type="dxa"/>
            <w:vAlign w:val="bottom"/>
            <w:gridSpan w:val="21"/>
          </w:tcPr>
          <w:p>
            <w:pPr>
              <w:spacing w:after="0"/>
              <w:rPr>
                <w:sz w:val="20"/>
                <w:szCs w:val="20"/>
                <w:color w:val="auto"/>
              </w:rPr>
            </w:pPr>
            <w:r>
              <w:rPr>
                <w:rFonts w:ascii="Arial" w:cs="Arial" w:eastAsia="Arial" w:hAnsi="Arial"/>
                <w:sz w:val="17"/>
                <w:szCs w:val="17"/>
                <w:color w:val="0000FF"/>
              </w:rPr>
              <w:t>Legal Proceedings</w:t>
            </w:r>
          </w:p>
        </w:tc>
        <w:tc>
          <w:tcPr>
            <w:tcW w:w="160" w:type="dxa"/>
            <w:vAlign w:val="bottom"/>
          </w:tcPr>
          <w:p>
            <w:pPr>
              <w:spacing w:after="0"/>
              <w:rPr>
                <w:sz w:val="24"/>
                <w:szCs w:val="24"/>
                <w:color w:val="auto"/>
              </w:rPr>
            </w:pPr>
          </w:p>
        </w:tc>
        <w:tc>
          <w:tcPr>
            <w:tcW w:w="140" w:type="dxa"/>
            <w:vAlign w:val="bottom"/>
            <w:tcBorders>
              <w:top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0" w:type="dxa"/>
            <w:vAlign w:val="bottom"/>
            <w:gridSpan w:val="13"/>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1A.</w:t>
            </w:r>
          </w:p>
        </w:tc>
        <w:tc>
          <w:tcPr>
            <w:tcW w:w="754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48</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0000FF"/>
              </w:rPr>
              <w:t>Item 2.</w:t>
            </w:r>
          </w:p>
        </w:tc>
        <w:tc>
          <w:tcPr>
            <w:tcW w:w="2480" w:type="dxa"/>
            <w:vAlign w:val="bottom"/>
            <w:gridSpan w:val="4"/>
          </w:tcPr>
          <w:p>
            <w:pPr>
              <w:spacing w:after="0"/>
              <w:rPr>
                <w:sz w:val="17"/>
                <w:szCs w:val="17"/>
                <w:color w:val="auto"/>
              </w:rPr>
            </w:pPr>
          </w:p>
        </w:tc>
        <w:tc>
          <w:tcPr>
            <w:tcW w:w="754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48</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300" w:type="dxa"/>
            <w:vAlign w:val="bottom"/>
            <w:gridSpan w:val="14"/>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5.</w:t>
            </w:r>
          </w:p>
        </w:tc>
        <w:tc>
          <w:tcPr>
            <w:tcW w:w="754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48</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6.</w:t>
            </w:r>
          </w:p>
        </w:tc>
        <w:tc>
          <w:tcPr>
            <w:tcW w:w="7540" w:type="dxa"/>
            <w:vAlign w:val="bottom"/>
            <w:gridSpan w:val="21"/>
          </w:tcPr>
          <w:p>
            <w:pPr>
              <w:spacing w:after="0"/>
              <w:rPr>
                <w:sz w:val="20"/>
                <w:szCs w:val="20"/>
                <w:color w:val="auto"/>
              </w:rPr>
            </w:pPr>
            <w:r>
              <w:rPr>
                <w:rFonts w:ascii="Arial" w:cs="Arial" w:eastAsia="Arial" w:hAnsi="Arial"/>
                <w:sz w:val="17"/>
                <w:szCs w:val="17"/>
                <w:color w:val="0000FF"/>
              </w:rPr>
              <w:t>Exhibits</w:t>
            </w: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49</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Signatures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gridSpan w:val="4"/>
          </w:tcPr>
          <w:p>
            <w:pPr>
              <w:jc w:val="center"/>
              <w:spacing w:after="0"/>
              <w:rPr>
                <w:sz w:val="20"/>
                <w:szCs w:val="20"/>
                <w:color w:val="auto"/>
              </w:rPr>
            </w:pPr>
            <w:r>
              <w:rPr>
                <w:rFonts w:ascii="Arial" w:cs="Arial" w:eastAsia="Arial" w:hAnsi="Arial"/>
                <w:sz w:val="17"/>
                <w:szCs w:val="17"/>
                <w:color w:val="0000FF"/>
              </w:rPr>
              <w:t>49</w:t>
            </w:r>
          </w:p>
        </w:tc>
        <w:tc>
          <w:tcPr>
            <w:tcW w:w="160" w:type="dxa"/>
            <w:vAlign w:val="bottom"/>
          </w:tcPr>
          <w:p>
            <w:pPr>
              <w:spacing w:after="0"/>
              <w:rPr>
                <w:sz w:val="24"/>
                <w:szCs w:val="24"/>
                <w:color w:val="auto"/>
              </w:rPr>
            </w:pPr>
          </w:p>
        </w:tc>
      </w:tr>
      <w:tr>
        <w:trPr>
          <w:trHeight w:val="84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80" w:type="dxa"/>
            <w:vAlign w:val="bottom"/>
            <w:gridSpan w:val="10"/>
          </w:tcPr>
          <w:p>
            <w:pPr>
              <w:ind w:left="244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 w:name="page3"/>
    <w:bookmarkEnd w:id="2"/>
    <w:p>
      <w:pPr>
        <w:spacing w:after="0"/>
        <w:rPr>
          <w:sz w:val="20"/>
          <w:szCs w:val="20"/>
          <w:color w:val="auto"/>
        </w:rPr>
      </w:pPr>
      <w:r>
        <w:rPr>
          <w:rFonts w:ascii="Arial" w:cs="Arial" w:eastAsia="Arial" w:hAnsi="Arial"/>
          <w:sz w:val="24"/>
          <w:szCs w:val="24"/>
          <w:i w:val="1"/>
          <w:iCs w:val="1"/>
          <w:color w:val="auto"/>
        </w:rPr>
        <w:t>Forward-Looking Statements</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This Quarterly Report on Form 10-Q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In particular, information appearing under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26" w:lineRule="exact"/>
        <w:rPr>
          <w:sz w:val="20"/>
          <w:szCs w:val="20"/>
          <w:color w:val="auto"/>
        </w:rPr>
      </w:pPr>
    </w:p>
    <w:p>
      <w:pPr>
        <w:ind w:left="320" w:right="580" w:hanging="317"/>
        <w:spacing w:after="0" w:line="277"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and outcome of acquisitions and business development transactions and related costs;</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expiration of intellectual property protection for certain of our products and competition from generic and/or biosimilar products;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protect and enforce patents and other intellectual property;</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patent law or regulations related to data package exclusivity;</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competitive developments affecting current products and our pipeline;</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market uptake of recently launched products;</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information technology system inadequacies, breaches, or operating failures;</w:t>
      </w:r>
    </w:p>
    <w:p>
      <w:pPr>
        <w:spacing w:after="0" w:line="50" w:lineRule="exact"/>
        <w:rPr>
          <w:rFonts w:ascii="Arial" w:cs="Arial" w:eastAsia="Arial" w:hAnsi="Arial"/>
          <w:sz w:val="17"/>
          <w:szCs w:val="17"/>
          <w:color w:val="auto"/>
        </w:rPr>
      </w:pPr>
    </w:p>
    <w:p>
      <w:pPr>
        <w:ind w:left="320" w:right="60" w:hanging="317"/>
        <w:spacing w:after="0" w:line="283"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unauthorized access, disclosure, misappropriation, or compromise of confidential information or other data stored in our information technology systems, networks, and facilities, or those of third parties with whom we share our data;</w:t>
      </w:r>
    </w:p>
    <w:p>
      <w:pPr>
        <w:spacing w:after="0" w:line="4" w:lineRule="exact"/>
        <w:rPr>
          <w:rFonts w:ascii="Arial" w:cs="Arial" w:eastAsia="Arial" w:hAnsi="Arial"/>
          <w:sz w:val="17"/>
          <w:szCs w:val="17"/>
          <w:color w:val="auto"/>
        </w:rPr>
      </w:pPr>
    </w:p>
    <w:p>
      <w:pPr>
        <w:ind w:left="320" w:right="260" w:hanging="317"/>
        <w:spacing w:after="0" w:line="277"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global macroeconomic conditions, trade disruptions, disputes, unrest, war, regional dependencies, or other costs, uncertainties and risks related to engaging in business globally;</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unexpected safety or efficacy concerns associated with our products;</w:t>
      </w:r>
    </w:p>
    <w:p>
      <w:pPr>
        <w:spacing w:after="0" w:line="50" w:lineRule="exact"/>
        <w:rPr>
          <w:rFonts w:ascii="Arial" w:cs="Arial" w:eastAsia="Arial" w:hAnsi="Arial"/>
          <w:sz w:val="17"/>
          <w:szCs w:val="17"/>
          <w:color w:val="auto"/>
        </w:rPr>
      </w:pPr>
    </w:p>
    <w:p>
      <w:pPr>
        <w:ind w:left="320" w:right="220" w:hanging="317"/>
        <w:spacing w:after="0" w:line="283"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litigation, investigations, or other similar proceedings involving past, current, or future products or commercial activities as we are largely self-insured;</w:t>
      </w:r>
    </w:p>
    <w:p>
      <w:pPr>
        <w:spacing w:after="0" w:line="4" w:lineRule="exact"/>
        <w:rPr>
          <w:rFonts w:ascii="Arial" w:cs="Arial" w:eastAsia="Arial" w:hAnsi="Arial"/>
          <w:sz w:val="17"/>
          <w:szCs w:val="17"/>
          <w:color w:val="auto"/>
        </w:rPr>
      </w:pPr>
    </w:p>
    <w:p>
      <w:pPr>
        <w:ind w:left="320" w:right="60" w:hanging="317"/>
        <w:spacing w:after="0" w:line="277"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issues with product supply and regulatory approvals stemming from manufacturing difficulties, disruptions, or shortages, including as a result of unpredictability and variability in demand, labor shortages, third-party performance, quality, or regulatory actions related to our facilities;</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dependence on certain products for a significant percentage of our total revenue and an increasingly consolidated supply chain;</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reliance on third-party relationships and outsourcing arrangements;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public health outbreaks, epidemics, or pandemics, such as the COVID-19 pandemic;</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changes or other developments;</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actions regarding operations and products;</w:t>
      </w:r>
    </w:p>
    <w:p>
      <w:pPr>
        <w:spacing w:after="0" w:line="62" w:lineRule="exact"/>
        <w:rPr>
          <w:rFonts w:ascii="Arial" w:cs="Arial" w:eastAsia="Arial" w:hAnsi="Arial"/>
          <w:sz w:val="17"/>
          <w:szCs w:val="17"/>
          <w:color w:val="auto"/>
        </w:rPr>
      </w:pPr>
    </w:p>
    <w:p>
      <w:pPr>
        <w:ind w:left="320" w:right="40" w:hanging="317"/>
        <w:spacing w:after="0" w:line="277"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pricing pressures and the impact of actions of governmental and private payers affecting pricing of, reimbursement for, and access to pharmaceuticals;</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devaluations in foreign currency exchange rates or changes in interest rates and inflation;</w:t>
      </w:r>
    </w:p>
    <w:p>
      <w:pPr>
        <w:spacing w:after="0" w:line="50"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tax law, tax rates, or events that differ from our assumptions related to tax positions;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asset impairments and restructuring charges;</w:t>
      </w:r>
    </w:p>
    <w:p>
      <w:pPr>
        <w:spacing w:after="0" w:line="50" w:lineRule="exact"/>
        <w:rPr>
          <w:rFonts w:ascii="Arial" w:cs="Arial" w:eastAsia="Arial" w:hAnsi="Arial"/>
          <w:sz w:val="17"/>
          <w:szCs w:val="17"/>
          <w:color w:val="auto"/>
        </w:rPr>
      </w:pPr>
    </w:p>
    <w:p>
      <w:pPr>
        <w:ind w:left="320" w:right="280" w:hanging="317"/>
        <w:spacing w:after="0" w:line="277"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accounting and reporting standards promulgated by the Financial Accounting Standards Board and the Securities and Exchange Commission (SEC);</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compliance problems or government investigations; and</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actual or perceived deviation from environmental-, social-, or governance-related requirements or expectations.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 w:name="page4"/>
    <w:bookmarkEnd w:id="3"/>
    <w:p>
      <w:pPr>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More information on factors that could cause actual results or events to differ materially from those anticipated is included from time to time in our reports filed with the SEC,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particularly under the caption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be a complete statement of all potential risks and uncertainties.</w:t>
      </w:r>
    </w:p>
    <w:p>
      <w:pPr>
        <w:spacing w:after="0" w:line="8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968" w:right="499" w:bottom="1440" w:gutter="0" w:footer="0" w:header="0"/>
        </w:sectPr>
      </w:pPr>
    </w:p>
    <w:bookmarkStart w:id="4" w:name="page5"/>
    <w:bookmarkEnd w:id="4"/>
    <w:p>
      <w:pPr>
        <w:spacing w:after="0"/>
        <w:rPr>
          <w:sz w:val="20"/>
          <w:szCs w:val="20"/>
          <w:color w:val="auto"/>
        </w:rPr>
      </w:pPr>
      <w:r>
        <w:rPr>
          <w:rFonts w:ascii="Arial" w:cs="Arial" w:eastAsia="Arial" w:hAnsi="Arial"/>
          <w:sz w:val="28"/>
          <w:szCs w:val="28"/>
          <w:u w:val="single" w:color="auto"/>
          <w:color w:val="auto"/>
        </w:rPr>
        <w:t>PART I. 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Condensed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(Note 2)</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9,498.6</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6,941.6</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24,770.7</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21,239.6</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Costs, expenses, and other:</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sales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1,860.1</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1,579.1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5,294.2</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5,081.7</w:t>
            </w:r>
          </w:p>
        </w:tc>
        <w:tc>
          <w:tcPr>
            <w:tcW w:w="0" w:type="dxa"/>
            <w:vAlign w:val="bottom"/>
          </w:tcPr>
          <w:p>
            <w:pPr>
              <w:spacing w:after="0"/>
              <w:rPr>
                <w:sz w:val="1"/>
                <w:szCs w:val="1"/>
                <w:color w:val="auto"/>
              </w:rPr>
            </w:pPr>
          </w:p>
        </w:tc>
      </w:tr>
      <w:tr>
        <w:trPr>
          <w:trHeight w:val="220"/>
        </w:trPr>
        <w:tc>
          <w:tcPr>
            <w:tcW w:w="482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9"/>
                <w:szCs w:val="19"/>
                <w:color w:val="auto"/>
              </w:rPr>
            </w:pPr>
          </w:p>
        </w:tc>
        <w:tc>
          <w:tcPr>
            <w:tcW w:w="1320" w:type="dxa"/>
            <w:vAlign w:val="bottom"/>
          </w:tcPr>
          <w:p>
            <w:pPr>
              <w:jc w:val="right"/>
              <w:ind w:right="76"/>
              <w:spacing w:after="0"/>
              <w:rPr>
                <w:sz w:val="20"/>
                <w:szCs w:val="20"/>
                <w:color w:val="auto"/>
              </w:rPr>
            </w:pPr>
            <w:r>
              <w:rPr>
                <w:rFonts w:ascii="Arial" w:cs="Arial" w:eastAsia="Arial" w:hAnsi="Arial"/>
                <w:sz w:val="17"/>
                <w:szCs w:val="17"/>
                <w:b w:val="1"/>
                <w:bCs w:val="1"/>
                <w:color w:val="auto"/>
              </w:rPr>
              <w:t>2,409.1</w:t>
            </w:r>
          </w:p>
        </w:tc>
        <w:tc>
          <w:tcPr>
            <w:tcW w:w="42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1,802.9</w:t>
            </w:r>
          </w:p>
        </w:tc>
        <w:tc>
          <w:tcPr>
            <w:tcW w:w="34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b w:val="1"/>
                <w:bCs w:val="1"/>
                <w:color w:val="auto"/>
              </w:rPr>
              <w:t>6,750.7</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5,194.9</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Marketing, selling, and administrative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1,803.9</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1,614.2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5,478.5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4,797.2</w:t>
            </w:r>
          </w:p>
        </w:tc>
        <w:tc>
          <w:tcPr>
            <w:tcW w:w="0" w:type="dxa"/>
            <w:vAlign w:val="bottom"/>
          </w:tcPr>
          <w:p>
            <w:pPr>
              <w:spacing w:after="0"/>
              <w:rPr>
                <w:sz w:val="1"/>
                <w:szCs w:val="1"/>
                <w:color w:val="auto"/>
              </w:rPr>
            </w:pPr>
          </w:p>
        </w:tc>
      </w:tr>
      <w:tr>
        <w:trPr>
          <w:trHeight w:val="220"/>
        </w:trPr>
        <w:tc>
          <w:tcPr>
            <w:tcW w:w="482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 (Note 3)</w:t>
            </w:r>
          </w:p>
        </w:tc>
        <w:tc>
          <w:tcPr>
            <w:tcW w:w="260" w:type="dxa"/>
            <w:vAlign w:val="bottom"/>
          </w:tcPr>
          <w:p>
            <w:pPr>
              <w:spacing w:after="0"/>
              <w:rPr>
                <w:sz w:val="19"/>
                <w:szCs w:val="19"/>
                <w:color w:val="auto"/>
              </w:rPr>
            </w:pPr>
          </w:p>
        </w:tc>
        <w:tc>
          <w:tcPr>
            <w:tcW w:w="1320" w:type="dxa"/>
            <w:vAlign w:val="bottom"/>
          </w:tcPr>
          <w:p>
            <w:pPr>
              <w:jc w:val="right"/>
              <w:ind w:right="76"/>
              <w:spacing w:after="0"/>
              <w:rPr>
                <w:sz w:val="20"/>
                <w:szCs w:val="20"/>
                <w:color w:val="auto"/>
              </w:rPr>
            </w:pPr>
            <w:r>
              <w:rPr>
                <w:rFonts w:ascii="Arial" w:cs="Arial" w:eastAsia="Arial" w:hAnsi="Arial"/>
                <w:sz w:val="17"/>
                <w:szCs w:val="17"/>
                <w:b w:val="1"/>
                <w:bCs w:val="1"/>
                <w:color w:val="auto"/>
              </w:rPr>
              <w:t>2,975.1</w:t>
            </w:r>
          </w:p>
        </w:tc>
        <w:tc>
          <w:tcPr>
            <w:tcW w:w="42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62.4</w:t>
            </w:r>
          </w:p>
        </w:tc>
        <w:tc>
          <w:tcPr>
            <w:tcW w:w="34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b w:val="1"/>
                <w:bCs w:val="1"/>
                <w:color w:val="auto"/>
              </w:rPr>
              <w:t>3,177.2</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668.4</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140"/>
              <w:spacing w:after="0" w:line="181" w:lineRule="exact"/>
              <w:rPr>
                <w:sz w:val="20"/>
                <w:szCs w:val="20"/>
                <w:color w:val="auto"/>
              </w:rPr>
            </w:pPr>
            <w:r>
              <w:rPr>
                <w:rFonts w:ascii="Arial" w:cs="Arial" w:eastAsia="Arial" w:hAnsi="Arial"/>
                <w:sz w:val="17"/>
                <w:szCs w:val="17"/>
                <w:color w:val="auto"/>
              </w:rPr>
              <w:t>Asset impairment, restructuring, and other special charges</w:t>
            </w:r>
          </w:p>
        </w:tc>
        <w:tc>
          <w:tcPr>
            <w:tcW w:w="2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(Note 5)</w:t>
            </w:r>
          </w:p>
        </w:tc>
        <w:tc>
          <w:tcPr>
            <w:tcW w:w="2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206.5</w:t>
            </w:r>
          </w:p>
        </w:tc>
        <w:tc>
          <w:tcPr>
            <w:tcW w:w="3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w:t>
            </w:r>
          </w:p>
        </w:tc>
        <w:tc>
          <w:tcPr>
            <w:tcW w:w="0" w:type="dxa"/>
            <w:vAlign w:val="bottom"/>
          </w:tcPr>
          <w:p>
            <w:pPr>
              <w:spacing w:after="0"/>
              <w:rPr>
                <w:sz w:val="1"/>
                <w:szCs w:val="1"/>
                <w:color w:val="auto"/>
              </w:rPr>
            </w:pPr>
          </w:p>
        </w:tc>
      </w:tr>
      <w:tr>
        <w:trPr>
          <w:trHeight w:val="220"/>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Other–net, (income) expense (Note 11)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23.2</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111.0</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24.3</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580.9</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9,071.4</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5,376.1</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20,724.9</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16,529.6</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260" w:type="dxa"/>
            <w:vAlign w:val="bottom"/>
          </w:tcPr>
          <w:p>
            <w:pPr>
              <w:spacing w:after="0"/>
              <w:rPr>
                <w:sz w:val="18"/>
                <w:szCs w:val="18"/>
                <w:color w:val="auto"/>
              </w:rPr>
            </w:pPr>
          </w:p>
        </w:tc>
        <w:tc>
          <w:tcPr>
            <w:tcW w:w="1320" w:type="dxa"/>
            <w:vAlign w:val="bottom"/>
          </w:tcPr>
          <w:p>
            <w:pPr>
              <w:jc w:val="right"/>
              <w:ind w:right="76"/>
              <w:spacing w:after="0"/>
              <w:rPr>
                <w:sz w:val="20"/>
                <w:szCs w:val="20"/>
                <w:color w:val="auto"/>
              </w:rPr>
            </w:pPr>
            <w:r>
              <w:rPr>
                <w:rFonts w:ascii="Arial" w:cs="Arial" w:eastAsia="Arial" w:hAnsi="Arial"/>
                <w:sz w:val="17"/>
                <w:szCs w:val="17"/>
                <w:b w:val="1"/>
                <w:bCs w:val="1"/>
                <w:color w:val="auto"/>
              </w:rPr>
              <w:t>427.2</w:t>
            </w:r>
          </w:p>
        </w:tc>
        <w:tc>
          <w:tcPr>
            <w:tcW w:w="420" w:type="dxa"/>
            <w:vAlign w:val="bottom"/>
          </w:tcPr>
          <w:p>
            <w:pPr>
              <w:spacing w:after="0"/>
              <w:rPr>
                <w:sz w:val="18"/>
                <w:szCs w:val="18"/>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1,565.5</w:t>
            </w:r>
          </w:p>
        </w:tc>
        <w:tc>
          <w:tcPr>
            <w:tcW w:w="34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b w:val="1"/>
                <w:bCs w:val="1"/>
                <w:color w:val="auto"/>
              </w:rPr>
              <w:t>4,045.8</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4,710.0</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 (Note 7)</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484.6</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113.8</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995.1</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402.9</w:t>
            </w:r>
          </w:p>
        </w:tc>
        <w:tc>
          <w:tcPr>
            <w:tcW w:w="0" w:type="dxa"/>
            <w:vAlign w:val="bottom"/>
          </w:tcPr>
          <w:p>
            <w:pPr>
              <w:spacing w:after="0"/>
              <w:rPr>
                <w:sz w:val="1"/>
                <w:szCs w:val="1"/>
                <w:color w:val="auto"/>
              </w:rPr>
            </w:pPr>
          </w:p>
        </w:tc>
      </w:tr>
      <w:tr>
        <w:trPr>
          <w:trHeight w:val="20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(57.4)</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1,451.7</w:t>
            </w:r>
          </w:p>
        </w:tc>
        <w:tc>
          <w:tcPr>
            <w:tcW w:w="3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3,050.7</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4,307.1</w:t>
            </w:r>
          </w:p>
        </w:tc>
        <w:tc>
          <w:tcPr>
            <w:tcW w:w="0" w:type="dxa"/>
            <w:vAlign w:val="bottom"/>
          </w:tcPr>
          <w:p>
            <w:pPr>
              <w:spacing w:after="0"/>
              <w:rPr>
                <w:sz w:val="1"/>
                <w:szCs w:val="1"/>
                <w:color w:val="auto"/>
              </w:rPr>
            </w:pPr>
          </w:p>
        </w:tc>
      </w:tr>
      <w:tr>
        <w:trPr>
          <w:trHeight w:val="233"/>
        </w:trPr>
        <w:tc>
          <w:tcPr>
            <w:tcW w:w="4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Earnings (loss) per share:</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(0.06)</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1.61</w:t>
            </w:r>
          </w:p>
        </w:tc>
        <w:tc>
          <w:tcPr>
            <w:tcW w:w="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3.39</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198"/>
        </w:trPr>
        <w:tc>
          <w:tcPr>
            <w:tcW w:w="4820" w:type="dxa"/>
            <w:vAlign w:val="bottom"/>
            <w:tcBorders>
              <w:bottom w:val="single" w:sz="8" w:color="CCEEFF"/>
            </w:tcBorders>
          </w:tcPr>
          <w:p>
            <w:pPr>
              <w:ind w:left="140"/>
              <w:spacing w:after="0" w:line="193" w:lineRule="exact"/>
              <w:rPr>
                <w:sz w:val="20"/>
                <w:szCs w:val="20"/>
                <w:color w:val="auto"/>
              </w:rPr>
            </w:pPr>
            <w:r>
              <w:rPr>
                <w:rFonts w:ascii="Arial" w:cs="Arial" w:eastAsia="Arial" w:hAnsi="Arial"/>
                <w:sz w:val="17"/>
                <w:szCs w:val="17"/>
                <w:color w:val="auto"/>
              </w:rPr>
              <w:t>Diluted</w:t>
            </w:r>
          </w:p>
        </w:tc>
        <w:tc>
          <w:tcPr>
            <w:tcW w:w="260" w:type="dxa"/>
            <w:vAlign w:val="bottom"/>
            <w:tcBorders>
              <w:bottom w:val="single" w:sz="8" w:color="auto"/>
            </w:tcBorders>
          </w:tcPr>
          <w:p>
            <w:pPr>
              <w:jc w:val="right"/>
              <w:ind w:right="54"/>
              <w:spacing w:after="0" w:line="19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16"/>
              <w:spacing w:after="0" w:line="193" w:lineRule="exact"/>
              <w:rPr>
                <w:sz w:val="20"/>
                <w:szCs w:val="20"/>
                <w:color w:val="auto"/>
              </w:rPr>
            </w:pPr>
            <w:r>
              <w:rPr>
                <w:rFonts w:ascii="Arial" w:cs="Arial" w:eastAsia="Arial" w:hAnsi="Arial"/>
                <w:sz w:val="17"/>
                <w:szCs w:val="17"/>
                <w:b w:val="1"/>
                <w:bCs w:val="1"/>
                <w:color w:val="auto"/>
              </w:rPr>
              <w:t>(0.06)</w:t>
            </w:r>
          </w:p>
        </w:tc>
        <w:tc>
          <w:tcPr>
            <w:tcW w:w="420" w:type="dxa"/>
            <w:vAlign w:val="bottom"/>
            <w:tcBorders>
              <w:bottom w:val="single" w:sz="8" w:color="auto"/>
            </w:tcBorders>
          </w:tcPr>
          <w:p>
            <w:pPr>
              <w:jc w:val="right"/>
              <w:ind w:right="154"/>
              <w:spacing w:after="0" w:line="19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line="193" w:lineRule="exact"/>
              <w:rPr>
                <w:sz w:val="20"/>
                <w:szCs w:val="20"/>
                <w:color w:val="auto"/>
              </w:rPr>
            </w:pPr>
            <w:r>
              <w:rPr>
                <w:rFonts w:ascii="Arial" w:cs="Arial" w:eastAsia="Arial" w:hAnsi="Arial"/>
                <w:sz w:val="17"/>
                <w:szCs w:val="17"/>
                <w:color w:val="auto"/>
              </w:rPr>
              <w:t>1.61</w:t>
            </w:r>
          </w:p>
        </w:tc>
        <w:tc>
          <w:tcPr>
            <w:tcW w:w="340" w:type="dxa"/>
            <w:vAlign w:val="bottom"/>
            <w:tcBorders>
              <w:bottom w:val="single" w:sz="8" w:color="auto"/>
            </w:tcBorders>
          </w:tcPr>
          <w:p>
            <w:pPr>
              <w:jc w:val="right"/>
              <w:ind w:right="74"/>
              <w:spacing w:after="0" w:line="19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6"/>
              <w:spacing w:after="0" w:line="193" w:lineRule="exact"/>
              <w:rPr>
                <w:sz w:val="20"/>
                <w:szCs w:val="20"/>
                <w:color w:val="auto"/>
              </w:rPr>
            </w:pPr>
            <w:r>
              <w:rPr>
                <w:rFonts w:ascii="Arial" w:cs="Arial" w:eastAsia="Arial" w:hAnsi="Arial"/>
                <w:sz w:val="17"/>
                <w:szCs w:val="17"/>
                <w:b w:val="1"/>
                <w:bCs w:val="1"/>
                <w:color w:val="auto"/>
              </w:rPr>
              <w:t>3.38</w:t>
            </w:r>
          </w:p>
        </w:tc>
        <w:tc>
          <w:tcPr>
            <w:tcW w:w="420" w:type="dxa"/>
            <w:vAlign w:val="bottom"/>
            <w:tcBorders>
              <w:bottom w:val="single" w:sz="8" w:color="auto"/>
            </w:tcBorders>
          </w:tcPr>
          <w:p>
            <w:pPr>
              <w:jc w:val="right"/>
              <w:ind w:right="154"/>
              <w:spacing w:after="0" w:line="19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33"/>
        </w:trPr>
        <w:tc>
          <w:tcPr>
            <w:tcW w:w="4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Shares used in calculation of earnings (loss) per share:</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899.8</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900.7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900.2</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901.8</w:t>
            </w:r>
          </w:p>
        </w:tc>
        <w:tc>
          <w:tcPr>
            <w:tcW w:w="0" w:type="dxa"/>
            <w:vAlign w:val="bottom"/>
          </w:tcPr>
          <w:p>
            <w:pPr>
              <w:spacing w:after="0"/>
              <w:rPr>
                <w:sz w:val="1"/>
                <w:szCs w:val="1"/>
                <w:color w:val="auto"/>
              </w:rPr>
            </w:pPr>
          </w:p>
        </w:tc>
      </w:tr>
      <w:tr>
        <w:trPr>
          <w:trHeight w:val="242"/>
        </w:trPr>
        <w:tc>
          <w:tcPr>
            <w:tcW w:w="4820" w:type="dxa"/>
            <w:vAlign w:val="bottom"/>
          </w:tcPr>
          <w:p>
            <w:pPr>
              <w:ind w:left="140"/>
              <w:spacing w:after="0"/>
              <w:rPr>
                <w:sz w:val="20"/>
                <w:szCs w:val="20"/>
                <w:color w:val="auto"/>
              </w:rPr>
            </w:pPr>
            <w:r>
              <w:rPr>
                <w:rFonts w:ascii="Arial" w:cs="Arial" w:eastAsia="Arial" w:hAnsi="Arial"/>
                <w:sz w:val="17"/>
                <w:szCs w:val="17"/>
                <w:color w:val="auto"/>
              </w:rPr>
              <w:t>Diluted</w:t>
            </w:r>
          </w:p>
        </w:tc>
        <w:tc>
          <w:tcPr>
            <w:tcW w:w="2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b w:val="1"/>
                <w:bCs w:val="1"/>
                <w:color w:val="auto"/>
              </w:rPr>
              <w:t>899.8</w:t>
            </w:r>
          </w:p>
        </w:tc>
        <w:tc>
          <w:tcPr>
            <w:tcW w:w="4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903.8</w:t>
            </w:r>
          </w:p>
        </w:tc>
        <w:tc>
          <w:tcPr>
            <w:tcW w:w="34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b w:val="1"/>
                <w:bCs w:val="1"/>
                <w:color w:val="auto"/>
              </w:rPr>
              <w:t>903.1</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904.5</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Consolidated Condensed Statements of Comprehensive Income (Loss)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378"/>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(57.4)</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1,451.7</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3,050.7</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4,307.1</w:t>
            </w:r>
          </w:p>
        </w:tc>
      </w:tr>
      <w:tr>
        <w:trPr>
          <w:trHeight w:val="22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 net of tax (Note 10)</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3.8</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59.7</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r>
      <w:tr>
        <w:trPr>
          <w:trHeight w:val="21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96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(53.6)</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1,443.6</w:t>
            </w:r>
          </w:p>
        </w:tc>
        <w:tc>
          <w:tcPr>
            <w:tcW w:w="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3,110.4</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4,354.4</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7"/>
          <w:szCs w:val="17"/>
          <w:b w:val="1"/>
          <w:bCs w:val="1"/>
          <w:color w:val="auto"/>
        </w:rPr>
        <w:t>Consolidated Condensed Balance Sheets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7"/>
                <w:szCs w:val="17"/>
                <w:i w:val="1"/>
                <w:iCs w:val="1"/>
                <w:color w:val="auto"/>
              </w:rPr>
              <w:t>Current Assets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 (Note 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2,380.8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2,067.0</w:t>
            </w: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Short-term investments (Note 6)</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113.1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144.8</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 xml:space="preserve">Accounts receivable, net of allowances of </w:t>
            </w:r>
            <w:r>
              <w:rPr>
                <w:rFonts w:ascii="Arial" w:cs="Arial" w:eastAsia="Arial" w:hAnsi="Arial"/>
                <w:sz w:val="17"/>
                <w:szCs w:val="17"/>
                <w:b w:val="1"/>
                <w:bCs w:val="1"/>
                <w:color w:val="auto"/>
              </w:rPr>
              <w:t>$13.4 (2023)</w:t>
            </w:r>
            <w:r>
              <w:rPr>
                <w:rFonts w:ascii="Arial" w:cs="Arial" w:eastAsia="Arial" w:hAnsi="Arial"/>
                <w:sz w:val="17"/>
                <w:szCs w:val="17"/>
                <w:color w:val="auto"/>
              </w:rPr>
              <w:t xml:space="preserve"> and $16.0 (2022)</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8,167.1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6,896.0</w:t>
            </w: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Other receivables</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2,196.7</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1,662.9</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4,901.4</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4,309.7</w:t>
            </w:r>
          </w:p>
        </w:tc>
        <w:tc>
          <w:tcPr>
            <w:tcW w:w="0" w:type="dxa"/>
            <w:vAlign w:val="bottom"/>
          </w:tcPr>
          <w:p>
            <w:pPr>
              <w:spacing w:after="0"/>
              <w:rPr>
                <w:sz w:val="1"/>
                <w:szCs w:val="1"/>
                <w:color w:val="auto"/>
              </w:rPr>
            </w:pPr>
          </w:p>
        </w:tc>
      </w:tr>
      <w:tr>
        <w:trPr>
          <w:trHeight w:val="22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5,247.9</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2,954.1</w:t>
            </w: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23,007.0</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18,034.5</w:t>
            </w:r>
          </w:p>
        </w:tc>
        <w:tc>
          <w:tcPr>
            <w:tcW w:w="0" w:type="dxa"/>
            <w:vAlign w:val="bottom"/>
          </w:tcPr>
          <w:p>
            <w:pPr>
              <w:spacing w:after="0"/>
              <w:rPr>
                <w:sz w:val="1"/>
                <w:szCs w:val="1"/>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7"/>
                <w:szCs w:val="17"/>
                <w:color w:val="auto"/>
              </w:rPr>
              <w:t>Investments (Note 6)</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2,691.7</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2,901.8</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4,085.2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4,073.0</w:t>
            </w:r>
          </w:p>
        </w:tc>
        <w:tc>
          <w:tcPr>
            <w:tcW w:w="0" w:type="dxa"/>
            <w:vAlign w:val="bottom"/>
          </w:tcPr>
          <w:p>
            <w:pPr>
              <w:spacing w:after="0"/>
              <w:rPr>
                <w:sz w:val="1"/>
                <w:szCs w:val="1"/>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7"/>
                <w:szCs w:val="17"/>
                <w:color w:val="auto"/>
              </w:rPr>
              <w:t>Other intangibles, net</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6,781.7</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7,206.6</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4,574.8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2,792.9</w:t>
            </w: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line="168" w:lineRule="exact"/>
              <w:rPr>
                <w:sz w:val="20"/>
                <w:szCs w:val="20"/>
                <w:color w:val="auto"/>
              </w:rPr>
            </w:pPr>
            <w:r>
              <w:rPr>
                <w:rFonts w:ascii="Arial" w:cs="Arial" w:eastAsia="Arial" w:hAnsi="Arial"/>
                <w:sz w:val="17"/>
                <w:szCs w:val="17"/>
                <w:color w:val="auto"/>
              </w:rPr>
              <w:t xml:space="preserve">Property and equipment, net of accumulated depreciation of </w:t>
            </w:r>
            <w:r>
              <w:rPr>
                <w:rFonts w:ascii="Arial" w:cs="Arial" w:eastAsia="Arial" w:hAnsi="Arial"/>
                <w:sz w:val="17"/>
                <w:szCs w:val="17"/>
                <w:b w:val="1"/>
                <w:bCs w:val="1"/>
                <w:color w:val="auto"/>
              </w:rPr>
              <w:t>$10,767.8 (2023)</w:t>
            </w:r>
            <w:r>
              <w:rPr>
                <w:rFonts w:ascii="Arial" w:cs="Arial" w:eastAsia="Arial" w:hAnsi="Arial"/>
                <w:sz w:val="17"/>
                <w:szCs w:val="17"/>
                <w:color w:val="auto"/>
              </w:rPr>
              <w:t xml:space="preserve"> and $10,233.4</w:t>
            </w:r>
          </w:p>
        </w:tc>
        <w:tc>
          <w:tcPr>
            <w:tcW w:w="180" w:type="dxa"/>
            <w:vAlign w:val="bottom"/>
          </w:tcPr>
          <w:p>
            <w:pPr>
              <w:spacing w:after="0"/>
              <w:rPr>
                <w:sz w:val="14"/>
                <w:szCs w:val="14"/>
                <w:color w:val="auto"/>
              </w:rPr>
            </w:pPr>
          </w:p>
        </w:tc>
        <w:tc>
          <w:tcPr>
            <w:tcW w:w="16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11,863.2</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460" w:type="dxa"/>
            <w:vAlign w:val="bottom"/>
          </w:tcPr>
          <w:p>
            <w:pPr>
              <w:ind w:left="20"/>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10,144.0</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4,911.9</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4,337.0</w:t>
            </w:r>
          </w:p>
        </w:tc>
        <w:tc>
          <w:tcPr>
            <w:tcW w:w="0" w:type="dxa"/>
            <w:vAlign w:val="bottom"/>
          </w:tcPr>
          <w:p>
            <w:pPr>
              <w:spacing w:after="0"/>
              <w:rPr>
                <w:sz w:val="1"/>
                <w:szCs w:val="1"/>
                <w:color w:val="auto"/>
              </w:rPr>
            </w:pPr>
          </w:p>
        </w:tc>
      </w:tr>
      <w:tr>
        <w:trPr>
          <w:trHeight w:val="218"/>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57,915.5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49,489.8</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7"/>
                <w:szCs w:val="17"/>
                <w:i w:val="1"/>
                <w:iCs w:val="1"/>
                <w:color w:val="auto"/>
              </w:rPr>
              <w:t>Current Liabilities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borrowings and 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2,244.7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1,501.1</w:t>
            </w: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2,435.1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1,930.6</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compensation</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1,233.2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Sales rebates and discounts</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11,522.3</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8,784.1</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payable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1,017.2</w:t>
            </w: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Income taxes payable</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1,977.5</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475.1</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2,585.4</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2,370.3</w:t>
            </w:r>
          </w:p>
        </w:tc>
        <w:tc>
          <w:tcPr>
            <w:tcW w:w="0" w:type="dxa"/>
            <w:vAlign w:val="bottom"/>
          </w:tcPr>
          <w:p>
            <w:pPr>
              <w:spacing w:after="0"/>
              <w:rPr>
                <w:sz w:val="1"/>
                <w:szCs w:val="1"/>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8"/>
                <w:szCs w:val="18"/>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21,998.2</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17,138.2</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Other Liabilities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17,923.6</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14,737.5</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retirement benefits (Note 8)</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1,311.9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1,305.1</w:t>
            </w: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Long-term income taxes payable</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3,468.3</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3,709.6</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1,906.1</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1,824.0</w:t>
            </w:r>
          </w:p>
        </w:tc>
        <w:tc>
          <w:tcPr>
            <w:tcW w:w="0" w:type="dxa"/>
            <w:vAlign w:val="bottom"/>
          </w:tcPr>
          <w:p>
            <w:pPr>
              <w:spacing w:after="0"/>
              <w:rPr>
                <w:sz w:val="1"/>
                <w:szCs w:val="1"/>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7"/>
                <w:szCs w:val="17"/>
                <w:color w:val="auto"/>
              </w:rPr>
              <w:t>Total other liabilities</w:t>
            </w:r>
          </w:p>
        </w:tc>
        <w:tc>
          <w:tcPr>
            <w:tcW w:w="180" w:type="dxa"/>
            <w:vAlign w:val="bottom"/>
          </w:tcPr>
          <w:p>
            <w:pPr>
              <w:spacing w:after="0"/>
              <w:rPr>
                <w:sz w:val="18"/>
                <w:szCs w:val="18"/>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24,609.9</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21,576.2</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Commitments and Contingencies (Note 9)</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7"/>
                <w:szCs w:val="17"/>
                <w:i w:val="1"/>
                <w:iCs w:val="1"/>
                <w:color w:val="auto"/>
              </w:rPr>
              <w:t>Eli Lilly and Company Shareholders' Equity</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593.6</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594.1</w:t>
            </w: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b w:val="1"/>
                <w:bCs w:val="1"/>
                <w:color w:val="auto"/>
              </w:rPr>
              <w:t>7,160.0</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6,921.4</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10,309.9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10,042.6</w:t>
            </w:r>
          </w:p>
        </w:tc>
        <w:tc>
          <w:tcPr>
            <w:tcW w:w="0" w:type="dxa"/>
            <w:vAlign w:val="bottom"/>
          </w:tcPr>
          <w:p>
            <w:pPr>
              <w:spacing w:after="0"/>
              <w:rPr>
                <w:sz w:val="1"/>
                <w:szCs w:val="1"/>
                <w:color w:val="auto"/>
              </w:rPr>
            </w:pPr>
          </w:p>
        </w:tc>
      </w:tr>
      <w:tr>
        <w:trPr>
          <w:trHeight w:val="220"/>
        </w:trPr>
        <w:tc>
          <w:tcPr>
            <w:tcW w:w="7460" w:type="dxa"/>
            <w:vAlign w:val="bottom"/>
          </w:tcPr>
          <w:p>
            <w:pPr>
              <w:ind w:left="140"/>
              <w:spacing w:after="0"/>
              <w:rPr>
                <w:sz w:val="20"/>
                <w:szCs w:val="20"/>
                <w:color w:val="auto"/>
              </w:rPr>
            </w:pPr>
            <w:r>
              <w:rPr>
                <w:rFonts w:ascii="Arial" w:cs="Arial" w:eastAsia="Arial" w:hAnsi="Arial"/>
                <w:sz w:val="17"/>
                <w:szCs w:val="17"/>
                <w:color w:val="auto"/>
              </w:rPr>
              <w:t>Employee benefit trust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b w:val="1"/>
                <w:bCs w:val="1"/>
                <w:color w:val="auto"/>
              </w:rPr>
              <w:t>(3,013.2)</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(3,013.2)</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 (Note 10)</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(3,784.9)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(3,844.6)</w:t>
            </w:r>
          </w:p>
        </w:tc>
        <w:tc>
          <w:tcPr>
            <w:tcW w:w="0" w:type="dxa"/>
            <w:vAlign w:val="bottom"/>
          </w:tcPr>
          <w:p>
            <w:pPr>
              <w:spacing w:after="0"/>
              <w:rPr>
                <w:sz w:val="1"/>
                <w:szCs w:val="1"/>
                <w:color w:val="auto"/>
              </w:rPr>
            </w:pPr>
          </w:p>
        </w:tc>
      </w:tr>
      <w:tr>
        <w:trPr>
          <w:trHeight w:val="22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Cost of common stock in treasury</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(45.0)</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Eli Lilly and Company shareholders' equity</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11,220.4</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10,649.8</w:t>
            </w:r>
          </w:p>
        </w:tc>
        <w:tc>
          <w:tcPr>
            <w:tcW w:w="0" w:type="dxa"/>
            <w:vAlign w:val="bottom"/>
          </w:tcPr>
          <w:p>
            <w:pPr>
              <w:spacing w:after="0"/>
              <w:rPr>
                <w:sz w:val="1"/>
                <w:szCs w:val="1"/>
                <w:color w:val="auto"/>
              </w:rPr>
            </w:pPr>
          </w:p>
        </w:tc>
      </w:tr>
      <w:tr>
        <w:trPr>
          <w:trHeight w:val="22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87.0</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w:t>
            </w: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11,307.4</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10,775.4</w:t>
            </w:r>
          </w:p>
        </w:tc>
        <w:tc>
          <w:tcPr>
            <w:tcW w:w="0" w:type="dxa"/>
            <w:vAlign w:val="bottom"/>
          </w:tcPr>
          <w:p>
            <w:pPr>
              <w:spacing w:after="0"/>
              <w:rPr>
                <w:sz w:val="1"/>
                <w:szCs w:val="1"/>
                <w:color w:val="auto"/>
              </w:rPr>
            </w:pPr>
          </w:p>
        </w:tc>
      </w:tr>
      <w:tr>
        <w:trPr>
          <w:trHeight w:val="218"/>
        </w:trPr>
        <w:tc>
          <w:tcPr>
            <w:tcW w:w="746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57,915.5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49,489.8</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notes to consolidated condensed financial statements.</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5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Consolidated Condensed Statements of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Equity of Eli Lilly and Company Shareholders</w:t>
            </w: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5"/>
        </w:trPr>
        <w:tc>
          <w:tcPr>
            <w:tcW w:w="2760" w:type="dxa"/>
            <w:vAlign w:val="bottom"/>
          </w:tcPr>
          <w:p>
            <w:pPr>
              <w:spacing w:after="0"/>
              <w:rPr>
                <w:sz w:val="21"/>
                <w:szCs w:val="21"/>
                <w:color w:val="auto"/>
              </w:rPr>
            </w:pPr>
          </w:p>
        </w:tc>
        <w:tc>
          <w:tcPr>
            <w:tcW w:w="1640" w:type="dxa"/>
            <w:vAlign w:val="bottom"/>
            <w:gridSpan w:val="3"/>
          </w:tcPr>
          <w:p>
            <w:pPr>
              <w:jc w:val="right"/>
              <w:ind w:right="381"/>
              <w:spacing w:after="0"/>
              <w:rPr>
                <w:sz w:val="20"/>
                <w:szCs w:val="20"/>
                <w:color w:val="auto"/>
              </w:rPr>
            </w:pPr>
            <w:r>
              <w:rPr>
                <w:rFonts w:ascii="Arial" w:cs="Arial" w:eastAsia="Arial" w:hAnsi="Arial"/>
                <w:sz w:val="10"/>
                <w:szCs w:val="10"/>
                <w:b w:val="1"/>
                <w:bCs w:val="1"/>
                <w:color w:val="auto"/>
              </w:rPr>
              <w:t>Common Stock</w:t>
            </w:r>
          </w:p>
        </w:tc>
        <w:tc>
          <w:tcPr>
            <w:tcW w:w="22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0"/>
                <w:szCs w:val="10"/>
                <w:b w:val="1"/>
                <w:bCs w:val="1"/>
                <w:color w:val="auto"/>
              </w:rPr>
              <w:t>Additional</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gridSpan w:val="3"/>
          </w:tcPr>
          <w:p>
            <w:pPr>
              <w:jc w:val="right"/>
              <w:ind w:right="41"/>
              <w:spacing w:after="0"/>
              <w:rPr>
                <w:sz w:val="20"/>
                <w:szCs w:val="20"/>
                <w:color w:val="auto"/>
              </w:rPr>
            </w:pPr>
            <w:r>
              <w:rPr>
                <w:rFonts w:ascii="Arial" w:cs="Arial" w:eastAsia="Arial" w:hAnsi="Arial"/>
                <w:sz w:val="10"/>
                <w:szCs w:val="10"/>
                <w:b w:val="1"/>
                <w:bCs w:val="1"/>
                <w:color w:val="auto"/>
              </w:rPr>
              <w:t>Common Stock in Treasury</w:t>
            </w:r>
            <w:r>
              <w:rPr>
                <w:rFonts w:ascii="Arial" w:cs="Arial" w:eastAsia="Arial" w:hAnsi="Arial"/>
                <w:sz w:val="15"/>
                <w:szCs w:val="15"/>
                <w:b w:val="1"/>
                <w:bCs w:val="1"/>
                <w:color w:val="auto"/>
                <w:vertAlign w:val="superscript"/>
              </w:rPr>
              <w:t>(1)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2"/>
        </w:trPr>
        <w:tc>
          <w:tcPr>
            <w:tcW w:w="2760" w:type="dxa"/>
            <w:vAlign w:val="bottom"/>
          </w:tcPr>
          <w:p>
            <w:pPr>
              <w:ind w:left="20"/>
              <w:spacing w:after="0" w:line="52" w:lineRule="exact"/>
              <w:rPr>
                <w:sz w:val="20"/>
                <w:szCs w:val="20"/>
                <w:color w:val="auto"/>
              </w:rPr>
            </w:pPr>
            <w:r>
              <w:rPr>
                <w:rFonts w:ascii="Arial" w:cs="Arial" w:eastAsia="Arial" w:hAnsi="Arial"/>
                <w:sz w:val="5"/>
                <w:szCs w:val="5"/>
                <w:b w:val="1"/>
                <w:bCs w:val="1"/>
                <w:color w:val="auto"/>
              </w:rPr>
              <w:t>(Dollars in millions, except per-share data, and shares</w:t>
            </w: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jc w:val="right"/>
              <w:ind w:right="144"/>
              <w:spacing w:after="0" w:line="52" w:lineRule="exact"/>
              <w:rPr>
                <w:sz w:val="20"/>
                <w:szCs w:val="20"/>
                <w:color w:val="auto"/>
              </w:rPr>
            </w:pPr>
            <w:r>
              <w:rPr>
                <w:rFonts w:ascii="Arial" w:cs="Arial" w:eastAsia="Arial" w:hAnsi="Arial"/>
                <w:sz w:val="5"/>
                <w:szCs w:val="5"/>
                <w:b w:val="1"/>
                <w:bCs w:val="1"/>
                <w:color w:val="auto"/>
              </w:rPr>
              <w:t>Paid-in</w:t>
            </w:r>
          </w:p>
        </w:tc>
        <w:tc>
          <w:tcPr>
            <w:tcW w:w="240" w:type="dxa"/>
            <w:vAlign w:val="bottom"/>
          </w:tcPr>
          <w:p>
            <w:pPr>
              <w:spacing w:after="0"/>
              <w:rPr>
                <w:sz w:val="4"/>
                <w:szCs w:val="4"/>
                <w:color w:val="auto"/>
              </w:rPr>
            </w:pPr>
          </w:p>
        </w:tc>
        <w:tc>
          <w:tcPr>
            <w:tcW w:w="720" w:type="dxa"/>
            <w:vAlign w:val="bottom"/>
          </w:tcPr>
          <w:p>
            <w:pPr>
              <w:jc w:val="right"/>
              <w:ind w:right="164"/>
              <w:spacing w:after="0" w:line="52" w:lineRule="exact"/>
              <w:rPr>
                <w:sz w:val="20"/>
                <w:szCs w:val="20"/>
                <w:color w:val="auto"/>
              </w:rPr>
            </w:pPr>
            <w:r>
              <w:rPr>
                <w:rFonts w:ascii="Arial" w:cs="Arial" w:eastAsia="Arial" w:hAnsi="Arial"/>
                <w:sz w:val="5"/>
                <w:szCs w:val="5"/>
                <w:b w:val="1"/>
                <w:bCs w:val="1"/>
                <w:color w:val="auto"/>
              </w:rPr>
              <w:t>Retained</w:t>
            </w:r>
          </w:p>
        </w:tc>
        <w:tc>
          <w:tcPr>
            <w:tcW w:w="180" w:type="dxa"/>
            <w:vAlign w:val="bottom"/>
          </w:tcPr>
          <w:p>
            <w:pPr>
              <w:spacing w:after="0"/>
              <w:rPr>
                <w:sz w:val="4"/>
                <w:szCs w:val="4"/>
                <w:color w:val="auto"/>
              </w:rPr>
            </w:pPr>
          </w:p>
        </w:tc>
        <w:tc>
          <w:tcPr>
            <w:tcW w:w="720" w:type="dxa"/>
            <w:vAlign w:val="bottom"/>
          </w:tcPr>
          <w:p>
            <w:pPr>
              <w:jc w:val="right"/>
              <w:ind w:right="147"/>
              <w:spacing w:after="0" w:line="52" w:lineRule="exact"/>
              <w:rPr>
                <w:sz w:val="20"/>
                <w:szCs w:val="20"/>
                <w:color w:val="auto"/>
              </w:rPr>
            </w:pPr>
            <w:r>
              <w:rPr>
                <w:rFonts w:ascii="Arial" w:cs="Arial" w:eastAsia="Arial" w:hAnsi="Arial"/>
                <w:sz w:val="5"/>
                <w:szCs w:val="5"/>
                <w:b w:val="1"/>
                <w:bCs w:val="1"/>
                <w:color w:val="auto"/>
              </w:rPr>
              <w:t>Employee</w:t>
            </w:r>
          </w:p>
        </w:tc>
        <w:tc>
          <w:tcPr>
            <w:tcW w:w="1260" w:type="dxa"/>
            <w:vAlign w:val="bottom"/>
            <w:gridSpan w:val="2"/>
          </w:tcPr>
          <w:p>
            <w:pPr>
              <w:jc w:val="right"/>
              <w:ind w:right="120"/>
              <w:spacing w:after="0" w:line="52" w:lineRule="exact"/>
              <w:rPr>
                <w:sz w:val="20"/>
                <w:szCs w:val="20"/>
                <w:color w:val="auto"/>
              </w:rPr>
            </w:pPr>
            <w:r>
              <w:rPr>
                <w:rFonts w:ascii="Arial" w:cs="Arial" w:eastAsia="Arial" w:hAnsi="Arial"/>
                <w:sz w:val="5"/>
                <w:szCs w:val="5"/>
                <w:b w:val="1"/>
                <w:bCs w:val="1"/>
                <w:color w:val="auto"/>
              </w:rPr>
              <w:t>Accumulated Other</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jc w:val="right"/>
              <w:ind w:right="104"/>
              <w:spacing w:after="0" w:line="52" w:lineRule="exact"/>
              <w:rPr>
                <w:sz w:val="20"/>
                <w:szCs w:val="20"/>
                <w:color w:val="auto"/>
              </w:rPr>
            </w:pPr>
            <w:r>
              <w:rPr>
                <w:rFonts w:ascii="Arial" w:cs="Arial" w:eastAsia="Arial" w:hAnsi="Arial"/>
                <w:sz w:val="5"/>
                <w:szCs w:val="5"/>
                <w:b w:val="1"/>
                <w:bCs w:val="1"/>
                <w:color w:val="auto"/>
              </w:rPr>
              <w:t>Noncontrolling</w:t>
            </w:r>
          </w:p>
        </w:tc>
      </w:tr>
      <w:tr>
        <w:trPr>
          <w:trHeight w:val="168"/>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Capital</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Earnings</w:t>
            </w:r>
          </w:p>
        </w:tc>
        <w:tc>
          <w:tcPr>
            <w:tcW w:w="90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0"/>
                <w:szCs w:val="10"/>
                <w:b w:val="1"/>
                <w:bCs w:val="1"/>
                <w:color w:val="auto"/>
              </w:rPr>
              <w:t>Benefit Trust</w:t>
            </w: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Comprehensive Loss</w:t>
            </w: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Interests</w:t>
            </w:r>
          </w:p>
        </w:tc>
      </w:tr>
      <w:tr>
        <w:trPr>
          <w:trHeight w:val="167"/>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July 1, 2022</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950,619</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594.1</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6,746.0</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8,556.0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2"/>
                <w:szCs w:val="12"/>
                <w:color w:val="auto"/>
              </w:rPr>
              <w:t>(3,013.2)</w:t>
            </w:r>
          </w:p>
        </w:tc>
        <w:tc>
          <w:tcPr>
            <w:tcW w:w="52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(4,287.7)</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450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114.5</w:t>
            </w:r>
          </w:p>
        </w:tc>
      </w:tr>
      <w:tr>
        <w:trPr>
          <w:trHeight w:val="161"/>
        </w:trPr>
        <w:tc>
          <w:tcPr>
            <w:tcW w:w="27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44"/>
              <w:spacing w:after="0"/>
              <w:rPr>
                <w:sz w:val="20"/>
                <w:szCs w:val="20"/>
                <w:color w:val="auto"/>
              </w:rPr>
            </w:pPr>
            <w:r>
              <w:rPr>
                <w:rFonts w:ascii="Arial" w:cs="Arial" w:eastAsia="Arial" w:hAnsi="Arial"/>
                <w:sz w:val="12"/>
                <w:szCs w:val="12"/>
                <w:color w:val="auto"/>
              </w:rPr>
              <w:t>1,451.7</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(15.7)</w:t>
            </w: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loss, net of tax</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1"/>
        </w:trPr>
        <w:tc>
          <w:tcPr>
            <w:tcW w:w="2760" w:type="dxa"/>
            <w:vAlign w:val="bottom"/>
          </w:tcPr>
          <w:p>
            <w:pPr>
              <w:ind w:left="20"/>
              <w:spacing w:after="0"/>
              <w:rPr>
                <w:sz w:val="20"/>
                <w:szCs w:val="20"/>
                <w:color w:val="auto"/>
              </w:rPr>
            </w:pPr>
            <w:r>
              <w:rPr>
                <w:rFonts w:ascii="Arial" w:cs="Arial" w:eastAsia="Arial" w:hAnsi="Arial"/>
                <w:sz w:val="12"/>
                <w:szCs w:val="12"/>
                <w:color w:val="auto"/>
              </w:rPr>
              <w:t>Issuance of stock under employee stock plans, net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8</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1"/>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(1.2)</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r>
      <w:tr>
        <w:trPr>
          <w:trHeight w:val="174"/>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September 30, 2022</w:t>
            </w: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950,627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594.1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6,829.0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10,006.5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color w:val="auto"/>
              </w:rPr>
              <w:t>(3,013.2)</w:t>
            </w: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(4,295.8)</w:t>
            </w: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450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95.8</w:t>
            </w:r>
          </w:p>
        </w:tc>
      </w:tr>
      <w:tr>
        <w:trPr>
          <w:trHeight w:val="194"/>
        </w:trPr>
        <w:tc>
          <w:tcPr>
            <w:tcW w:w="2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July 1, 2023</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b w:val="1"/>
                <w:bCs w:val="1"/>
                <w:color w:val="auto"/>
              </w:rPr>
              <w:t>949,688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593.6</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6,948.6</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2"/>
                <w:szCs w:val="12"/>
                <w:b w:val="1"/>
                <w:bCs w:val="1"/>
                <w:color w:val="auto"/>
              </w:rPr>
              <w:t>10,368.5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52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(3,788.7)</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402</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(45.0)</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85.5</w:t>
            </w:r>
          </w:p>
        </w:tc>
      </w:tr>
      <w:tr>
        <w:trPr>
          <w:trHeight w:val="168"/>
        </w:trPr>
        <w:tc>
          <w:tcPr>
            <w:tcW w:w="27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4"/>
              <w:spacing w:after="0"/>
              <w:rPr>
                <w:sz w:val="20"/>
                <w:szCs w:val="20"/>
                <w:color w:val="auto"/>
              </w:rPr>
            </w:pPr>
            <w:r>
              <w:rPr>
                <w:rFonts w:ascii="Arial" w:cs="Arial" w:eastAsia="Arial" w:hAnsi="Arial"/>
                <w:sz w:val="12"/>
                <w:szCs w:val="12"/>
                <w:b w:val="1"/>
                <w:bCs w:val="1"/>
                <w:color w:val="auto"/>
              </w:rPr>
              <w:t>(57.4)</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
              <w:spacing w:after="0"/>
              <w:rPr>
                <w:sz w:val="20"/>
                <w:szCs w:val="20"/>
                <w:color w:val="auto"/>
              </w:rPr>
            </w:pPr>
            <w:r>
              <w:rPr>
                <w:rFonts w:ascii="Arial" w:cs="Arial" w:eastAsia="Arial" w:hAnsi="Arial"/>
                <w:sz w:val="12"/>
                <w:szCs w:val="12"/>
                <w:b w:val="1"/>
                <w:bCs w:val="1"/>
                <w:color w:val="auto"/>
              </w:rPr>
              <w:t>4.1</w:t>
            </w: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net of tax</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3.8</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2760" w:type="dxa"/>
            <w:vAlign w:val="bottom"/>
          </w:tcPr>
          <w:p>
            <w:pPr>
              <w:ind w:left="20"/>
              <w:spacing w:after="0"/>
              <w:rPr>
                <w:sz w:val="20"/>
                <w:szCs w:val="20"/>
                <w:color w:val="auto"/>
              </w:rPr>
            </w:pPr>
            <w:r>
              <w:rPr>
                <w:rFonts w:ascii="Arial" w:cs="Arial" w:eastAsia="Arial" w:hAnsi="Arial"/>
                <w:sz w:val="12"/>
                <w:szCs w:val="12"/>
                <w:color w:val="auto"/>
              </w:rPr>
              <w:t>Issuance of stock under employee stock plans, net</w:t>
            </w:r>
          </w:p>
        </w:tc>
        <w:tc>
          <w:tcPr>
            <w:tcW w:w="800" w:type="dxa"/>
            <w:vAlign w:val="bottom"/>
          </w:tcPr>
          <w:p>
            <w:pPr>
              <w:jc w:val="right"/>
              <w:ind w:right="22"/>
              <w:spacing w:after="0"/>
              <w:rPr>
                <w:sz w:val="20"/>
                <w:szCs w:val="20"/>
                <w:color w:val="auto"/>
              </w:rPr>
            </w:pPr>
            <w:r>
              <w:rPr>
                <w:rFonts w:ascii="Arial" w:cs="Arial" w:eastAsia="Arial" w:hAnsi="Arial"/>
                <w:sz w:val="12"/>
                <w:szCs w:val="12"/>
                <w:b w:val="1"/>
                <w:bCs w:val="1"/>
                <w:color w:val="auto"/>
              </w:rPr>
              <w:t>17</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(4.2)</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215.6</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(1.2)</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w:t>
            </w:r>
          </w:p>
        </w:tc>
      </w:tr>
      <w:tr>
        <w:trPr>
          <w:trHeight w:val="16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September 30, 2023</w:t>
            </w: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b w:val="1"/>
                <w:bCs w:val="1"/>
                <w:color w:val="auto"/>
              </w:rPr>
              <w:t>949,705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593.6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7,160.0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b w:val="1"/>
                <w:bCs w:val="1"/>
                <w:color w:val="auto"/>
              </w:rPr>
              <w:t>10,309.9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(3,784.9)</w:t>
            </w: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402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87.0</w:t>
            </w:r>
          </w:p>
        </w:tc>
      </w:tr>
    </w:tbl>
    <w:p>
      <w:pPr>
        <w:spacing w:after="0" w:line="110" w:lineRule="exact"/>
        <w:rPr>
          <w:sz w:val="20"/>
          <w:szCs w:val="20"/>
          <w:color w:val="auto"/>
        </w:rPr>
      </w:pPr>
    </w:p>
    <w:p>
      <w:pPr>
        <w:ind w:left="140" w:hanging="137"/>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As of September 30, 2023, there was $2.50 billion remaining under our $5.00 billion share repurchase program authorized in May 2021.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150"/>
        </w:trPr>
        <w:tc>
          <w:tcPr>
            <w:tcW w:w="27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Equity of Eli Lilly and Company Shareholders</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2"/>
        </w:trPr>
        <w:tc>
          <w:tcPr>
            <w:tcW w:w="2760" w:type="dxa"/>
            <w:vAlign w:val="bottom"/>
          </w:tcPr>
          <w:p>
            <w:pPr>
              <w:spacing w:after="0"/>
              <w:rPr>
                <w:sz w:val="20"/>
                <w:szCs w:val="20"/>
                <w:color w:val="auto"/>
              </w:rPr>
            </w:pPr>
          </w:p>
        </w:tc>
        <w:tc>
          <w:tcPr>
            <w:tcW w:w="1640" w:type="dxa"/>
            <w:vAlign w:val="bottom"/>
            <w:gridSpan w:val="3"/>
          </w:tcPr>
          <w:p>
            <w:pPr>
              <w:jc w:val="right"/>
              <w:ind w:right="381"/>
              <w:spacing w:after="0"/>
              <w:rPr>
                <w:sz w:val="20"/>
                <w:szCs w:val="20"/>
                <w:color w:val="auto"/>
              </w:rPr>
            </w:pPr>
            <w:r>
              <w:rPr>
                <w:rFonts w:ascii="Arial" w:cs="Arial" w:eastAsia="Arial" w:hAnsi="Arial"/>
                <w:sz w:val="10"/>
                <w:szCs w:val="10"/>
                <w:b w:val="1"/>
                <w:bCs w:val="1"/>
                <w:color w:val="auto"/>
              </w:rPr>
              <w:t>Common Stock</w:t>
            </w:r>
          </w:p>
        </w:tc>
        <w:tc>
          <w:tcPr>
            <w:tcW w:w="220" w:type="dxa"/>
            <w:vAlign w:val="bottom"/>
          </w:tcPr>
          <w:p>
            <w:pPr>
              <w:spacing w:after="0"/>
              <w:rPr>
                <w:sz w:val="20"/>
                <w:szCs w:val="20"/>
                <w:color w:val="auto"/>
              </w:rPr>
            </w:pPr>
          </w:p>
        </w:tc>
        <w:tc>
          <w:tcPr>
            <w:tcW w:w="660" w:type="dxa"/>
            <w:vAlign w:val="bottom"/>
          </w:tcPr>
          <w:p>
            <w:pPr>
              <w:jc w:val="right"/>
              <w:ind w:right="64"/>
              <w:spacing w:after="0"/>
              <w:rPr>
                <w:sz w:val="20"/>
                <w:szCs w:val="20"/>
                <w:color w:val="auto"/>
              </w:rPr>
            </w:pPr>
            <w:r>
              <w:rPr>
                <w:rFonts w:ascii="Arial" w:cs="Arial" w:eastAsia="Arial" w:hAnsi="Arial"/>
                <w:sz w:val="10"/>
                <w:szCs w:val="10"/>
                <w:b w:val="1"/>
                <w:bCs w:val="1"/>
                <w:color w:val="auto"/>
              </w:rPr>
              <w:t>Additional</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Common Stock in Treasury</w:t>
            </w:r>
            <w:r>
              <w:rPr>
                <w:rFonts w:ascii="Arial" w:cs="Arial" w:eastAsia="Arial" w:hAnsi="Arial"/>
                <w:sz w:val="15"/>
                <w:szCs w:val="15"/>
                <w:b w:val="1"/>
                <w:bCs w:val="1"/>
                <w:color w:val="auto"/>
                <w:vertAlign w:val="superscript"/>
              </w:rPr>
              <w:t>(1)</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2"/>
        </w:trPr>
        <w:tc>
          <w:tcPr>
            <w:tcW w:w="2760" w:type="dxa"/>
            <w:vAlign w:val="bottom"/>
          </w:tcPr>
          <w:p>
            <w:pPr>
              <w:ind w:left="20"/>
              <w:spacing w:after="0" w:line="52" w:lineRule="exact"/>
              <w:rPr>
                <w:sz w:val="20"/>
                <w:szCs w:val="20"/>
                <w:color w:val="auto"/>
              </w:rPr>
            </w:pPr>
            <w:r>
              <w:rPr>
                <w:rFonts w:ascii="Arial" w:cs="Arial" w:eastAsia="Arial" w:hAnsi="Arial"/>
                <w:sz w:val="5"/>
                <w:szCs w:val="5"/>
                <w:b w:val="1"/>
                <w:bCs w:val="1"/>
                <w:color w:val="auto"/>
              </w:rPr>
              <w:t>(Dollars in millions, except per-share data, and shares</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jc w:val="right"/>
              <w:ind w:right="144"/>
              <w:spacing w:after="0" w:line="52" w:lineRule="exact"/>
              <w:rPr>
                <w:sz w:val="20"/>
                <w:szCs w:val="20"/>
                <w:color w:val="auto"/>
              </w:rPr>
            </w:pPr>
            <w:r>
              <w:rPr>
                <w:rFonts w:ascii="Arial" w:cs="Arial" w:eastAsia="Arial" w:hAnsi="Arial"/>
                <w:sz w:val="5"/>
                <w:szCs w:val="5"/>
                <w:b w:val="1"/>
                <w:bCs w:val="1"/>
                <w:color w:val="auto"/>
              </w:rPr>
              <w:t>Paid-in</w:t>
            </w:r>
          </w:p>
        </w:tc>
        <w:tc>
          <w:tcPr>
            <w:tcW w:w="240" w:type="dxa"/>
            <w:vAlign w:val="bottom"/>
          </w:tcPr>
          <w:p>
            <w:pPr>
              <w:spacing w:after="0"/>
              <w:rPr>
                <w:sz w:val="4"/>
                <w:szCs w:val="4"/>
                <w:color w:val="auto"/>
              </w:rPr>
            </w:pPr>
          </w:p>
        </w:tc>
        <w:tc>
          <w:tcPr>
            <w:tcW w:w="720" w:type="dxa"/>
            <w:vAlign w:val="bottom"/>
          </w:tcPr>
          <w:p>
            <w:pPr>
              <w:jc w:val="right"/>
              <w:ind w:right="163"/>
              <w:spacing w:after="0" w:line="52" w:lineRule="exact"/>
              <w:rPr>
                <w:sz w:val="20"/>
                <w:szCs w:val="20"/>
                <w:color w:val="auto"/>
              </w:rPr>
            </w:pPr>
            <w:r>
              <w:rPr>
                <w:rFonts w:ascii="Arial" w:cs="Arial" w:eastAsia="Arial" w:hAnsi="Arial"/>
                <w:sz w:val="5"/>
                <w:szCs w:val="5"/>
                <w:b w:val="1"/>
                <w:bCs w:val="1"/>
                <w:color w:val="auto"/>
              </w:rPr>
              <w:t>Retained</w:t>
            </w:r>
          </w:p>
        </w:tc>
        <w:tc>
          <w:tcPr>
            <w:tcW w:w="180" w:type="dxa"/>
            <w:vAlign w:val="bottom"/>
          </w:tcPr>
          <w:p>
            <w:pPr>
              <w:spacing w:after="0"/>
              <w:rPr>
                <w:sz w:val="4"/>
                <w:szCs w:val="4"/>
                <w:color w:val="auto"/>
              </w:rPr>
            </w:pPr>
          </w:p>
        </w:tc>
        <w:tc>
          <w:tcPr>
            <w:tcW w:w="720" w:type="dxa"/>
            <w:vAlign w:val="bottom"/>
          </w:tcPr>
          <w:p>
            <w:pPr>
              <w:jc w:val="right"/>
              <w:ind w:right="147"/>
              <w:spacing w:after="0" w:line="52" w:lineRule="exact"/>
              <w:rPr>
                <w:sz w:val="20"/>
                <w:szCs w:val="20"/>
                <w:color w:val="auto"/>
              </w:rPr>
            </w:pPr>
            <w:r>
              <w:rPr>
                <w:rFonts w:ascii="Arial" w:cs="Arial" w:eastAsia="Arial" w:hAnsi="Arial"/>
                <w:sz w:val="5"/>
                <w:szCs w:val="5"/>
                <w:b w:val="1"/>
                <w:bCs w:val="1"/>
                <w:color w:val="auto"/>
              </w:rPr>
              <w:t>Employee</w:t>
            </w:r>
          </w:p>
        </w:tc>
        <w:tc>
          <w:tcPr>
            <w:tcW w:w="1260" w:type="dxa"/>
            <w:vAlign w:val="bottom"/>
            <w:gridSpan w:val="2"/>
          </w:tcPr>
          <w:p>
            <w:pPr>
              <w:jc w:val="right"/>
              <w:ind w:right="120"/>
              <w:spacing w:after="0" w:line="52" w:lineRule="exact"/>
              <w:rPr>
                <w:sz w:val="20"/>
                <w:szCs w:val="20"/>
                <w:color w:val="auto"/>
              </w:rPr>
            </w:pPr>
            <w:r>
              <w:rPr>
                <w:rFonts w:ascii="Arial" w:cs="Arial" w:eastAsia="Arial" w:hAnsi="Arial"/>
                <w:sz w:val="5"/>
                <w:szCs w:val="5"/>
                <w:b w:val="1"/>
                <w:bCs w:val="1"/>
                <w:color w:val="auto"/>
              </w:rPr>
              <w:t>Accumulated Other</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jc w:val="right"/>
              <w:ind w:right="104"/>
              <w:spacing w:after="0" w:line="52" w:lineRule="exact"/>
              <w:rPr>
                <w:sz w:val="20"/>
                <w:szCs w:val="20"/>
                <w:color w:val="auto"/>
              </w:rPr>
            </w:pPr>
            <w:r>
              <w:rPr>
                <w:rFonts w:ascii="Arial" w:cs="Arial" w:eastAsia="Arial" w:hAnsi="Arial"/>
                <w:sz w:val="5"/>
                <w:szCs w:val="5"/>
                <w:b w:val="1"/>
                <w:bCs w:val="1"/>
                <w:color w:val="auto"/>
              </w:rPr>
              <w:t>Noncontrolling</w:t>
            </w:r>
          </w:p>
        </w:tc>
      </w:tr>
      <w:tr>
        <w:trPr>
          <w:trHeight w:val="168"/>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Capital</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Earnings</w:t>
            </w:r>
          </w:p>
        </w:tc>
        <w:tc>
          <w:tcPr>
            <w:tcW w:w="90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0"/>
                <w:szCs w:val="10"/>
                <w:b w:val="1"/>
                <w:bCs w:val="1"/>
                <w:color w:val="auto"/>
              </w:rPr>
              <w:t>Benefit Trust</w:t>
            </w: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Comprehensive Loss</w:t>
            </w: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Interests</w:t>
            </w:r>
          </w:p>
        </w:tc>
      </w:tr>
      <w:tr>
        <w:trPr>
          <w:trHeight w:val="167"/>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January 1, 2022</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954,116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596.3</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6,833.4</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8,958.5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2"/>
                <w:szCs w:val="12"/>
                <w:color w:val="auto"/>
              </w:rPr>
              <w:t>(3,013.2)</w:t>
            </w:r>
          </w:p>
        </w:tc>
        <w:tc>
          <w:tcPr>
            <w:tcW w:w="52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(4,343.1)</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463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175.6</w:t>
            </w:r>
          </w:p>
        </w:tc>
      </w:tr>
      <w:tr>
        <w:trPr>
          <w:trHeight w:val="161"/>
        </w:trPr>
        <w:tc>
          <w:tcPr>
            <w:tcW w:w="27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2"/>
                <w:szCs w:val="12"/>
                <w:color w:val="auto"/>
              </w:rPr>
              <w:t>4,307.1</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(63.7)</w:t>
            </w: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47.3</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1"/>
        </w:trPr>
        <w:tc>
          <w:tcPr>
            <w:tcW w:w="2760" w:type="dxa"/>
            <w:vAlign w:val="bottom"/>
          </w:tcPr>
          <w:p>
            <w:pPr>
              <w:ind w:left="20"/>
              <w:spacing w:after="0"/>
              <w:rPr>
                <w:sz w:val="20"/>
                <w:szCs w:val="20"/>
                <w:color w:val="auto"/>
              </w:rPr>
            </w:pPr>
            <w:r>
              <w:rPr>
                <w:rFonts w:ascii="Arial" w:cs="Arial" w:eastAsia="Arial" w:hAnsi="Arial"/>
                <w:sz w:val="12"/>
                <w:szCs w:val="12"/>
                <w:color w:val="auto"/>
              </w:rPr>
              <w:t>Cash dividends declared per share: $1.96</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2"/>
                <w:szCs w:val="12"/>
                <w:color w:val="auto"/>
              </w:rPr>
              <w:t>(1,765.9)</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Retirement of treasury shares</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(5,607)</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(1,496.5)</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(5,607)</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1"/>
        </w:trPr>
        <w:tc>
          <w:tcPr>
            <w:tcW w:w="2760" w:type="dxa"/>
            <w:vAlign w:val="bottom"/>
          </w:tcPr>
          <w:p>
            <w:pPr>
              <w:ind w:left="20"/>
              <w:spacing w:after="0"/>
              <w:rPr>
                <w:sz w:val="20"/>
                <w:szCs w:val="20"/>
                <w:color w:val="auto"/>
              </w:rPr>
            </w:pPr>
            <w:r>
              <w:rPr>
                <w:rFonts w:ascii="Arial" w:cs="Arial" w:eastAsia="Arial" w:hAnsi="Arial"/>
                <w:sz w:val="12"/>
                <w:szCs w:val="12"/>
                <w:color w:val="auto"/>
              </w:rPr>
              <w:t>Purchase of treasury shares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5,607</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stock under employee stock plans, net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2,118</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(282.6)</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1"/>
        </w:trPr>
        <w:tc>
          <w:tcPr>
            <w:tcW w:w="27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278.2</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3.3</w:t>
            </w: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w:t>
            </w:r>
          </w:p>
        </w:tc>
      </w:tr>
      <w:tr>
        <w:trPr>
          <w:trHeight w:val="174"/>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Balance at September 30, 2022</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950,627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594.1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6,829.0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10,006.5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color w:val="auto"/>
              </w:rPr>
              <w:t>(3,013.2)</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(4,295.8)</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95.8</w:t>
            </w:r>
          </w:p>
        </w:tc>
      </w:tr>
      <w:tr>
        <w:trPr>
          <w:trHeight w:val="194"/>
        </w:trPr>
        <w:tc>
          <w:tcPr>
            <w:tcW w:w="27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68"/>
        </w:trPr>
        <w:tc>
          <w:tcPr>
            <w:tcW w:w="2760" w:type="dxa"/>
            <w:vAlign w:val="bottom"/>
          </w:tcPr>
          <w:p>
            <w:pPr>
              <w:ind w:left="20"/>
              <w:spacing w:after="0"/>
              <w:rPr>
                <w:sz w:val="20"/>
                <w:szCs w:val="20"/>
                <w:color w:val="auto"/>
              </w:rPr>
            </w:pPr>
            <w:r>
              <w:rPr>
                <w:rFonts w:ascii="Arial" w:cs="Arial" w:eastAsia="Arial" w:hAnsi="Arial"/>
                <w:sz w:val="12"/>
                <w:szCs w:val="12"/>
                <w:color w:val="auto"/>
              </w:rPr>
              <w:t>Balance at January 1, 2023</w:t>
            </w:r>
          </w:p>
        </w:tc>
        <w:tc>
          <w:tcPr>
            <w:tcW w:w="820" w:type="dxa"/>
            <w:vAlign w:val="bottom"/>
          </w:tcPr>
          <w:p>
            <w:pPr>
              <w:jc w:val="right"/>
              <w:ind w:right="41"/>
              <w:spacing w:after="0"/>
              <w:rPr>
                <w:sz w:val="20"/>
                <w:szCs w:val="20"/>
                <w:color w:val="auto"/>
              </w:rPr>
            </w:pPr>
            <w:r>
              <w:rPr>
                <w:rFonts w:ascii="Arial" w:cs="Arial" w:eastAsia="Arial" w:hAnsi="Arial"/>
                <w:sz w:val="12"/>
                <w:szCs w:val="12"/>
                <w:b w:val="1"/>
                <w:bCs w:val="1"/>
                <w:color w:val="auto"/>
              </w:rPr>
              <w:t>950,632</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b w:val="1"/>
                <w:bCs w:val="1"/>
                <w:color w:val="auto"/>
              </w:rPr>
              <w:t>594.1</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6,921.4</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43"/>
              <w:spacing w:after="0"/>
              <w:rPr>
                <w:sz w:val="20"/>
                <w:szCs w:val="20"/>
                <w:color w:val="auto"/>
              </w:rPr>
            </w:pPr>
            <w:r>
              <w:rPr>
                <w:rFonts w:ascii="Arial" w:cs="Arial" w:eastAsia="Arial" w:hAnsi="Arial"/>
                <w:sz w:val="12"/>
                <w:szCs w:val="12"/>
                <w:b w:val="1"/>
                <w:bCs w:val="1"/>
                <w:color w:val="auto"/>
              </w:rPr>
              <w:t>10,042.6</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b w:val="1"/>
                <w:bCs w:val="1"/>
                <w:color w:val="auto"/>
              </w:rPr>
              <w:t>(3,844.6)</w:t>
            </w:r>
          </w:p>
        </w:tc>
        <w:tc>
          <w:tcPr>
            <w:tcW w:w="840" w:type="dxa"/>
            <w:vAlign w:val="bottom"/>
          </w:tcPr>
          <w:p>
            <w:pPr>
              <w:jc w:val="right"/>
              <w:ind w:right="61"/>
              <w:spacing w:after="0"/>
              <w:rPr>
                <w:sz w:val="20"/>
                <w:szCs w:val="20"/>
                <w:color w:val="auto"/>
              </w:rPr>
            </w:pPr>
            <w:r>
              <w:rPr>
                <w:rFonts w:ascii="Arial" w:cs="Arial" w:eastAsia="Arial" w:hAnsi="Arial"/>
                <w:sz w:val="12"/>
                <w:szCs w:val="12"/>
                <w:b w:val="1"/>
                <w:bCs w:val="1"/>
                <w:color w:val="auto"/>
              </w:rPr>
              <w:t>450</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(50.5)</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jc w:val="right"/>
              <w:ind w:right="4"/>
              <w:spacing w:after="0"/>
              <w:rPr>
                <w:sz w:val="20"/>
                <w:szCs w:val="20"/>
                <w:color w:val="auto"/>
              </w:rPr>
            </w:pPr>
            <w:r>
              <w:rPr>
                <w:rFonts w:ascii="Arial" w:cs="Arial" w:eastAsia="Arial" w:hAnsi="Arial"/>
                <w:sz w:val="12"/>
                <w:szCs w:val="12"/>
                <w:b w:val="1"/>
                <w:bCs w:val="1"/>
                <w:color w:val="auto"/>
              </w:rPr>
              <w:t>125.6</w:t>
            </w: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3,050.7</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4.6</w:t>
            </w:r>
          </w:p>
        </w:tc>
      </w:tr>
      <w:tr>
        <w:trPr>
          <w:trHeight w:val="168"/>
        </w:trPr>
        <w:tc>
          <w:tcPr>
            <w:tcW w:w="2760" w:type="dxa"/>
            <w:vAlign w:val="bottom"/>
          </w:tcPr>
          <w:p>
            <w:pPr>
              <w:ind w:left="20"/>
              <w:spacing w:after="0"/>
              <w:rPr>
                <w:sz w:val="20"/>
                <w:szCs w:val="20"/>
                <w:color w:val="auto"/>
              </w:rPr>
            </w:pPr>
            <w:r>
              <w:rPr>
                <w:rFonts w:ascii="Arial" w:cs="Arial" w:eastAsia="Arial" w:hAnsi="Arial"/>
                <w:sz w:val="12"/>
                <w:szCs w:val="12"/>
                <w:color w:val="auto"/>
              </w:rPr>
              <w:t>Other comprehensive income, net of tax</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b w:val="1"/>
                <w:bCs w:val="1"/>
                <w:color w:val="auto"/>
              </w:rPr>
              <w:t>59.7</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dividends declared per share: $2.26</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(2,034.0)</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2760" w:type="dxa"/>
            <w:vAlign w:val="bottom"/>
          </w:tcPr>
          <w:p>
            <w:pPr>
              <w:ind w:left="20"/>
              <w:spacing w:after="0"/>
              <w:rPr>
                <w:sz w:val="20"/>
                <w:szCs w:val="20"/>
                <w:color w:val="auto"/>
              </w:rPr>
            </w:pPr>
            <w:r>
              <w:rPr>
                <w:rFonts w:ascii="Arial" w:cs="Arial" w:eastAsia="Arial" w:hAnsi="Arial"/>
                <w:sz w:val="12"/>
                <w:szCs w:val="12"/>
                <w:color w:val="auto"/>
              </w:rPr>
              <w:t>Retirement of treasury shares</w:t>
            </w:r>
          </w:p>
        </w:tc>
        <w:tc>
          <w:tcPr>
            <w:tcW w:w="820" w:type="dxa"/>
            <w:vAlign w:val="bottom"/>
          </w:tcPr>
          <w:p>
            <w:pPr>
              <w:jc w:val="right"/>
              <w:ind w:right="1"/>
              <w:spacing w:after="0"/>
              <w:rPr>
                <w:sz w:val="20"/>
                <w:szCs w:val="20"/>
                <w:color w:val="auto"/>
              </w:rPr>
            </w:pPr>
            <w:r>
              <w:rPr>
                <w:rFonts w:ascii="Arial" w:cs="Arial" w:eastAsia="Arial" w:hAnsi="Arial"/>
                <w:sz w:val="12"/>
                <w:szCs w:val="12"/>
                <w:b w:val="1"/>
                <w:bCs w:val="1"/>
                <w:color w:val="auto"/>
              </w:rPr>
              <w:t>(2,299)</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(1.4)</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2"/>
                <w:szCs w:val="12"/>
                <w:b w:val="1"/>
                <w:bCs w:val="1"/>
                <w:color w:val="auto"/>
              </w:rPr>
              <w:t>(748.6)</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b w:val="1"/>
                <w:bCs w:val="1"/>
                <w:color w:val="auto"/>
              </w:rPr>
              <w:t>(2,299)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750.0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treasury shares</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2,299</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(750.0)</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2760" w:type="dxa"/>
            <w:vAlign w:val="bottom"/>
          </w:tcPr>
          <w:p>
            <w:pPr>
              <w:ind w:left="20"/>
              <w:spacing w:after="0"/>
              <w:rPr>
                <w:sz w:val="20"/>
                <w:szCs w:val="20"/>
                <w:color w:val="auto"/>
              </w:rPr>
            </w:pPr>
            <w:r>
              <w:rPr>
                <w:rFonts w:ascii="Arial" w:cs="Arial" w:eastAsia="Arial" w:hAnsi="Arial"/>
                <w:sz w:val="12"/>
                <w:szCs w:val="12"/>
                <w:color w:val="auto"/>
              </w:rPr>
              <w:t>Issuance of stock under employee stock plans, net</w:t>
            </w:r>
          </w:p>
        </w:tc>
        <w:tc>
          <w:tcPr>
            <w:tcW w:w="820" w:type="dxa"/>
            <w:vAlign w:val="bottom"/>
          </w:tcPr>
          <w:p>
            <w:pPr>
              <w:jc w:val="right"/>
              <w:ind w:right="41"/>
              <w:spacing w:after="0"/>
              <w:rPr>
                <w:sz w:val="20"/>
                <w:szCs w:val="20"/>
                <w:color w:val="auto"/>
              </w:rPr>
            </w:pPr>
            <w:r>
              <w:rPr>
                <w:rFonts w:ascii="Arial" w:cs="Arial" w:eastAsia="Arial" w:hAnsi="Arial"/>
                <w:sz w:val="12"/>
                <w:szCs w:val="12"/>
                <w:b w:val="1"/>
                <w:bCs w:val="1"/>
                <w:color w:val="auto"/>
              </w:rPr>
              <w:t>1,372</w:t>
            </w:r>
          </w:p>
        </w:tc>
        <w:tc>
          <w:tcPr>
            <w:tcW w:w="200" w:type="dxa"/>
            <w:vAlign w:val="bottom"/>
          </w:tcPr>
          <w:p>
            <w:pPr>
              <w:spacing w:after="0"/>
              <w:rPr>
                <w:sz w:val="14"/>
                <w:szCs w:val="14"/>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b w:val="1"/>
                <w:bCs w:val="1"/>
                <w:color w:val="auto"/>
              </w:rPr>
              <w:t>0.9</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(269.7)</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b w:val="1"/>
                <w:bCs w:val="1"/>
                <w:color w:val="auto"/>
              </w:rPr>
              <w:t>(48)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8.8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508.3</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(0.8)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(43.2)</w:t>
            </w:r>
          </w:p>
        </w:tc>
      </w:tr>
      <w:tr>
        <w:trPr>
          <w:trHeight w:val="16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September 30, 2023</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949,705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593.6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7,160.0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10,309.9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(3,784.9)</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402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87.0</w:t>
            </w:r>
          </w:p>
        </w:tc>
      </w:tr>
    </w:tbl>
    <w:p>
      <w:pPr>
        <w:spacing w:after="0" w:line="110" w:lineRule="exact"/>
        <w:rPr>
          <w:sz w:val="20"/>
          <w:szCs w:val="20"/>
          <w:color w:val="auto"/>
        </w:rPr>
      </w:pPr>
    </w:p>
    <w:p>
      <w:pPr>
        <w:ind w:left="140" w:hanging="137"/>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As of September 30, 2023, there was $2.50 billion remaining under our $5.00 billion share repurchase program authorized in May 2021.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01"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Nine Months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0"/>
        </w:trPr>
        <w:tc>
          <w:tcPr>
            <w:tcW w:w="8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3,050.7</w:t>
            </w:r>
          </w:p>
        </w:tc>
        <w:tc>
          <w:tcPr>
            <w:tcW w:w="4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4,307.1</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Adjustments to Reconcile Net Income to Cash Flows from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1,139.6</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1,147.5</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deferred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(1,834.8)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(2,195.6)</w:t>
            </w: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34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508.3</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278.2</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losses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144.5</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676.4</w:t>
            </w: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Gains on sale of product rights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(1,853.9)</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(94.5)</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3,177.2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668.4</w:t>
            </w: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Other changes in operating assets and liabilities, net of acquisitions and divestitures</w:t>
            </w:r>
          </w:p>
        </w:tc>
        <w:tc>
          <w:tcPr>
            <w:tcW w:w="34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117.2</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823.4</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operating activities,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103.2</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4,552.0</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5,923.0</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Purchases of property and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(2,377.0)</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(1,353.6)</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sales and maturities of short-term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155.2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Purchases of short-term investments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(79.2)</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(65.0)</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sales of and distributions from noncurrent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476.2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w:t>
            </w: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Purchases of noncurrent investments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(474.8)</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(474.1)</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product rights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1,604.3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Purchases of in-process research and development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(3,364.0)</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(993.1)</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investing activities,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(169.1)</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(334.1)</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Net Cash Used for Investing Activities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(4,228.4)</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(2,819.4)</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Dividends paid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(3,051.2)</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(2,651.4)</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change in short-term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97.0</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1,741.3</w:t>
            </w: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Proceeds from issuance of long-term debt</w:t>
            </w:r>
          </w:p>
        </w:tc>
        <w:tc>
          <w:tcPr>
            <w:tcW w:w="34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3,958.5</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(1,560.0)</w:t>
            </w:r>
          </w:p>
        </w:tc>
      </w:tr>
      <w:tr>
        <w:trPr>
          <w:trHeight w:val="220"/>
        </w:trPr>
        <w:tc>
          <w:tcPr>
            <w:tcW w:w="8180" w:type="dxa"/>
            <w:vAlign w:val="bottom"/>
          </w:tcPr>
          <w:p>
            <w:pPr>
              <w:ind w:left="140"/>
              <w:spacing w:after="0"/>
              <w:rPr>
                <w:sz w:val="20"/>
                <w:szCs w:val="20"/>
                <w:color w:val="auto"/>
              </w:rPr>
            </w:pPr>
            <w:r>
              <w:rPr>
                <w:rFonts w:ascii="Arial" w:cs="Arial" w:eastAsia="Arial" w:hAnsi="Arial"/>
                <w:sz w:val="17"/>
                <w:szCs w:val="17"/>
                <w:color w:val="auto"/>
              </w:rPr>
              <w:t>Purchases of common stock</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(750.0)</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(1,500.0)</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financing activities,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(303.4)</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(295.2)</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Net Cash Used for Financing Activities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(49.1)</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(4,265.3)</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39.3</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4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313.8</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(1,201.1)</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January 1</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2,067.0</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3,818.5</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September 30</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2,380.8</w:t>
            </w:r>
          </w:p>
        </w:tc>
        <w:tc>
          <w:tcPr>
            <w:tcW w:w="4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2,617.4</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7"/>
          <w:szCs w:val="17"/>
          <w:b w:val="1"/>
          <w:bCs w:val="1"/>
          <w:color w:val="auto"/>
        </w:rPr>
        <w:t>Notes to Consolidated Condensed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12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80" w:lineRule="exact"/>
        <w:rPr>
          <w:sz w:val="20"/>
          <w:szCs w:val="20"/>
          <w:color w:val="auto"/>
        </w:rPr>
      </w:pPr>
    </w:p>
    <w:p>
      <w:pPr>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We issued our financial statements by filing them with the Securities and Exchange Commission and have evaluated subsequent events up to the time of the filing of this Quarterly Report on Form 10-Q.</w:t>
      </w:r>
    </w:p>
    <w:p>
      <w:pPr>
        <w:spacing w:after="0" w:line="73"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All per-share amounts, unless otherwise noted in the footnotes, are presented on a diluted basis; that is, based on the weighted-average number of common shares outstanding plus the effect of incremental shares from our stock-based compensation programs, if dilutive.</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 and Acquired In-Process Research and Development (IPR&amp;D)</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Acquired IPR&amp;D includes the initial costs and development milestones incurred related to externally developed IPR&amp;D projects, acquired directly in a transaction other than a business combination, that do not have an alternative future use. Development milestones are milestone payment obligations that are incurred prior to regulatory approval of the compound and are expensed when the event triggering an obligation to pay the milestone occurs.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2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Certain reclassifications have been made to prior periods in the consolidated condensed financial statements and accompanying notes to conform with the current presentation. Development milestone payments related to externally developed IPR&amp;D projects, acquired directly in a transaction other than a business combination, were previously included in cash flows from operating activities in the consolidated condensed statements of cash flows and are now included in purchases of IPR&amp;D in cash flows from investing activities. The reclassification resulted in an increase to net cash provided by operating activities and net cash used in investing activities of $418.3 million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2: Revenue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recognized in our consolidated condensed statements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4"/>
                <w:szCs w:val="14"/>
                <w:b w:val="1"/>
                <w:bCs w:val="1"/>
                <w:color w:val="auto"/>
              </w:rPr>
              <w:t>Nine Months Ended September 30,</w:t>
            </w:r>
          </w:p>
        </w:tc>
      </w:tr>
      <w:tr>
        <w:trPr>
          <w:trHeight w:val="200"/>
        </w:trPr>
        <w:tc>
          <w:tcPr>
            <w:tcW w:w="4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product revenue</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7,306.2</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6,119.2</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20,524.2</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19,123.0</w:t>
            </w:r>
          </w:p>
        </w:tc>
      </w:tr>
      <w:tr>
        <w:trPr>
          <w:trHeight w:val="220"/>
        </w:trPr>
        <w:tc>
          <w:tcPr>
            <w:tcW w:w="482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Collaboration and other revenue</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2,192.4</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822.4</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4,246.5</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2,116.6</w:t>
            </w:r>
          </w:p>
        </w:tc>
      </w:tr>
      <w:tr>
        <w:trPr>
          <w:trHeight w:val="21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9,498.6</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6,941.6</w:t>
            </w:r>
          </w:p>
        </w:tc>
        <w:tc>
          <w:tcPr>
            <w:tcW w:w="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24,770.7</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21,239.6</w:t>
            </w:r>
          </w:p>
        </w:tc>
      </w:tr>
    </w:tbl>
    <w:p>
      <w:pPr>
        <w:spacing w:after="0" w:line="98" w:lineRule="exact"/>
        <w:rPr>
          <w:sz w:val="20"/>
          <w:szCs w:val="20"/>
          <w:color w:val="auto"/>
        </w:rPr>
      </w:pPr>
    </w:p>
    <w:p>
      <w:pPr>
        <w:ind w:left="160" w:right="800" w:hanging="157"/>
        <w:spacing w:after="0" w:line="298" w:lineRule="auto"/>
        <w:tabs>
          <w:tab w:leader="none" w:pos="139"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Collaboration and other revenue associated with prior period transfers of intellectual property was $31.3 million and $86.8 million during the three and nine months ended September 30, 2023, respectively, and $43.3 million and $130.9 million during the three and nine months ended September 30, 2022, respectively.</w:t>
      </w:r>
    </w:p>
    <w:p>
      <w:pPr>
        <w:spacing w:after="0" w:line="5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as well as from the sales of rights for the olanzapine portfolio, including Zyprexa</w:t>
      </w:r>
      <w:r>
        <w:rPr>
          <w:rFonts w:ascii="Arial" w:cs="Arial" w:eastAsia="Arial" w:hAnsi="Arial"/>
          <w:sz w:val="22"/>
          <w:szCs w:val="22"/>
          <w:color w:val="auto"/>
          <w:vertAlign w:val="superscript"/>
        </w:rPr>
        <w:t>®</w:t>
      </w:r>
      <w:r>
        <w:rPr>
          <w:rFonts w:ascii="Arial" w:cs="Arial" w:eastAsia="Arial" w:hAnsi="Arial"/>
          <w:sz w:val="17"/>
          <w:szCs w:val="17"/>
          <w:color w:val="auto"/>
        </w:rPr>
        <w:t>, and for Baqsimi</w:t>
      </w:r>
      <w:r>
        <w:rPr>
          <w:rFonts w:ascii="Arial" w:cs="Arial" w:eastAsia="Arial" w:hAnsi="Arial"/>
          <w:sz w:val="22"/>
          <w:szCs w:val="22"/>
          <w:color w:val="auto"/>
          <w:vertAlign w:val="superscript"/>
        </w:rPr>
        <w:t>®</w:t>
      </w:r>
      <w:r>
        <w:rPr>
          <w:rFonts w:ascii="Arial" w:cs="Arial" w:eastAsia="Arial" w:hAnsi="Arial"/>
          <w:sz w:val="17"/>
          <w:szCs w:val="17"/>
          <w:color w:val="auto"/>
        </w:rPr>
        <w:t>, all of which are discussed in Note 4. Substantially all of the remainder of collaboration and other revenue is related to contracts accounted for as contracts with customers.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Adjustments to Revenue</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Adjustments to revenue recognized as a result of changes in estimates for our most significant United States (U.S.) sales returns, rebates, and discounts liability balances for products shipped in previous periods were 2 percent and 3 percent of U.S. revenue during the three months ended September 30, 2023 and 2022, respectively, and less than 1 percent of U.S. revenue during the nine months ended September 30, 2023 and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Liabilities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contract liability balances: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December 31, 2022</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3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680" w:type="dxa"/>
            <w:vAlign w:val="bottom"/>
            <w:shd w:val="clear" w:color="auto" w:fill="CCEEFF"/>
          </w:tcPr>
          <w:p>
            <w:pPr>
              <w:jc w:val="right"/>
              <w:ind w:right="23"/>
              <w:spacing w:after="0"/>
              <w:rPr>
                <w:sz w:val="20"/>
                <w:szCs w:val="20"/>
                <w:color w:val="auto"/>
              </w:rPr>
            </w:pPr>
            <w:r>
              <w:rPr>
                <w:rFonts w:ascii="Arial" w:cs="Arial" w:eastAsia="Arial" w:hAnsi="Arial"/>
                <w:sz w:val="17"/>
                <w:szCs w:val="17"/>
                <w:b w:val="1"/>
                <w:bCs w:val="1"/>
                <w:color w:val="auto"/>
              </w:rPr>
              <w:t>200.7</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r>
    </w:tbl>
    <w:p>
      <w:pPr>
        <w:spacing w:after="0" w:line="18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During the three and nine months ended September 30, 2023 and 2022,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115"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color w:val="auto"/>
        </w:rPr>
        <w:t>The following table summarizes revenue, including net product revenue and collaboration and other revenue, by product for the three months ended September 30, 2023 and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213"/>
        </w:trPr>
        <w:tc>
          <w:tcPr>
            <w:tcW w:w="3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Diabetes: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0"/>
        </w:trPr>
        <w:tc>
          <w:tcPr>
            <w:tcW w:w="388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Trulicity</w:t>
            </w:r>
            <w:r>
              <w:rPr>
                <w:rFonts w:ascii="Arial" w:cs="Arial" w:eastAsia="Arial" w:hAnsi="Arial"/>
                <w:sz w:val="22"/>
                <w:szCs w:val="22"/>
                <w:color w:val="auto"/>
                <w:vertAlign w:val="superscript"/>
              </w:rPr>
              <w:t>®</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1,259.0</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414.6</w:t>
            </w:r>
          </w:p>
        </w:tc>
        <w:tc>
          <w:tcPr>
            <w:tcW w:w="300" w:type="dxa"/>
            <w:vAlign w:val="bottom"/>
          </w:tcPr>
          <w:p>
            <w:pPr>
              <w:jc w:val="right"/>
              <w:ind w:right="8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1,673.6</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1,418.3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432.0</w:t>
            </w:r>
          </w:p>
        </w:tc>
        <w:tc>
          <w:tcPr>
            <w:tcW w:w="3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1,850.4</w:t>
            </w: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Mounjaro</w:t>
            </w:r>
            <w:r>
              <w:rPr>
                <w:rFonts w:ascii="Arial" w:cs="Arial" w:eastAsia="Arial" w:hAnsi="Arial"/>
                <w:sz w:val="22"/>
                <w:szCs w:val="22"/>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1,277.0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1,409.3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r>
      <w:tr>
        <w:trPr>
          <w:trHeight w:val="220"/>
        </w:trPr>
        <w:tc>
          <w:tcPr>
            <w:tcW w:w="388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Jardiance</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415.9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284.8</w:t>
            </w:r>
          </w:p>
        </w:tc>
        <w:tc>
          <w:tcPr>
            <w:tcW w:w="3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700.8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350.9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222.4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573.3</w:t>
            </w: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Humalog</w:t>
            </w:r>
            <w:r>
              <w:rPr>
                <w:rFonts w:ascii="Arial" w:cs="Arial" w:eastAsia="Arial" w:hAnsi="Arial"/>
                <w:sz w:val="22"/>
                <w:szCs w:val="22"/>
                <w:color w:val="auto"/>
                <w:vertAlign w:val="superscript"/>
              </w:rPr>
              <w:t>® (2)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194.2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395.4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447.0</w:t>
            </w:r>
          </w:p>
        </w:tc>
      </w:tr>
      <w:tr>
        <w:trPr>
          <w:trHeight w:val="220"/>
        </w:trPr>
        <w:tc>
          <w:tcPr>
            <w:tcW w:w="388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Humulin</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145.5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61.2</w:t>
            </w:r>
          </w:p>
        </w:tc>
        <w:tc>
          <w:tcPr>
            <w:tcW w:w="3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206.7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169.5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238.2</w:t>
            </w: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Basaglar</w:t>
            </w:r>
            <w:r>
              <w:rPr>
                <w:rFonts w:ascii="Arial" w:cs="Arial" w:eastAsia="Arial" w:hAnsi="Arial"/>
                <w:sz w:val="22"/>
                <w:szCs w:val="22"/>
                <w:color w:val="auto"/>
                <w:vertAlign w:val="superscript"/>
              </w:rPr>
              <w:t>® (3)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111.4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179.6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w:t>
            </w:r>
          </w:p>
        </w:tc>
      </w:tr>
      <w:tr>
        <w:trPr>
          <w:trHeight w:val="220"/>
        </w:trPr>
        <w:tc>
          <w:tcPr>
            <w:tcW w:w="3880" w:type="dxa"/>
            <w:vAlign w:val="bottom"/>
          </w:tcPr>
          <w:p>
            <w:pPr>
              <w:ind w:left="540"/>
              <w:spacing w:after="0"/>
              <w:rPr>
                <w:sz w:val="20"/>
                <w:szCs w:val="20"/>
                <w:color w:val="auto"/>
              </w:rPr>
            </w:pPr>
            <w:r>
              <w:rPr>
                <w:rFonts w:ascii="Arial" w:cs="Arial" w:eastAsia="Arial" w:hAnsi="Arial"/>
                <w:sz w:val="17"/>
                <w:szCs w:val="17"/>
                <w:i w:val="1"/>
                <w:iCs w:val="1"/>
                <w:color w:val="auto"/>
              </w:rPr>
              <w:t>Baqsimi</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9.3</w:t>
            </w:r>
          </w:p>
        </w:tc>
        <w:tc>
          <w:tcPr>
            <w:tcW w:w="3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13.1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43.0</w:t>
            </w:r>
          </w:p>
        </w:tc>
      </w:tr>
      <w:tr>
        <w:trPr>
          <w:trHeight w:val="220"/>
        </w:trPr>
        <w:tc>
          <w:tcPr>
            <w:tcW w:w="388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diabetes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53.2</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88.6</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141.9</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r>
      <w:tr>
        <w:trPr>
          <w:trHeight w:val="213"/>
        </w:trPr>
        <w:tc>
          <w:tcPr>
            <w:tcW w:w="3880" w:type="dxa"/>
            <w:vAlign w:val="bottom"/>
          </w:tcPr>
          <w:p>
            <w:pPr>
              <w:ind w:left="340"/>
              <w:spacing w:after="0"/>
              <w:rPr>
                <w:sz w:val="20"/>
                <w:szCs w:val="20"/>
                <w:color w:val="auto"/>
              </w:rPr>
            </w:pPr>
            <w:r>
              <w:rPr>
                <w:rFonts w:ascii="Arial" w:cs="Arial" w:eastAsia="Arial" w:hAnsi="Arial"/>
                <w:sz w:val="17"/>
                <w:szCs w:val="17"/>
                <w:color w:val="auto"/>
              </w:rPr>
              <w:t>Total diabetes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3,460.0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1,260.3</w:t>
            </w:r>
          </w:p>
        </w:tc>
        <w:tc>
          <w:tcPr>
            <w:tcW w:w="30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4,720.4</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2,488.6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1,174.0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3,662.6</w:t>
            </w:r>
          </w:p>
        </w:tc>
      </w:tr>
      <w:tr>
        <w:trPr>
          <w:trHeight w:val="90"/>
        </w:trPr>
        <w:tc>
          <w:tcPr>
            <w:tcW w:w="38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20"/>
        </w:trPr>
        <w:tc>
          <w:tcPr>
            <w:tcW w:w="3880" w:type="dxa"/>
            <w:vAlign w:val="bottom"/>
          </w:tcPr>
          <w:p>
            <w:pPr>
              <w:ind w:left="120"/>
              <w:spacing w:after="0"/>
              <w:rPr>
                <w:sz w:val="20"/>
                <w:szCs w:val="20"/>
                <w:color w:val="auto"/>
              </w:rPr>
            </w:pPr>
            <w:r>
              <w:rPr>
                <w:rFonts w:ascii="Arial" w:cs="Arial" w:eastAsia="Arial" w:hAnsi="Arial"/>
                <w:sz w:val="17"/>
                <w:szCs w:val="17"/>
                <w:color w:val="auto"/>
              </w:rPr>
              <w:t>Oncology: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Verzenio</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684.6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355.7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1,040.2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617.7</w:t>
            </w:r>
          </w:p>
        </w:tc>
      </w:tr>
      <w:tr>
        <w:trPr>
          <w:trHeight w:val="220"/>
        </w:trPr>
        <w:tc>
          <w:tcPr>
            <w:tcW w:w="388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Cyramza</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88.0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136.1</w:t>
            </w:r>
          </w:p>
        </w:tc>
        <w:tc>
          <w:tcPr>
            <w:tcW w:w="3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224.1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144.6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232.1</w:t>
            </w: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Erbitux</w:t>
            </w:r>
            <w:r>
              <w:rPr>
                <w:rFonts w:ascii="Arial" w:cs="Arial" w:eastAsia="Arial" w:hAnsi="Arial"/>
                <w:sz w:val="22"/>
                <w:szCs w:val="22"/>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153.9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w:t>
            </w:r>
          </w:p>
        </w:tc>
      </w:tr>
      <w:tr>
        <w:trPr>
          <w:trHeight w:val="220"/>
        </w:trPr>
        <w:tc>
          <w:tcPr>
            <w:tcW w:w="388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Alimta</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32.3</w:t>
            </w:r>
          </w:p>
        </w:tc>
        <w:tc>
          <w:tcPr>
            <w:tcW w:w="3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53.5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64.6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119.4</w:t>
            </w:r>
          </w:p>
        </w:tc>
      </w:tr>
      <w:tr>
        <w:trPr>
          <w:trHeight w:val="220"/>
        </w:trPr>
        <w:tc>
          <w:tcPr>
            <w:tcW w:w="388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73.8</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201.5</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275.4</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179.2</w:t>
            </w:r>
          </w:p>
        </w:tc>
      </w:tr>
      <w:tr>
        <w:trPr>
          <w:trHeight w:val="213"/>
        </w:trPr>
        <w:tc>
          <w:tcPr>
            <w:tcW w:w="3880" w:type="dxa"/>
            <w:vAlign w:val="bottom"/>
          </w:tcPr>
          <w:p>
            <w:pPr>
              <w:ind w:left="340"/>
              <w:spacing w:after="0"/>
              <w:rPr>
                <w:sz w:val="20"/>
                <w:szCs w:val="20"/>
                <w:color w:val="auto"/>
              </w:rPr>
            </w:pPr>
            <w:r>
              <w:rPr>
                <w:rFonts w:ascii="Arial" w:cs="Arial" w:eastAsia="Arial" w:hAnsi="Arial"/>
                <w:sz w:val="17"/>
                <w:szCs w:val="17"/>
                <w:color w:val="auto"/>
              </w:rPr>
              <w:t>Total oncology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1,001.6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745.5</w:t>
            </w:r>
          </w:p>
        </w:tc>
        <w:tc>
          <w:tcPr>
            <w:tcW w:w="30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1,747.1</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732.7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560.6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1,293.3</w:t>
            </w:r>
          </w:p>
        </w:tc>
      </w:tr>
      <w:tr>
        <w:trPr>
          <w:trHeight w:val="90"/>
        </w:trPr>
        <w:tc>
          <w:tcPr>
            <w:tcW w:w="38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20"/>
        </w:trPr>
        <w:tc>
          <w:tcPr>
            <w:tcW w:w="3880" w:type="dxa"/>
            <w:vAlign w:val="bottom"/>
          </w:tcPr>
          <w:p>
            <w:pPr>
              <w:ind w:left="120"/>
              <w:spacing w:after="0"/>
              <w:rPr>
                <w:sz w:val="20"/>
                <w:szCs w:val="20"/>
                <w:color w:val="auto"/>
              </w:rPr>
            </w:pPr>
            <w:r>
              <w:rPr>
                <w:rFonts w:ascii="Arial" w:cs="Arial" w:eastAsia="Arial" w:hAnsi="Arial"/>
                <w:sz w:val="17"/>
                <w:szCs w:val="17"/>
                <w:color w:val="auto"/>
              </w:rPr>
              <w:t>Immunology: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Taltz</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509.3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234.9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744.2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679.9</w:t>
            </w:r>
          </w:p>
        </w:tc>
      </w:tr>
      <w:tr>
        <w:trPr>
          <w:trHeight w:val="220"/>
        </w:trPr>
        <w:tc>
          <w:tcPr>
            <w:tcW w:w="388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Olumiant</w:t>
            </w:r>
            <w:r>
              <w:rPr>
                <w:rFonts w:ascii="Arial" w:cs="Arial" w:eastAsia="Arial" w:hAnsi="Arial"/>
                <w:sz w:val="22"/>
                <w:szCs w:val="22"/>
                <w:color w:val="auto"/>
                <w:vertAlign w:val="superscript"/>
              </w:rPr>
              <w:t>® (4)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65.7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165.7</w:t>
            </w:r>
          </w:p>
        </w:tc>
        <w:tc>
          <w:tcPr>
            <w:tcW w:w="3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231.4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160.0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182.9</w:t>
            </w:r>
          </w:p>
        </w:tc>
      </w:tr>
      <w:tr>
        <w:trPr>
          <w:trHeight w:val="220"/>
        </w:trPr>
        <w:tc>
          <w:tcPr>
            <w:tcW w:w="388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11.4</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3"/>
        </w:trPr>
        <w:tc>
          <w:tcPr>
            <w:tcW w:w="3880" w:type="dxa"/>
            <w:vAlign w:val="bottom"/>
          </w:tcPr>
          <w:p>
            <w:pPr>
              <w:ind w:left="340"/>
              <w:spacing w:after="0"/>
              <w:rPr>
                <w:sz w:val="20"/>
                <w:szCs w:val="20"/>
                <w:color w:val="auto"/>
              </w:rPr>
            </w:pPr>
            <w:r>
              <w:rPr>
                <w:rFonts w:ascii="Arial" w:cs="Arial" w:eastAsia="Arial" w:hAnsi="Arial"/>
                <w:sz w:val="17"/>
                <w:szCs w:val="17"/>
                <w:color w:val="auto"/>
              </w:rPr>
              <w:t>Total immunology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575.0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412.0</w:t>
            </w:r>
          </w:p>
        </w:tc>
        <w:tc>
          <w:tcPr>
            <w:tcW w:w="30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986.9</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516.7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349.7</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866.4</w:t>
            </w:r>
          </w:p>
        </w:tc>
      </w:tr>
      <w:tr>
        <w:trPr>
          <w:trHeight w:val="90"/>
        </w:trPr>
        <w:tc>
          <w:tcPr>
            <w:tcW w:w="38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20"/>
        </w:trPr>
        <w:tc>
          <w:tcPr>
            <w:tcW w:w="3880" w:type="dxa"/>
            <w:vAlign w:val="bottom"/>
          </w:tcPr>
          <w:p>
            <w:pPr>
              <w:ind w:left="120"/>
              <w:spacing w:after="0"/>
              <w:rPr>
                <w:sz w:val="20"/>
                <w:szCs w:val="20"/>
                <w:color w:val="auto"/>
              </w:rPr>
            </w:pPr>
            <w:r>
              <w:rPr>
                <w:rFonts w:ascii="Arial" w:cs="Arial" w:eastAsia="Arial" w:hAnsi="Arial"/>
                <w:sz w:val="17"/>
                <w:szCs w:val="17"/>
                <w:color w:val="auto"/>
              </w:rPr>
              <w:t>Neuroscience: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Zyprexa</w:t>
            </w:r>
            <w:r>
              <w:rPr>
                <w:rFonts w:ascii="Arial" w:cs="Arial" w:eastAsia="Arial" w:hAnsi="Arial"/>
                <w:sz w:val="22"/>
                <w:szCs w:val="22"/>
                <w:color w:val="auto"/>
                <w:vertAlign w:val="superscript"/>
              </w:rPr>
              <w:t>(5)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1,431.5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1,481.4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20"/>
        </w:trPr>
        <w:tc>
          <w:tcPr>
            <w:tcW w:w="388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Emgality</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126.5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42.1</w:t>
            </w:r>
          </w:p>
        </w:tc>
        <w:tc>
          <w:tcPr>
            <w:tcW w:w="3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168.5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168.5</w:t>
            </w:r>
          </w:p>
        </w:tc>
      </w:tr>
      <w:tr>
        <w:trPr>
          <w:trHeight w:val="220"/>
        </w:trPr>
        <w:tc>
          <w:tcPr>
            <w:tcW w:w="388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neuroscience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31.0</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87.0</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118.2</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w:t>
            </w:r>
          </w:p>
        </w:tc>
      </w:tr>
      <w:tr>
        <w:trPr>
          <w:trHeight w:val="213"/>
        </w:trPr>
        <w:tc>
          <w:tcPr>
            <w:tcW w:w="3880" w:type="dxa"/>
            <w:vAlign w:val="bottom"/>
          </w:tcPr>
          <w:p>
            <w:pPr>
              <w:ind w:left="340"/>
              <w:spacing w:after="0"/>
              <w:rPr>
                <w:sz w:val="20"/>
                <w:szCs w:val="20"/>
                <w:color w:val="auto"/>
              </w:rPr>
            </w:pPr>
            <w:r>
              <w:rPr>
                <w:rFonts w:ascii="Arial" w:cs="Arial" w:eastAsia="Arial" w:hAnsi="Arial"/>
                <w:sz w:val="17"/>
                <w:szCs w:val="17"/>
                <w:color w:val="auto"/>
              </w:rPr>
              <w:t>Total neuroscience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207.4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1,560.6</w:t>
            </w:r>
          </w:p>
        </w:tc>
        <w:tc>
          <w:tcPr>
            <w:tcW w:w="30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1,768.1</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145.8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227.4</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373.2</w:t>
            </w:r>
          </w:p>
        </w:tc>
      </w:tr>
      <w:tr>
        <w:trPr>
          <w:trHeight w:val="90"/>
        </w:trPr>
        <w:tc>
          <w:tcPr>
            <w:tcW w:w="38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20"/>
        </w:trPr>
        <w:tc>
          <w:tcPr>
            <w:tcW w:w="3880" w:type="dxa"/>
            <w:vAlign w:val="bottom"/>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Forteo</w:t>
            </w:r>
            <w:r>
              <w:rPr>
                <w:rFonts w:ascii="Arial" w:cs="Arial" w:eastAsia="Arial" w:hAnsi="Arial"/>
                <w:sz w:val="22"/>
                <w:szCs w:val="22"/>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146.4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w:t>
            </w:r>
          </w:p>
        </w:tc>
      </w:tr>
      <w:tr>
        <w:trPr>
          <w:trHeight w:val="220"/>
        </w:trPr>
        <w:tc>
          <w:tcPr>
            <w:tcW w:w="388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Cialis</w:t>
            </w:r>
            <w:r>
              <w:rPr>
                <w:rFonts w:ascii="Arial" w:cs="Arial" w:eastAsia="Arial" w:hAnsi="Arial"/>
                <w:sz w:val="22"/>
                <w:szCs w:val="22"/>
                <w:i w:val="1"/>
                <w:iCs w:val="1"/>
                <w:color w:val="auto"/>
                <w:vertAlign w:val="superscript"/>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82.0</w:t>
            </w:r>
          </w:p>
        </w:tc>
        <w:tc>
          <w:tcPr>
            <w:tcW w:w="3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86.8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115.7</w:t>
            </w:r>
          </w:p>
        </w:tc>
      </w:tr>
      <w:tr>
        <w:trPr>
          <w:trHeight w:val="220"/>
        </w:trPr>
        <w:tc>
          <w:tcPr>
            <w:tcW w:w="388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COVID-19 antibodies</w:t>
            </w:r>
            <w:r>
              <w:rPr>
                <w:rFonts w:ascii="Arial" w:cs="Arial" w:eastAsia="Arial" w:hAnsi="Arial"/>
                <w:sz w:val="22"/>
                <w:szCs w:val="22"/>
                <w:color w:val="auto"/>
                <w:vertAlign w:val="superscript"/>
              </w:rPr>
              <w:t>(6)</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386.6</w:t>
            </w:r>
          </w:p>
        </w:tc>
      </w:tr>
      <w:tr>
        <w:trPr>
          <w:trHeight w:val="220"/>
        </w:trPr>
        <w:tc>
          <w:tcPr>
            <w:tcW w:w="3880" w:type="dxa"/>
            <w:vAlign w:val="bottom"/>
            <w:tcBorders>
              <w:bottom w:val="single" w:sz="8" w:color="CCEEFF"/>
            </w:tcBorders>
          </w:tcPr>
          <w:p>
            <w:pPr>
              <w:ind w:left="540"/>
              <w:spacing w:after="0"/>
              <w:rPr>
                <w:sz w:val="20"/>
                <w:szCs w:val="20"/>
                <w:color w:val="auto"/>
              </w:rPr>
            </w:pPr>
            <w:r>
              <w:rPr>
                <w:rFonts w:ascii="Arial" w:cs="Arial" w:eastAsia="Arial" w:hAnsi="Arial"/>
                <w:sz w:val="17"/>
                <w:szCs w:val="17"/>
                <w:i w:val="1"/>
                <w:iCs w:val="1"/>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42.9</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w:t>
            </w:r>
          </w:p>
        </w:tc>
      </w:tr>
      <w:tr>
        <w:trPr>
          <w:trHeight w:val="213"/>
        </w:trPr>
        <w:tc>
          <w:tcPr>
            <w:tcW w:w="3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124.1</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152.0</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276.1</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538.3</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207.8</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746.0</w:t>
            </w: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5,368.1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4,130.5</w:t>
            </w: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9,498.6</w:t>
            </w:r>
          </w:p>
        </w:tc>
        <w:tc>
          <w:tcPr>
            <w:tcW w:w="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2,519.4</w:t>
            </w:r>
          </w:p>
        </w:tc>
        <w:tc>
          <w:tcPr>
            <w:tcW w:w="3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6,941.6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 w:lineRule="exact"/>
        <w:rPr>
          <w:sz w:val="20"/>
          <w:szCs w:val="20"/>
          <w:color w:val="auto"/>
        </w:rPr>
      </w:pPr>
    </w:p>
    <w:p>
      <w:pPr>
        <w:ind w:left="140" w:hanging="137"/>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8"/>
          <w:szCs w:val="8"/>
          <w:color w:val="auto"/>
        </w:rPr>
        <w:t>®</w:t>
      </w:r>
      <w:r>
        <w:rPr>
          <w:rFonts w:ascii="Arial" w:cs="Arial" w:eastAsia="Arial" w:hAnsi="Arial"/>
          <w:sz w:val="14"/>
          <w:szCs w:val="14"/>
          <w:color w:val="auto"/>
        </w:rPr>
        <w:t>, Synjardy</w:t>
      </w:r>
      <w:r>
        <w:rPr>
          <w:rFonts w:ascii="Arial" w:cs="Arial" w:eastAsia="Arial" w:hAnsi="Arial"/>
          <w:sz w:val="8"/>
          <w:szCs w:val="8"/>
          <w:color w:val="auto"/>
        </w:rPr>
        <w:t>®</w:t>
      </w:r>
      <w:r>
        <w:rPr>
          <w:rFonts w:ascii="Arial" w:cs="Arial" w:eastAsia="Arial" w:hAnsi="Arial"/>
          <w:sz w:val="14"/>
          <w:szCs w:val="14"/>
          <w:color w:val="auto"/>
        </w:rPr>
        <w:t>, and Trijardy</w:t>
      </w:r>
      <w:r>
        <w:rPr>
          <w:rFonts w:ascii="Arial" w:cs="Arial" w:eastAsia="Arial" w:hAnsi="Arial"/>
          <w:sz w:val="8"/>
          <w:szCs w:val="8"/>
          <w:color w:val="auto"/>
        </w:rPr>
        <w:t>®</w:t>
      </w:r>
      <w:r>
        <w:rPr>
          <w:rFonts w:ascii="Arial" w:cs="Arial" w:eastAsia="Arial" w:hAnsi="Arial"/>
          <w:sz w:val="14"/>
          <w:szCs w:val="14"/>
          <w:color w:val="auto"/>
        </w:rPr>
        <w:t xml:space="preserve"> XR.</w:t>
      </w:r>
    </w:p>
    <w:p>
      <w:pPr>
        <w:spacing w:after="0" w:line="3" w:lineRule="exact"/>
        <w:rPr>
          <w:rFonts w:ascii="Arial" w:cs="Arial" w:eastAsia="Arial" w:hAnsi="Arial"/>
          <w:sz w:val="9"/>
          <w:szCs w:val="9"/>
          <w:color w:val="auto"/>
        </w:rPr>
      </w:pPr>
    </w:p>
    <w:p>
      <w:pPr>
        <w:ind w:left="140" w:hanging="137"/>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6" w:lineRule="exact"/>
        <w:rPr>
          <w:rFonts w:ascii="Arial" w:cs="Arial" w:eastAsia="Arial" w:hAnsi="Arial"/>
          <w:sz w:val="9"/>
          <w:szCs w:val="9"/>
          <w:color w:val="auto"/>
        </w:rPr>
      </w:pPr>
    </w:p>
    <w:p>
      <w:pPr>
        <w:ind w:left="140" w:hanging="137"/>
        <w:spacing w:after="0" w:line="223"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ind w:left="140" w:hanging="137"/>
        <w:spacing w:after="0" w:line="21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Emergency Use Authorization (EUA) or similar regulatory authorizations.</w:t>
      </w:r>
    </w:p>
    <w:p>
      <w:pPr>
        <w:spacing w:after="0" w:line="3" w:lineRule="exact"/>
        <w:rPr>
          <w:rFonts w:ascii="Arial" w:cs="Arial" w:eastAsia="Arial" w:hAnsi="Arial"/>
          <w:sz w:val="16"/>
          <w:szCs w:val="16"/>
          <w:color w:val="auto"/>
          <w:vertAlign w:val="superscript"/>
        </w:rPr>
      </w:pPr>
    </w:p>
    <w:p>
      <w:pPr>
        <w:ind w:left="140" w:hanging="137"/>
        <w:spacing w:after="0" w:line="202"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Zyprexa revenue includes sale of rights for the olanzapine portfolio.</w:t>
      </w:r>
    </w:p>
    <w:p>
      <w:pPr>
        <w:ind w:left="140" w:hanging="137"/>
        <w:spacing w:after="0"/>
        <w:tabs>
          <w:tab w:leader="none" w:pos="140" w:val="left"/>
        </w:tabs>
        <w:numPr>
          <w:ilvl w:val="0"/>
          <w:numId w:val="5"/>
        </w:numPr>
        <w:rPr>
          <w:rFonts w:ascii="Arial" w:cs="Arial" w:eastAsia="Arial" w:hAnsi="Arial"/>
          <w:sz w:val="8"/>
          <w:szCs w:val="8"/>
          <w:color w:val="auto"/>
        </w:rPr>
      </w:pPr>
      <w:r>
        <w:rPr>
          <w:rFonts w:ascii="Arial" w:cs="Arial" w:eastAsia="Arial" w:hAnsi="Arial"/>
          <w:sz w:val="13"/>
          <w:szCs w:val="13"/>
          <w:color w:val="auto"/>
        </w:rPr>
        <w:t>COVID-19 antibodies include sales for bamlanivimab administered alone, for bamlanivimab and etesevimab administered together, and for bebtelovimab and were made pursuant to</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EUAs or similar regulatory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The following table summarizes revenue, including net product revenue and collaboration and other revenue, by product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w w:val="98"/>
              </w:rPr>
              <w:t>Nine Months Ended September 30,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213"/>
        </w:trPr>
        <w:tc>
          <w:tcPr>
            <w:tcW w:w="3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Diabetes: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0"/>
        </w:trPr>
        <w:tc>
          <w:tcPr>
            <w:tcW w:w="3860" w:type="dxa"/>
            <w:vAlign w:val="bottom"/>
          </w:tcPr>
          <w:p>
            <w:pPr>
              <w:ind w:left="540"/>
              <w:spacing w:after="0"/>
              <w:rPr>
                <w:sz w:val="20"/>
                <w:szCs w:val="20"/>
                <w:color w:val="auto"/>
              </w:rPr>
            </w:pPr>
            <w:r>
              <w:rPr>
                <w:rFonts w:ascii="Arial" w:cs="Arial" w:eastAsia="Arial" w:hAnsi="Arial"/>
                <w:sz w:val="17"/>
                <w:szCs w:val="17"/>
                <w:i w:val="1"/>
                <w:iCs w:val="1"/>
                <w:color w:val="auto"/>
              </w:rPr>
              <w:t>Trulicity</w:t>
            </w: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4,177.7</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1,285.6</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5,463.2</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4,162.4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1,341.1</w:t>
            </w:r>
          </w:p>
        </w:tc>
        <w:tc>
          <w:tcPr>
            <w:tcW w:w="3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5,503.5</w:t>
            </w: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Mounjaro</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2,729.1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228.4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2,957.5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w:t>
            </w:r>
          </w:p>
        </w:tc>
      </w:tr>
      <w:tr>
        <w:trPr>
          <w:trHeight w:val="220"/>
        </w:trPr>
        <w:tc>
          <w:tcPr>
            <w:tcW w:w="386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Jardiance</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1,131.5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815.1</w:t>
            </w: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1,946.6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831.4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622.4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1,453.7</w:t>
            </w:r>
          </w:p>
        </w:tc>
      </w:tr>
      <w:tr>
        <w:trPr>
          <w:trHeight w:val="220"/>
        </w:trPr>
        <w:tc>
          <w:tcPr>
            <w:tcW w:w="386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Humalog</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695.6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601.2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1,296.8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1,512.3</w:t>
            </w:r>
          </w:p>
        </w:tc>
      </w:tr>
      <w:tr>
        <w:trPr>
          <w:trHeight w:val="220"/>
        </w:trPr>
        <w:tc>
          <w:tcPr>
            <w:tcW w:w="3860" w:type="dxa"/>
            <w:vAlign w:val="bottom"/>
          </w:tcPr>
          <w:p>
            <w:pPr>
              <w:ind w:left="540"/>
              <w:spacing w:after="0"/>
              <w:rPr>
                <w:sz w:val="20"/>
                <w:szCs w:val="20"/>
                <w:color w:val="auto"/>
              </w:rPr>
            </w:pPr>
            <w:r>
              <w:rPr>
                <w:rFonts w:ascii="Arial" w:cs="Arial" w:eastAsia="Arial" w:hAnsi="Arial"/>
                <w:sz w:val="17"/>
                <w:szCs w:val="17"/>
                <w:i w:val="1"/>
                <w:iCs w:val="1"/>
                <w:color w:val="auto"/>
              </w:rPr>
              <w:t>Humulin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488.6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175.4</w:t>
            </w: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664.0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562.3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223.1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785.4</w:t>
            </w: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Baqsimi</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633.1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658.4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w:t>
            </w:r>
          </w:p>
        </w:tc>
      </w:tr>
      <w:tr>
        <w:trPr>
          <w:trHeight w:val="220"/>
        </w:trPr>
        <w:tc>
          <w:tcPr>
            <w:tcW w:w="386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Basaglar</w:t>
            </w:r>
            <w:r>
              <w:rPr>
                <w:rFonts w:ascii="Arial" w:cs="Arial" w:eastAsia="Arial" w:hAnsi="Arial"/>
                <w:sz w:val="22"/>
                <w:szCs w:val="22"/>
                <w:color w:val="auto"/>
                <w:vertAlign w:val="superscript"/>
              </w:rPr>
              <w:t>(3)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329.7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213.4</w:t>
            </w: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543.1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339.9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218.8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558.7</w:t>
            </w: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diabetes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131.1</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260.7</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392.0</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254.8</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371.0</w:t>
            </w:r>
          </w:p>
        </w:tc>
      </w:tr>
      <w:tr>
        <w:trPr>
          <w:trHeight w:val="213"/>
        </w:trPr>
        <w:tc>
          <w:tcPr>
            <w:tcW w:w="3860" w:type="dxa"/>
            <w:vAlign w:val="bottom"/>
          </w:tcPr>
          <w:p>
            <w:pPr>
              <w:ind w:left="340"/>
              <w:spacing w:after="0"/>
              <w:rPr>
                <w:sz w:val="20"/>
                <w:szCs w:val="20"/>
                <w:color w:val="auto"/>
              </w:rPr>
            </w:pPr>
            <w:r>
              <w:rPr>
                <w:rFonts w:ascii="Arial" w:cs="Arial" w:eastAsia="Arial" w:hAnsi="Arial"/>
                <w:sz w:val="17"/>
                <w:szCs w:val="17"/>
                <w:color w:val="auto"/>
              </w:rPr>
              <w:t>Total diabetes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10,316.4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3,605.2</w:t>
            </w:r>
          </w:p>
        </w:tc>
        <w:tc>
          <w:tcPr>
            <w:tcW w:w="1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13,921.6</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7,057.3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3,431.6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10,489.0</w:t>
            </w:r>
          </w:p>
        </w:tc>
      </w:tr>
      <w:tr>
        <w:trPr>
          <w:trHeight w:val="90"/>
        </w:trPr>
        <w:tc>
          <w:tcPr>
            <w:tcW w:w="3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20"/>
        </w:trPr>
        <w:tc>
          <w:tcPr>
            <w:tcW w:w="3860" w:type="dxa"/>
            <w:vAlign w:val="bottom"/>
          </w:tcPr>
          <w:p>
            <w:pPr>
              <w:ind w:left="120"/>
              <w:spacing w:after="0"/>
              <w:rPr>
                <w:sz w:val="20"/>
                <w:szCs w:val="20"/>
                <w:color w:val="auto"/>
              </w:rPr>
            </w:pPr>
            <w:r>
              <w:rPr>
                <w:rFonts w:ascii="Arial" w:cs="Arial" w:eastAsia="Arial" w:hAnsi="Arial"/>
                <w:sz w:val="17"/>
                <w:szCs w:val="17"/>
                <w:color w:val="auto"/>
              </w:rPr>
              <w:t>Oncology: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Verzenio</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1,734.2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983.7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2,717.9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575.1</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1,675.6</w:t>
            </w:r>
          </w:p>
        </w:tc>
      </w:tr>
      <w:tr>
        <w:trPr>
          <w:trHeight w:val="220"/>
        </w:trPr>
        <w:tc>
          <w:tcPr>
            <w:tcW w:w="3860" w:type="dxa"/>
            <w:vAlign w:val="bottom"/>
          </w:tcPr>
          <w:p>
            <w:pPr>
              <w:ind w:left="540"/>
              <w:spacing w:after="0"/>
              <w:rPr>
                <w:sz w:val="20"/>
                <w:szCs w:val="20"/>
                <w:color w:val="auto"/>
              </w:rPr>
            </w:pPr>
            <w:r>
              <w:rPr>
                <w:rFonts w:ascii="Arial" w:cs="Arial" w:eastAsia="Arial" w:hAnsi="Arial"/>
                <w:sz w:val="17"/>
                <w:szCs w:val="17"/>
                <w:i w:val="1"/>
                <w:iCs w:val="1"/>
                <w:color w:val="auto"/>
              </w:rPr>
              <w:t>Cyramza</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303.6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417.5</w:t>
            </w: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721.1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259.3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434.3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693.6</w:t>
            </w: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Erbitux</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398.3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446.3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w:t>
            </w:r>
          </w:p>
        </w:tc>
      </w:tr>
      <w:tr>
        <w:trPr>
          <w:trHeight w:val="220"/>
        </w:trPr>
        <w:tc>
          <w:tcPr>
            <w:tcW w:w="3860" w:type="dxa"/>
            <w:vAlign w:val="bottom"/>
          </w:tcPr>
          <w:p>
            <w:pPr>
              <w:ind w:left="540"/>
              <w:spacing w:after="0"/>
              <w:rPr>
                <w:sz w:val="20"/>
                <w:szCs w:val="20"/>
                <w:color w:val="auto"/>
              </w:rPr>
            </w:pPr>
            <w:r>
              <w:rPr>
                <w:rFonts w:ascii="Arial" w:cs="Arial" w:eastAsia="Arial" w:hAnsi="Arial"/>
                <w:sz w:val="17"/>
                <w:szCs w:val="17"/>
                <w:i w:val="1"/>
                <w:iCs w:val="1"/>
                <w:color w:val="auto"/>
              </w:rPr>
              <w:t>Alimta</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59.2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113.5</w:t>
            </w: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172.6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490.5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200.5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691.1</w:t>
            </w: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oncology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194.7</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521.4</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716.2</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422.3</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546.4</w:t>
            </w:r>
          </w:p>
        </w:tc>
      </w:tr>
      <w:tr>
        <w:trPr>
          <w:trHeight w:val="213"/>
        </w:trPr>
        <w:tc>
          <w:tcPr>
            <w:tcW w:w="3860" w:type="dxa"/>
            <w:vAlign w:val="bottom"/>
          </w:tcPr>
          <w:p>
            <w:pPr>
              <w:ind w:left="340"/>
              <w:spacing w:after="0"/>
              <w:rPr>
                <w:sz w:val="20"/>
                <w:szCs w:val="20"/>
                <w:color w:val="auto"/>
              </w:rPr>
            </w:pPr>
            <w:r>
              <w:rPr>
                <w:rFonts w:ascii="Arial" w:cs="Arial" w:eastAsia="Arial" w:hAnsi="Arial"/>
                <w:sz w:val="17"/>
                <w:szCs w:val="17"/>
                <w:color w:val="auto"/>
              </w:rPr>
              <w:t>Total oncology</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2,690.0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2,084.1</w:t>
            </w:r>
          </w:p>
        </w:tc>
        <w:tc>
          <w:tcPr>
            <w:tcW w:w="1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4,774.1</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2,335.4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1,679.6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4,015.0</w:t>
            </w:r>
          </w:p>
        </w:tc>
      </w:tr>
      <w:tr>
        <w:trPr>
          <w:trHeight w:val="90"/>
        </w:trPr>
        <w:tc>
          <w:tcPr>
            <w:tcW w:w="3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20"/>
        </w:trPr>
        <w:tc>
          <w:tcPr>
            <w:tcW w:w="3860" w:type="dxa"/>
            <w:vAlign w:val="bottom"/>
          </w:tcPr>
          <w:p>
            <w:pPr>
              <w:ind w:left="120"/>
              <w:spacing w:after="0"/>
              <w:rPr>
                <w:sz w:val="20"/>
                <w:szCs w:val="20"/>
                <w:color w:val="auto"/>
              </w:rPr>
            </w:pPr>
            <w:r>
              <w:rPr>
                <w:rFonts w:ascii="Arial" w:cs="Arial" w:eastAsia="Arial" w:hAnsi="Arial"/>
                <w:sz w:val="17"/>
                <w:szCs w:val="17"/>
                <w:color w:val="auto"/>
              </w:rPr>
              <w:t>Immunology: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Taltz</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1,293.8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681.2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1,975.0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1,774.2</w:t>
            </w:r>
          </w:p>
        </w:tc>
      </w:tr>
      <w:tr>
        <w:trPr>
          <w:trHeight w:val="220"/>
        </w:trPr>
        <w:tc>
          <w:tcPr>
            <w:tcW w:w="386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Olumiant</w:t>
            </w:r>
            <w:r>
              <w:rPr>
                <w:rFonts w:ascii="Arial" w:cs="Arial" w:eastAsia="Arial" w:hAnsi="Arial"/>
                <w:sz w:val="22"/>
                <w:szCs w:val="22"/>
                <w:color w:val="auto"/>
                <w:vertAlign w:val="superscript"/>
              </w:rPr>
              <w:t>(4)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158.8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520.4</w:t>
            </w: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679.2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520.1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624.7</w:t>
            </w: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immunology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39.0</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39.0</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3"/>
        </w:trPr>
        <w:tc>
          <w:tcPr>
            <w:tcW w:w="3860" w:type="dxa"/>
            <w:vAlign w:val="bottom"/>
          </w:tcPr>
          <w:p>
            <w:pPr>
              <w:ind w:left="340"/>
              <w:spacing w:after="0"/>
              <w:rPr>
                <w:sz w:val="20"/>
                <w:szCs w:val="20"/>
                <w:color w:val="auto"/>
              </w:rPr>
            </w:pPr>
            <w:r>
              <w:rPr>
                <w:rFonts w:ascii="Arial" w:cs="Arial" w:eastAsia="Arial" w:hAnsi="Arial"/>
                <w:sz w:val="17"/>
                <w:szCs w:val="17"/>
                <w:color w:val="auto"/>
              </w:rPr>
              <w:t>Total immunology</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1,452.6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1,240.6</w:t>
            </w:r>
          </w:p>
        </w:tc>
        <w:tc>
          <w:tcPr>
            <w:tcW w:w="1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2,693.2</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1,317.3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1,093.8</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2,411.0</w:t>
            </w:r>
          </w:p>
        </w:tc>
      </w:tr>
      <w:tr>
        <w:trPr>
          <w:trHeight w:val="90"/>
        </w:trPr>
        <w:tc>
          <w:tcPr>
            <w:tcW w:w="3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20"/>
        </w:trPr>
        <w:tc>
          <w:tcPr>
            <w:tcW w:w="3860" w:type="dxa"/>
            <w:vAlign w:val="bottom"/>
          </w:tcPr>
          <w:p>
            <w:pPr>
              <w:ind w:left="120"/>
              <w:spacing w:after="0"/>
              <w:rPr>
                <w:sz w:val="20"/>
                <w:szCs w:val="20"/>
                <w:color w:val="auto"/>
              </w:rPr>
            </w:pPr>
            <w:r>
              <w:rPr>
                <w:rFonts w:ascii="Arial" w:cs="Arial" w:eastAsia="Arial" w:hAnsi="Arial"/>
                <w:sz w:val="17"/>
                <w:szCs w:val="17"/>
                <w:color w:val="auto"/>
              </w:rPr>
              <w:t>Neuroscience: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86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Zyprexa</w:t>
            </w:r>
            <w:r>
              <w:rPr>
                <w:rFonts w:ascii="Arial" w:cs="Arial" w:eastAsia="Arial" w:hAnsi="Arial"/>
                <w:sz w:val="22"/>
                <w:szCs w:val="22"/>
                <w:color w:val="auto"/>
                <w:vertAlign w:val="superscript"/>
              </w:rPr>
              <w:t>(5)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1,581.9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1,651.0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261.7</w:t>
            </w:r>
          </w:p>
        </w:tc>
      </w:tr>
      <w:tr>
        <w:trPr>
          <w:trHeight w:val="220"/>
        </w:trPr>
        <w:tc>
          <w:tcPr>
            <w:tcW w:w="3860" w:type="dxa"/>
            <w:vAlign w:val="bottom"/>
          </w:tcPr>
          <w:p>
            <w:pPr>
              <w:ind w:left="540"/>
              <w:spacing w:after="0"/>
              <w:rPr>
                <w:sz w:val="20"/>
                <w:szCs w:val="20"/>
                <w:color w:val="auto"/>
              </w:rPr>
            </w:pPr>
            <w:r>
              <w:rPr>
                <w:rFonts w:ascii="Arial" w:cs="Arial" w:eastAsia="Arial" w:hAnsi="Arial"/>
                <w:sz w:val="17"/>
                <w:szCs w:val="17"/>
                <w:i w:val="1"/>
                <w:iCs w:val="1"/>
                <w:color w:val="auto"/>
              </w:rPr>
              <w:t>Emgality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354.0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138.2</w:t>
            </w: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492.2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330.8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144.4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475.2</w:t>
            </w: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neuroscience</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89.7</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282.9</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372.6</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337.0</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424.0</w:t>
            </w:r>
          </w:p>
        </w:tc>
      </w:tr>
      <w:tr>
        <w:trPr>
          <w:trHeight w:val="213"/>
        </w:trPr>
        <w:tc>
          <w:tcPr>
            <w:tcW w:w="3860" w:type="dxa"/>
            <w:vAlign w:val="bottom"/>
          </w:tcPr>
          <w:p>
            <w:pPr>
              <w:ind w:left="340"/>
              <w:spacing w:after="0"/>
              <w:rPr>
                <w:sz w:val="20"/>
                <w:szCs w:val="20"/>
                <w:color w:val="auto"/>
              </w:rPr>
            </w:pPr>
            <w:r>
              <w:rPr>
                <w:rFonts w:ascii="Arial" w:cs="Arial" w:eastAsia="Arial" w:hAnsi="Arial"/>
                <w:sz w:val="17"/>
                <w:szCs w:val="17"/>
                <w:color w:val="auto"/>
              </w:rPr>
              <w:t>Total neuroscience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512.8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2,003.0</w:t>
            </w:r>
          </w:p>
        </w:tc>
        <w:tc>
          <w:tcPr>
            <w:tcW w:w="1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2,515.8</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444.0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716.9</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1,160.9</w:t>
            </w:r>
          </w:p>
        </w:tc>
      </w:tr>
      <w:tr>
        <w:trPr>
          <w:trHeight w:val="90"/>
        </w:trPr>
        <w:tc>
          <w:tcPr>
            <w:tcW w:w="3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20"/>
        </w:trPr>
        <w:tc>
          <w:tcPr>
            <w:tcW w:w="3860" w:type="dxa"/>
            <w:vAlign w:val="bottom"/>
          </w:tcPr>
          <w:p>
            <w:pPr>
              <w:ind w:left="1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86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Forteo</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269.2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416.8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453.0</w:t>
            </w:r>
          </w:p>
        </w:tc>
      </w:tr>
      <w:tr>
        <w:trPr>
          <w:trHeight w:val="220"/>
        </w:trPr>
        <w:tc>
          <w:tcPr>
            <w:tcW w:w="3860" w:type="dxa"/>
            <w:vAlign w:val="bottom"/>
          </w:tcPr>
          <w:p>
            <w:pPr>
              <w:ind w:left="540"/>
              <w:spacing w:after="0"/>
              <w:rPr>
                <w:sz w:val="20"/>
                <w:szCs w:val="20"/>
                <w:color w:val="auto"/>
              </w:rPr>
            </w:pPr>
            <w:r>
              <w:rPr>
                <w:rFonts w:ascii="Arial" w:cs="Arial" w:eastAsia="Arial" w:hAnsi="Arial"/>
                <w:sz w:val="17"/>
                <w:szCs w:val="17"/>
                <w:i w:val="1"/>
                <w:iCs w:val="1"/>
                <w:color w:val="auto"/>
              </w:rPr>
              <w:t>Cialis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281.1</w:t>
            </w: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302.7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454.7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480.4</w:t>
            </w:r>
          </w:p>
        </w:tc>
      </w:tr>
      <w:tr>
        <w:trPr>
          <w:trHeight w:val="220"/>
        </w:trPr>
        <w:tc>
          <w:tcPr>
            <w:tcW w:w="386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COVID-19 antibodies</w:t>
            </w:r>
            <w:r>
              <w:rPr>
                <w:rFonts w:ascii="Arial" w:cs="Arial" w:eastAsia="Arial" w:hAnsi="Arial"/>
                <w:sz w:val="22"/>
                <w:szCs w:val="22"/>
                <w:color w:val="auto"/>
                <w:vertAlign w:val="superscript"/>
              </w:rPr>
              <w:t>(6)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1,985.5</w:t>
            </w:r>
          </w:p>
        </w:tc>
      </w:tr>
      <w:tr>
        <w:trPr>
          <w:trHeight w:val="220"/>
        </w:trPr>
        <w:tc>
          <w:tcPr>
            <w:tcW w:w="3860" w:type="dxa"/>
            <w:vAlign w:val="bottom"/>
            <w:tcBorders>
              <w:bottom w:val="single" w:sz="8" w:color="CCEEFF"/>
            </w:tcBorders>
          </w:tcPr>
          <w:p>
            <w:pPr>
              <w:ind w:left="540"/>
              <w:spacing w:after="0"/>
              <w:rPr>
                <w:sz w:val="20"/>
                <w:szCs w:val="20"/>
                <w:color w:val="auto"/>
              </w:rPr>
            </w:pPr>
            <w:r>
              <w:rPr>
                <w:rFonts w:ascii="Arial" w:cs="Arial" w:eastAsia="Arial" w:hAnsi="Arial"/>
                <w:sz w:val="17"/>
                <w:szCs w:val="17"/>
                <w:i w:val="1"/>
                <w:iCs w:val="1"/>
                <w:color w:val="auto"/>
              </w:rPr>
              <w:t>Other</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73.0</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73.4</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146.5</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119.4</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244.8</w:t>
            </w:r>
          </w:p>
        </w:tc>
      </w:tr>
      <w:tr>
        <w:trPr>
          <w:trHeight w:val="213"/>
        </w:trPr>
        <w:tc>
          <w:tcPr>
            <w:tcW w:w="3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363.8</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502.1</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866.0</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2,377.5</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786.2</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3,163.7</w:t>
            </w: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9,435.0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24,770.7</w:t>
            </w:r>
          </w:p>
        </w:tc>
        <w:tc>
          <w:tcPr>
            <w:tcW w:w="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7,708.1</w:t>
            </w:r>
          </w:p>
        </w:tc>
        <w:tc>
          <w:tcPr>
            <w:tcW w:w="3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21,239.6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 w:lineRule="exact"/>
        <w:rPr>
          <w:sz w:val="20"/>
          <w:szCs w:val="20"/>
          <w:color w:val="auto"/>
        </w:rPr>
      </w:pPr>
    </w:p>
    <w:p>
      <w:pPr>
        <w:ind w:left="140" w:hanging="137"/>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3" w:lineRule="exact"/>
        <w:rPr>
          <w:rFonts w:ascii="Arial" w:cs="Arial" w:eastAsia="Arial" w:hAnsi="Arial"/>
          <w:sz w:val="9"/>
          <w:szCs w:val="9"/>
          <w:color w:val="auto"/>
        </w:rPr>
      </w:pPr>
    </w:p>
    <w:p>
      <w:pPr>
        <w:ind w:left="140" w:hanging="137"/>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6" w:lineRule="exact"/>
        <w:rPr>
          <w:rFonts w:ascii="Arial" w:cs="Arial" w:eastAsia="Arial" w:hAnsi="Arial"/>
          <w:sz w:val="9"/>
          <w:szCs w:val="9"/>
          <w:color w:val="auto"/>
        </w:rPr>
      </w:pPr>
    </w:p>
    <w:p>
      <w:pPr>
        <w:ind w:left="160" w:hanging="157"/>
        <w:spacing w:after="0" w:line="194"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Basaglar revenue includes Rezvoglar.</w:t>
      </w:r>
    </w:p>
    <w:p>
      <w:pPr>
        <w:spacing w:after="0" w:line="3" w:lineRule="exact"/>
        <w:rPr>
          <w:rFonts w:ascii="Arial" w:cs="Arial" w:eastAsia="Arial" w:hAnsi="Arial"/>
          <w:sz w:val="18"/>
          <w:szCs w:val="18"/>
          <w:color w:val="auto"/>
          <w:vertAlign w:val="superscript"/>
        </w:rPr>
      </w:pPr>
    </w:p>
    <w:p>
      <w:pPr>
        <w:ind w:left="140" w:hanging="137"/>
        <w:spacing w:after="0" w:line="214"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EUA or similar regulatory authorizations.</w:t>
      </w:r>
    </w:p>
    <w:p>
      <w:pPr>
        <w:spacing w:after="0" w:line="3" w:lineRule="exact"/>
        <w:rPr>
          <w:rFonts w:ascii="Arial" w:cs="Arial" w:eastAsia="Arial" w:hAnsi="Arial"/>
          <w:sz w:val="16"/>
          <w:szCs w:val="16"/>
          <w:color w:val="auto"/>
          <w:vertAlign w:val="superscript"/>
        </w:rPr>
      </w:pPr>
    </w:p>
    <w:p>
      <w:pPr>
        <w:ind w:left="140" w:hanging="137"/>
        <w:spacing w:after="0" w:line="202"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Zyprexa revenue includes sale of rights for the olanzapine portfolio.</w:t>
      </w:r>
    </w:p>
    <w:p>
      <w:pPr>
        <w:ind w:left="140" w:hanging="137"/>
        <w:spacing w:after="0"/>
        <w:tabs>
          <w:tab w:leader="none" w:pos="140" w:val="left"/>
        </w:tabs>
        <w:numPr>
          <w:ilvl w:val="0"/>
          <w:numId w:val="6"/>
        </w:numPr>
        <w:rPr>
          <w:rFonts w:ascii="Arial" w:cs="Arial" w:eastAsia="Arial" w:hAnsi="Arial"/>
          <w:sz w:val="8"/>
          <w:szCs w:val="8"/>
          <w:color w:val="auto"/>
        </w:rPr>
      </w:pPr>
      <w:r>
        <w:rPr>
          <w:rFonts w:ascii="Arial" w:cs="Arial" w:eastAsia="Arial" w:hAnsi="Arial"/>
          <w:sz w:val="13"/>
          <w:szCs w:val="13"/>
          <w:color w:val="auto"/>
        </w:rPr>
        <w:t>COVID-19 antibodies include sales for bamlanivimab administered alone, for bamlanivimab and etesevimab administered together, and for bebtelovimab and were made pursuant to</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EUAs or similar regulatory authorizations.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 summarizes revenue by geographical area: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rPr>
              <w:t>Revenue</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0"/>
        </w:trPr>
        <w:tc>
          <w:tcPr>
            <w:tcW w:w="4820" w:type="dxa"/>
            <w:vAlign w:val="bottom"/>
          </w:tcPr>
          <w:p>
            <w:pPr>
              <w:ind w:left="140"/>
              <w:spacing w:after="0"/>
              <w:rPr>
                <w:sz w:val="20"/>
                <w:szCs w:val="20"/>
                <w:color w:val="auto"/>
              </w:rPr>
            </w:pPr>
            <w:r>
              <w:rPr>
                <w:rFonts w:ascii="Arial" w:cs="Arial" w:eastAsia="Arial" w:hAnsi="Arial"/>
                <w:sz w:val="17"/>
                <w:szCs w:val="17"/>
                <w:color w:val="auto"/>
              </w:rPr>
              <w:t>U.S.</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38"/>
              <w:spacing w:after="0"/>
              <w:rPr>
                <w:sz w:val="20"/>
                <w:szCs w:val="20"/>
                <w:color w:val="auto"/>
              </w:rPr>
            </w:pPr>
            <w:r>
              <w:rPr>
                <w:rFonts w:ascii="Arial" w:cs="Arial" w:eastAsia="Arial" w:hAnsi="Arial"/>
                <w:sz w:val="17"/>
                <w:szCs w:val="17"/>
                <w:b w:val="1"/>
                <w:bCs w:val="1"/>
                <w:color w:val="auto"/>
              </w:rPr>
              <w:t>5,368.1</w:t>
            </w:r>
          </w:p>
        </w:tc>
        <w:tc>
          <w:tcPr>
            <w:tcW w:w="4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4,422.1</w:t>
            </w:r>
          </w:p>
        </w:tc>
        <w:tc>
          <w:tcPr>
            <w:tcW w:w="3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18"/>
              <w:spacing w:after="0"/>
              <w:rPr>
                <w:sz w:val="20"/>
                <w:szCs w:val="20"/>
                <w:color w:val="auto"/>
              </w:rPr>
            </w:pPr>
            <w:r>
              <w:rPr>
                <w:rFonts w:ascii="Arial" w:cs="Arial" w:eastAsia="Arial" w:hAnsi="Arial"/>
                <w:sz w:val="17"/>
                <w:szCs w:val="17"/>
                <w:b w:val="1"/>
                <w:bCs w:val="1"/>
                <w:color w:val="auto"/>
              </w:rPr>
              <w:t>15,335.6</w:t>
            </w:r>
          </w:p>
        </w:tc>
        <w:tc>
          <w:tcPr>
            <w:tcW w:w="4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13,531.5</w:t>
            </w:r>
          </w:p>
        </w:tc>
      </w:tr>
      <w:tr>
        <w:trPr>
          <w:trHeight w:val="220"/>
        </w:trPr>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Europe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2,568.6</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1,056.4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4,837.1</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3,224.8</w:t>
            </w:r>
          </w:p>
        </w:tc>
      </w:tr>
      <w:tr>
        <w:trPr>
          <w:trHeight w:val="220"/>
        </w:trPr>
        <w:tc>
          <w:tcPr>
            <w:tcW w:w="4820" w:type="dxa"/>
            <w:vAlign w:val="bottom"/>
          </w:tcPr>
          <w:p>
            <w:pPr>
              <w:ind w:left="140"/>
              <w:spacing w:after="0"/>
              <w:rPr>
                <w:sz w:val="20"/>
                <w:szCs w:val="20"/>
                <w:color w:val="auto"/>
              </w:rPr>
            </w:pPr>
            <w:r>
              <w:rPr>
                <w:rFonts w:ascii="Arial" w:cs="Arial" w:eastAsia="Arial" w:hAnsi="Arial"/>
                <w:sz w:val="17"/>
                <w:szCs w:val="17"/>
                <w:color w:val="auto"/>
              </w:rPr>
              <w:t>Japan</w:t>
            </w:r>
          </w:p>
        </w:tc>
        <w:tc>
          <w:tcPr>
            <w:tcW w:w="26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b w:val="1"/>
                <w:bCs w:val="1"/>
                <w:color w:val="auto"/>
              </w:rPr>
              <w:t>390.8</w:t>
            </w:r>
          </w:p>
        </w:tc>
        <w:tc>
          <w:tcPr>
            <w:tcW w:w="46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487.7</w:t>
            </w:r>
          </w:p>
        </w:tc>
        <w:tc>
          <w:tcPr>
            <w:tcW w:w="38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7"/>
                <w:szCs w:val="17"/>
                <w:b w:val="1"/>
                <w:bCs w:val="1"/>
                <w:color w:val="auto"/>
              </w:rPr>
              <w:t>1,233.6</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1,352.3</w:t>
            </w:r>
          </w:p>
        </w:tc>
      </w:tr>
      <w:tr>
        <w:trPr>
          <w:trHeight w:val="220"/>
        </w:trPr>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China</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390.8</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343.4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1,162.6</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1,102.0</w:t>
            </w:r>
          </w:p>
        </w:tc>
      </w:tr>
      <w:tr>
        <w:trPr>
          <w:trHeight w:val="220"/>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foreign countries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780.3</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632.0</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2,201.8</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2,029.1</w:t>
            </w:r>
          </w:p>
        </w:tc>
      </w:tr>
      <w:tr>
        <w:trPr>
          <w:trHeight w:val="21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9,498.6</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6,941.6</w:t>
            </w:r>
          </w:p>
        </w:tc>
        <w:tc>
          <w:tcPr>
            <w:tcW w:w="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24,770.7</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21,239.6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 w:lineRule="exact"/>
        <w:rPr>
          <w:sz w:val="20"/>
          <w:szCs w:val="20"/>
          <w:color w:val="auto"/>
        </w:rPr>
      </w:pPr>
    </w:p>
    <w:p>
      <w:pPr>
        <w:ind w:left="140" w:hanging="137"/>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 or other party.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Acquisitions</w:t>
      </w:r>
    </w:p>
    <w:p>
      <w:pPr>
        <w:spacing w:after="0" w:line="12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engage in various forms of business development activities to enhance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December 2022, we completed the acquisition of Akouos, Inc. (Akouos). This transaction, as further discussed below in Acquisition of a Business, was accounted for as a business combination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is included in our consolidated condensed financial statements from the date of acquisition.</w:t>
      </w:r>
    </w:p>
    <w:p>
      <w:pPr>
        <w:spacing w:after="0" w:line="7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We also acquired assets in development which are further discussed below in Asset Acquisitions. Upon each acquisition, the cost allocated to acquired IPR&amp;D was immediately expensed if the compound has no alternative future use. Milestone payment obligations incurred prior to regulatory approval of the compound are expensed as acquired IPR&amp;D when the event triggering an obligation to pay the milestone occurs. We recognized acquired IPR&amp;D charges of $2.98 billion and $3.18 billion for the three and nine months ended September 30, 2023, respectively, and $62.4 million and $668.4 million for the three and nine months ended September 30, 2022,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a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Akouos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December 2022, we acquired all shares of Akouos for a purchase price that included $12.50 per share in cash (or an aggregate of</w:t>
      </w:r>
    </w:p>
    <w:p>
      <w:pPr>
        <w:spacing w:after="0" w:line="23"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$327.2 million, net of cash acquired) plus one non-tradable contingent value right (CVR) per share. The CVR entitles the Akouos shareholders up to an additional $3.00 per share in cash (or an aggregate of approximately $122 million) payable, subject to certain terms and conditions, upon the achievement of certain specified milestones.</w:t>
      </w:r>
    </w:p>
    <w:p>
      <w:pPr>
        <w:spacing w:after="0" w:line="74"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Under the terms of the agreement, we acquired potential gene therapy treatments for hearing loss and other inner ear conditions. The lead gene therapies in clinical development that we acquired included GJB2 (which encodes connexin 26) for a common form of monogenic deafness and hearing loss; AK-OTOF for hearing loss due to mutations in the otoferlin gene; AK-CLRN1 for Usher Type 3A, an autosomal recessive disorder characterized by progressive loss of both hearing and vision; and AK-antiVEGF for vestibular schwannoma.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color w:val="auto"/>
        </w:rPr>
        <w:t>Assets Acquired and Liabilities Assumed</w:t>
      </w:r>
    </w:p>
    <w:p>
      <w:pPr>
        <w:spacing w:after="0" w:line="121" w:lineRule="exact"/>
        <w:rPr>
          <w:sz w:val="20"/>
          <w:szCs w:val="20"/>
          <w:color w:val="auto"/>
        </w:rPr>
      </w:pPr>
    </w:p>
    <w:p>
      <w:pPr>
        <w:jc w:val="both"/>
        <w:ind w:right="200"/>
        <w:spacing w:after="0" w:line="258" w:lineRule="auto"/>
        <w:rPr>
          <w:sz w:val="20"/>
          <w:szCs w:val="20"/>
          <w:color w:val="auto"/>
        </w:rPr>
      </w:pPr>
      <w:r>
        <w:rPr>
          <w:rFonts w:ascii="Arial" w:cs="Arial" w:eastAsia="Arial" w:hAnsi="Arial"/>
          <w:sz w:val="17"/>
          <w:szCs w:val="17"/>
          <w:color w:val="auto"/>
        </w:rPr>
        <w:t>Our access to Akouos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w:t>
      </w:r>
    </w:p>
    <w:p>
      <w:pPr>
        <w:spacing w:after="0" w:line="2"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The final determination may result in asset and liability fair values and tax bases that differ from the preliminary estimates and require changes to the preliminary amounts recognized.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amounts recognized for assets acquired and liabilities assumed as of the acquisition date: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1,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153.2</w:t>
            </w:r>
          </w:p>
        </w:tc>
      </w:tr>
      <w:tr>
        <w:trPr>
          <w:trHeight w:val="220"/>
        </w:trPr>
        <w:tc>
          <w:tcPr>
            <w:tcW w:w="9000" w:type="dxa"/>
            <w:vAlign w:val="bottom"/>
          </w:tcPr>
          <w:p>
            <w:pPr>
              <w:ind w:left="20"/>
              <w:spacing w:after="0" w:line="220" w:lineRule="exact"/>
              <w:rPr>
                <w:sz w:val="20"/>
                <w:szCs w:val="20"/>
                <w:color w:val="auto"/>
              </w:rPr>
            </w:pPr>
            <w:r>
              <w:rPr>
                <w:rFonts w:ascii="Arial" w:cs="Arial" w:eastAsia="Arial" w:hAnsi="Arial"/>
                <w:sz w:val="17"/>
                <w:szCs w:val="17"/>
                <w:color w:val="auto"/>
              </w:rPr>
              <w:t>Acquired IPR&amp;D</w:t>
            </w:r>
            <w:r>
              <w:rPr>
                <w:rFonts w:ascii="Arial" w:cs="Arial" w:eastAsia="Arial" w:hAnsi="Arial"/>
                <w:sz w:val="22"/>
                <w:szCs w:val="22"/>
                <w:color w:val="auto"/>
                <w:vertAlign w:val="superscript"/>
              </w:rPr>
              <w:t>(1)</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184.0</w:t>
            </w:r>
          </w:p>
        </w:tc>
      </w:tr>
      <w:tr>
        <w:trPr>
          <w:trHeight w:val="220"/>
        </w:trPr>
        <w:tc>
          <w:tcPr>
            <w:tcW w:w="90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r>
      <w:tr>
        <w:trPr>
          <w:trHeight w:val="22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 and liabilities, net</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date fair value of consideration transferred</w:t>
            </w: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w:t>
            </w:r>
          </w:p>
        </w:tc>
      </w:tr>
      <w:tr>
        <w:trPr>
          <w:trHeight w:val="220"/>
        </w:trPr>
        <w:tc>
          <w:tcPr>
            <w:tcW w:w="9000" w:type="dxa"/>
            <w:vAlign w:val="bottom"/>
          </w:tcPr>
          <w:p>
            <w:pPr>
              <w:ind w:left="20"/>
              <w:spacing w:after="0"/>
              <w:rPr>
                <w:sz w:val="20"/>
                <w:szCs w:val="20"/>
                <w:color w:val="auto"/>
              </w:rPr>
            </w:pPr>
            <w:r>
              <w:rPr>
                <w:rFonts w:ascii="Arial" w:cs="Arial" w:eastAsia="Arial" w:hAnsi="Arial"/>
                <w:sz w:val="17"/>
                <w:szCs w:val="17"/>
                <w:color w:val="auto"/>
              </w:rPr>
              <w:t>Less:</w:t>
            </w: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0"/>
        </w:trPr>
        <w:tc>
          <w:tcPr>
            <w:tcW w:w="9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acquired</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r>
      <w:tr>
        <w:trPr>
          <w:trHeight w:val="220"/>
        </w:trPr>
        <w:tc>
          <w:tcPr>
            <w:tcW w:w="9000" w:type="dxa"/>
            <w:vAlign w:val="bottom"/>
            <w:tcBorders>
              <w:bottom w:val="single" w:sz="8" w:color="CCEEFF"/>
            </w:tcBorders>
          </w:tcPr>
          <w:p>
            <w:pPr>
              <w:ind w:left="260"/>
              <w:spacing w:after="0" w:line="220" w:lineRule="exact"/>
              <w:rPr>
                <w:sz w:val="20"/>
                <w:szCs w:val="20"/>
                <w:color w:val="auto"/>
              </w:rPr>
            </w:pPr>
            <w:r>
              <w:rPr>
                <w:rFonts w:ascii="Arial" w:cs="Arial" w:eastAsia="Arial" w:hAnsi="Arial"/>
                <w:sz w:val="17"/>
                <w:szCs w:val="17"/>
                <w:color w:val="auto"/>
              </w:rPr>
              <w:t>Fair value of CVR liability</w:t>
            </w:r>
            <w:r>
              <w:rPr>
                <w:rFonts w:ascii="Arial" w:cs="Arial" w:eastAsia="Arial" w:hAnsi="Arial"/>
                <w:sz w:val="22"/>
                <w:szCs w:val="22"/>
                <w:color w:val="auto"/>
                <w:vertAlign w:val="superscript"/>
              </w:rPr>
              <w:t>(3)</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w:t>
            </w:r>
          </w:p>
        </w:tc>
      </w:tr>
      <w:tr>
        <w:trPr>
          <w:trHeight w:val="21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net of cash acquired</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327.2</w:t>
            </w:r>
          </w:p>
        </w:tc>
      </w:tr>
    </w:tbl>
    <w:p>
      <w:pPr>
        <w:spacing w:after="0" w:line="66" w:lineRule="exact"/>
        <w:rPr>
          <w:sz w:val="20"/>
          <w:szCs w:val="20"/>
          <w:color w:val="auto"/>
        </w:rPr>
      </w:pPr>
    </w:p>
    <w:p>
      <w:pPr>
        <w:ind w:left="140" w:hanging="137"/>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GJB2.</w:t>
      </w:r>
    </w:p>
    <w:p>
      <w:pPr>
        <w:ind w:left="140" w:hanging="137"/>
        <w:spacing w:after="0"/>
        <w:tabs>
          <w:tab w:leader="none" w:pos="140" w:val="left"/>
        </w:tabs>
        <w:numPr>
          <w:ilvl w:val="0"/>
          <w:numId w:val="8"/>
        </w:numPr>
        <w:rPr>
          <w:rFonts w:ascii="Arial" w:cs="Arial" w:eastAsia="Arial" w:hAnsi="Arial"/>
          <w:sz w:val="8"/>
          <w:szCs w:val="8"/>
          <w:color w:val="auto"/>
        </w:rPr>
      </w:pPr>
      <w:r>
        <w:rPr>
          <w:rFonts w:ascii="Arial" w:cs="Arial" w:eastAsia="Arial" w:hAnsi="Arial"/>
          <w:sz w:val="13"/>
          <w:szCs w:val="13"/>
          <w:color w:val="auto"/>
        </w:rPr>
        <w:t>The goodwill recognized from this acquisition is attributable primarily to future unidentified projects and products and the assembled workforce for Akouos and is not deductible for tax</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purposes.</w:t>
      </w:r>
    </w:p>
    <w:p>
      <w:pPr>
        <w:ind w:left="140" w:hanging="137"/>
        <w:spacing w:after="0" w:line="228"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See Note 6 for a discussion on the estimation of the CVR liability.</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attributable to Akouos for the three and nine months ended September 30, 2023 were immaterial.</w:t>
      </w:r>
    </w:p>
    <w:p>
      <w:pPr>
        <w:spacing w:after="0" w:line="115" w:lineRule="exact"/>
        <w:rPr>
          <w:sz w:val="20"/>
          <w:szCs w:val="20"/>
          <w:color w:val="auto"/>
        </w:rPr>
      </w:pPr>
    </w:p>
    <w:p>
      <w:pPr>
        <w:ind w:right="580"/>
        <w:spacing w:after="0" w:line="283" w:lineRule="auto"/>
        <w:rPr>
          <w:sz w:val="20"/>
          <w:szCs w:val="20"/>
          <w:color w:val="auto"/>
        </w:rPr>
      </w:pPr>
      <w:r>
        <w:rPr>
          <w:rFonts w:ascii="Arial" w:cs="Arial" w:eastAsia="Arial" w:hAnsi="Arial"/>
          <w:sz w:val="17"/>
          <w:szCs w:val="17"/>
          <w:color w:val="auto"/>
        </w:rPr>
        <w:t>Pro forma information has not been included as this acquisition did not have a material impact on our consolidated condensed statements of operations for the three and nine months ended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significant asset acquisitions during the nine months ended September 30, 2023 and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Counterparty</w:t>
            </w:r>
          </w:p>
        </w:tc>
        <w:tc>
          <w:tcPr>
            <w:tcW w:w="37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Compound(s), Therapy or Asset</w:t>
            </w:r>
          </w:p>
        </w:tc>
        <w:tc>
          <w:tcPr>
            <w:tcW w:w="16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8"/>
              </w:rPr>
              <w:t>Acquisition Month</w:t>
            </w:r>
          </w:p>
        </w:tc>
        <w:tc>
          <w:tcPr>
            <w:tcW w:w="1560" w:type="dxa"/>
            <w:vAlign w:val="bottom"/>
          </w:tcPr>
          <w:p>
            <w:pPr>
              <w:jc w:val="center"/>
              <w:ind w:left="40"/>
              <w:spacing w:after="0"/>
              <w:rPr>
                <w:sz w:val="20"/>
                <w:szCs w:val="20"/>
                <w:color w:val="auto"/>
              </w:rPr>
            </w:pPr>
            <w:r>
              <w:rPr>
                <w:rFonts w:ascii="Arial" w:cs="Arial" w:eastAsia="Arial" w:hAnsi="Arial"/>
                <w:sz w:val="14"/>
                <w:szCs w:val="14"/>
                <w:b w:val="1"/>
                <w:bCs w:val="1"/>
                <w:color w:val="auto"/>
                <w:w w:val="95"/>
              </w:rPr>
              <w:t>Phase of</w:t>
            </w:r>
          </w:p>
        </w:tc>
        <w:tc>
          <w:tcPr>
            <w:tcW w:w="340" w:type="dxa"/>
            <w:vAlign w:val="bottom"/>
          </w:tcPr>
          <w:p>
            <w:pPr>
              <w:spacing w:after="0"/>
              <w:rPr>
                <w:sz w:val="14"/>
                <w:szCs w:val="14"/>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Acquired IPR&amp;D</w:t>
            </w:r>
          </w:p>
        </w:tc>
        <w:tc>
          <w:tcPr>
            <w:tcW w:w="0" w:type="dxa"/>
            <w:vAlign w:val="bottom"/>
          </w:tcPr>
          <w:p>
            <w:pPr>
              <w:spacing w:after="0"/>
              <w:rPr>
                <w:sz w:val="1"/>
                <w:szCs w:val="1"/>
                <w:color w:val="auto"/>
              </w:rPr>
            </w:pPr>
          </w:p>
        </w:tc>
      </w:tr>
      <w:tr>
        <w:trPr>
          <w:trHeight w:val="181"/>
        </w:trPr>
        <w:tc>
          <w:tcPr>
            <w:tcW w:w="2680" w:type="dxa"/>
            <w:vAlign w:val="bottom"/>
            <w:tcBorders>
              <w:bottom w:val="single" w:sz="8" w:color="auto"/>
            </w:tcBorders>
            <w:vMerge w:val="continue"/>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jc w:val="center"/>
              <w:ind w:left="40"/>
              <w:spacing w:after="0" w:line="181" w:lineRule="exact"/>
              <w:rPr>
                <w:sz w:val="20"/>
                <w:szCs w:val="20"/>
                <w:color w:val="auto"/>
              </w:rPr>
            </w:pPr>
            <w:r>
              <w:rPr>
                <w:rFonts w:ascii="Arial" w:cs="Arial" w:eastAsia="Arial" w:hAnsi="Arial"/>
                <w:sz w:val="14"/>
                <w:szCs w:val="14"/>
                <w:b w:val="1"/>
                <w:bCs w:val="1"/>
                <w:color w:val="auto"/>
                <w:w w:val="94"/>
              </w:rPr>
              <w:t>Development</w:t>
            </w:r>
            <w:r>
              <w:rPr>
                <w:rFonts w:ascii="Arial" w:cs="Arial" w:eastAsia="Arial" w:hAnsi="Arial"/>
                <w:sz w:val="17"/>
                <w:szCs w:val="17"/>
                <w:b w:val="1"/>
                <w:bCs w:val="1"/>
                <w:color w:val="auto"/>
                <w:w w:val="94"/>
                <w:vertAlign w:val="superscript"/>
              </w:rPr>
              <w:t>(1)</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61"/>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DICE Therapeutics, Inc.</w:t>
            </w:r>
          </w:p>
        </w:tc>
        <w:tc>
          <w:tcPr>
            <w:tcW w:w="3720" w:type="dxa"/>
            <w:vAlign w:val="bottom"/>
            <w:shd w:val="clear" w:color="auto" w:fill="CCEEFF"/>
          </w:tcPr>
          <w:p>
            <w:pPr>
              <w:ind w:left="420"/>
              <w:spacing w:after="0" w:line="161" w:lineRule="exact"/>
              <w:rPr>
                <w:sz w:val="20"/>
                <w:szCs w:val="20"/>
                <w:color w:val="auto"/>
              </w:rPr>
            </w:pPr>
            <w:r>
              <w:rPr>
                <w:rFonts w:ascii="Arial" w:cs="Arial" w:eastAsia="Arial" w:hAnsi="Arial"/>
                <w:sz w:val="17"/>
                <w:szCs w:val="17"/>
                <w:color w:val="auto"/>
              </w:rPr>
              <w:t>DC-806, an oral IL-17 inhibitor for the</w:t>
            </w:r>
          </w:p>
        </w:tc>
        <w:tc>
          <w:tcPr>
            <w:tcW w:w="1640" w:type="dxa"/>
            <w:vAlign w:val="bottom"/>
            <w:vMerge w:val="restart"/>
            <w:shd w:val="clear" w:color="auto" w:fill="CCEEFF"/>
          </w:tcPr>
          <w:p>
            <w:pPr>
              <w:jc w:val="center"/>
              <w:ind w:right="77"/>
              <w:spacing w:after="0"/>
              <w:rPr>
                <w:sz w:val="20"/>
                <w:szCs w:val="20"/>
                <w:color w:val="auto"/>
              </w:rPr>
            </w:pPr>
            <w:r>
              <w:rPr>
                <w:rFonts w:ascii="Arial" w:cs="Arial" w:eastAsia="Arial" w:hAnsi="Arial"/>
                <w:sz w:val="17"/>
                <w:szCs w:val="17"/>
                <w:color w:val="auto"/>
              </w:rPr>
              <w:t>August 2023</w:t>
            </w:r>
          </w:p>
        </w:tc>
        <w:tc>
          <w:tcPr>
            <w:tcW w:w="1560" w:type="dxa"/>
            <w:vAlign w:val="bottom"/>
            <w:vMerge w:val="restart"/>
            <w:shd w:val="clear" w:color="auto" w:fill="CCEEFF"/>
          </w:tcPr>
          <w:p>
            <w:pPr>
              <w:jc w:val="center"/>
              <w:ind w:left="40"/>
              <w:spacing w:after="0"/>
              <w:rPr>
                <w:sz w:val="20"/>
                <w:szCs w:val="20"/>
                <w:color w:val="auto"/>
              </w:rPr>
            </w:pPr>
            <w:r>
              <w:rPr>
                <w:rFonts w:ascii="Arial" w:cs="Arial" w:eastAsia="Arial" w:hAnsi="Arial"/>
                <w:sz w:val="17"/>
                <w:szCs w:val="17"/>
                <w:color w:val="auto"/>
              </w:rPr>
              <w:t>Phase II</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1,915.5</w:t>
            </w:r>
          </w:p>
        </w:tc>
        <w:tc>
          <w:tcPr>
            <w:tcW w:w="0" w:type="dxa"/>
            <w:vAlign w:val="bottom"/>
          </w:tcPr>
          <w:p>
            <w:pPr>
              <w:spacing w:after="0"/>
              <w:rPr>
                <w:sz w:val="1"/>
                <w:szCs w:val="1"/>
                <w:color w:val="auto"/>
              </w:rPr>
            </w:pPr>
          </w:p>
        </w:tc>
      </w:tr>
      <w:tr>
        <w:trPr>
          <w:trHeight w:val="181"/>
        </w:trPr>
        <w:tc>
          <w:tcPr>
            <w:tcW w:w="2680" w:type="dxa"/>
            <w:vAlign w:val="bottom"/>
            <w:vMerge w:val="continue"/>
            <w:shd w:val="clear" w:color="auto" w:fill="CCEEFF"/>
          </w:tcPr>
          <w:p>
            <w:pPr>
              <w:spacing w:after="0"/>
              <w:rPr>
                <w:sz w:val="15"/>
                <w:szCs w:val="15"/>
                <w:color w:val="auto"/>
              </w:rPr>
            </w:pPr>
          </w:p>
        </w:tc>
        <w:tc>
          <w:tcPr>
            <w:tcW w:w="3720" w:type="dxa"/>
            <w:vAlign w:val="bottom"/>
            <w:shd w:val="clear" w:color="auto" w:fill="CCEEFF"/>
          </w:tcPr>
          <w:p>
            <w:pPr>
              <w:ind w:left="420"/>
              <w:spacing w:after="0" w:line="181" w:lineRule="exact"/>
              <w:rPr>
                <w:sz w:val="20"/>
                <w:szCs w:val="20"/>
                <w:color w:val="auto"/>
              </w:rPr>
            </w:pPr>
            <w:r>
              <w:rPr>
                <w:rFonts w:ascii="Arial" w:cs="Arial" w:eastAsia="Arial" w:hAnsi="Arial"/>
                <w:sz w:val="17"/>
                <w:szCs w:val="17"/>
                <w:color w:val="auto"/>
              </w:rPr>
              <w:t>treatment of chronic diseases in</w:t>
            </w:r>
          </w:p>
        </w:tc>
        <w:tc>
          <w:tcPr>
            <w:tcW w:w="1640" w:type="dxa"/>
            <w:vAlign w:val="bottom"/>
            <w:vMerge w:val="continue"/>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680" w:type="dxa"/>
            <w:vAlign w:val="bottom"/>
            <w:tcBorders>
              <w:bottom w:val="single" w:sz="8" w:color="auto"/>
            </w:tcBorders>
            <w:shd w:val="clear" w:color="auto" w:fill="CCEEFF"/>
          </w:tcPr>
          <w:p>
            <w:pPr>
              <w:spacing w:after="0"/>
              <w:rPr>
                <w:sz w:val="19"/>
                <w:szCs w:val="19"/>
                <w:color w:val="auto"/>
              </w:rPr>
            </w:pPr>
          </w:p>
        </w:tc>
        <w:tc>
          <w:tcPr>
            <w:tcW w:w="3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immunology</w:t>
            </w:r>
          </w:p>
        </w:tc>
        <w:tc>
          <w:tcPr>
            <w:tcW w:w="16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680" w:type="dxa"/>
            <w:vAlign w:val="bottom"/>
            <w:vMerge w:val="restart"/>
          </w:tcPr>
          <w:p>
            <w:pPr>
              <w:ind w:left="20"/>
              <w:spacing w:after="0"/>
              <w:rPr>
                <w:sz w:val="20"/>
                <w:szCs w:val="20"/>
                <w:color w:val="auto"/>
              </w:rPr>
            </w:pPr>
            <w:r>
              <w:rPr>
                <w:rFonts w:ascii="Arial" w:cs="Arial" w:eastAsia="Arial" w:hAnsi="Arial"/>
                <w:sz w:val="17"/>
                <w:szCs w:val="17"/>
                <w:color w:val="auto"/>
              </w:rPr>
              <w:t>Versanis Bio, Inc.</w:t>
            </w:r>
          </w:p>
        </w:tc>
        <w:tc>
          <w:tcPr>
            <w:tcW w:w="3720" w:type="dxa"/>
            <w:vAlign w:val="bottom"/>
          </w:tcPr>
          <w:p>
            <w:pPr>
              <w:ind w:left="420"/>
              <w:spacing w:after="0" w:line="161" w:lineRule="exact"/>
              <w:rPr>
                <w:sz w:val="20"/>
                <w:szCs w:val="20"/>
                <w:color w:val="auto"/>
              </w:rPr>
            </w:pPr>
            <w:r>
              <w:rPr>
                <w:rFonts w:ascii="Arial" w:cs="Arial" w:eastAsia="Arial" w:hAnsi="Arial"/>
                <w:sz w:val="17"/>
                <w:szCs w:val="17"/>
                <w:color w:val="auto"/>
              </w:rPr>
              <w:t>Bimagrumab, a monoclonal antibody for</w:t>
            </w:r>
          </w:p>
        </w:tc>
        <w:tc>
          <w:tcPr>
            <w:tcW w:w="1640" w:type="dxa"/>
            <w:vAlign w:val="bottom"/>
            <w:vMerge w:val="restart"/>
          </w:tcPr>
          <w:p>
            <w:pPr>
              <w:jc w:val="center"/>
              <w:ind w:right="77"/>
              <w:spacing w:after="0"/>
              <w:rPr>
                <w:sz w:val="20"/>
                <w:szCs w:val="20"/>
                <w:color w:val="auto"/>
              </w:rPr>
            </w:pPr>
            <w:r>
              <w:rPr>
                <w:rFonts w:ascii="Arial" w:cs="Arial" w:eastAsia="Arial" w:hAnsi="Arial"/>
                <w:sz w:val="17"/>
                <w:szCs w:val="17"/>
                <w:color w:val="auto"/>
              </w:rPr>
              <w:t>August 2023</w:t>
            </w:r>
          </w:p>
        </w:tc>
        <w:tc>
          <w:tcPr>
            <w:tcW w:w="1560" w:type="dxa"/>
            <w:vAlign w:val="bottom"/>
            <w:vMerge w:val="restart"/>
          </w:tcPr>
          <w:p>
            <w:pPr>
              <w:jc w:val="center"/>
              <w:ind w:left="40"/>
              <w:spacing w:after="0"/>
              <w:rPr>
                <w:sz w:val="20"/>
                <w:szCs w:val="20"/>
                <w:color w:val="auto"/>
              </w:rPr>
            </w:pPr>
            <w:r>
              <w:rPr>
                <w:rFonts w:ascii="Arial" w:cs="Arial" w:eastAsia="Arial" w:hAnsi="Arial"/>
                <w:sz w:val="17"/>
                <w:szCs w:val="17"/>
                <w:color w:val="auto"/>
              </w:rPr>
              <w:t>Phase II</w:t>
            </w:r>
          </w:p>
        </w:tc>
        <w:tc>
          <w:tcPr>
            <w:tcW w:w="3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604.1</w:t>
            </w:r>
          </w:p>
        </w:tc>
        <w:tc>
          <w:tcPr>
            <w:tcW w:w="0" w:type="dxa"/>
            <w:vAlign w:val="bottom"/>
          </w:tcPr>
          <w:p>
            <w:pPr>
              <w:spacing w:after="0"/>
              <w:rPr>
                <w:sz w:val="1"/>
                <w:szCs w:val="1"/>
                <w:color w:val="auto"/>
              </w:rPr>
            </w:pPr>
          </w:p>
        </w:tc>
      </w:tr>
      <w:tr>
        <w:trPr>
          <w:trHeight w:val="181"/>
        </w:trPr>
        <w:tc>
          <w:tcPr>
            <w:tcW w:w="2680" w:type="dxa"/>
            <w:vAlign w:val="bottom"/>
            <w:vMerge w:val="continue"/>
          </w:tcPr>
          <w:p>
            <w:pPr>
              <w:spacing w:after="0"/>
              <w:rPr>
                <w:sz w:val="15"/>
                <w:szCs w:val="15"/>
                <w:color w:val="auto"/>
              </w:rPr>
            </w:pPr>
          </w:p>
        </w:tc>
        <w:tc>
          <w:tcPr>
            <w:tcW w:w="3720" w:type="dxa"/>
            <w:vAlign w:val="bottom"/>
          </w:tcPr>
          <w:p>
            <w:pPr>
              <w:ind w:left="420"/>
              <w:spacing w:after="0" w:line="181" w:lineRule="exact"/>
              <w:rPr>
                <w:sz w:val="20"/>
                <w:szCs w:val="20"/>
                <w:color w:val="auto"/>
              </w:rPr>
            </w:pPr>
            <w:r>
              <w:rPr>
                <w:rFonts w:ascii="Arial" w:cs="Arial" w:eastAsia="Arial" w:hAnsi="Arial"/>
                <w:sz w:val="17"/>
                <w:szCs w:val="17"/>
                <w:color w:val="auto"/>
              </w:rPr>
              <w:t>the treatment of people living with obesity</w:t>
            </w:r>
          </w:p>
        </w:tc>
        <w:tc>
          <w:tcPr>
            <w:tcW w:w="16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6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and obesity-related complications</w:t>
            </w:r>
          </w:p>
        </w:tc>
        <w:tc>
          <w:tcPr>
            <w:tcW w:w="16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Emergence Therapeutics AG</w:t>
            </w:r>
          </w:p>
        </w:tc>
        <w:tc>
          <w:tcPr>
            <w:tcW w:w="3720" w:type="dxa"/>
            <w:vAlign w:val="bottom"/>
            <w:shd w:val="clear" w:color="auto" w:fill="CCEEFF"/>
          </w:tcPr>
          <w:p>
            <w:pPr>
              <w:ind w:left="420"/>
              <w:spacing w:after="0" w:line="161" w:lineRule="exact"/>
              <w:rPr>
                <w:sz w:val="20"/>
                <w:szCs w:val="20"/>
                <w:color w:val="auto"/>
              </w:rPr>
            </w:pPr>
            <w:r>
              <w:rPr>
                <w:rFonts w:ascii="Arial" w:cs="Arial" w:eastAsia="Arial" w:hAnsi="Arial"/>
                <w:sz w:val="17"/>
                <w:szCs w:val="17"/>
                <w:color w:val="auto"/>
              </w:rPr>
              <w:t>ETx-22, a Nectin-4 antibody-drug</w:t>
            </w:r>
          </w:p>
        </w:tc>
        <w:tc>
          <w:tcPr>
            <w:tcW w:w="1640" w:type="dxa"/>
            <w:vAlign w:val="bottom"/>
            <w:vMerge w:val="restart"/>
            <w:shd w:val="clear" w:color="auto" w:fill="CCEEFF"/>
          </w:tcPr>
          <w:p>
            <w:pPr>
              <w:jc w:val="center"/>
              <w:ind w:right="77"/>
              <w:spacing w:after="0"/>
              <w:rPr>
                <w:sz w:val="20"/>
                <w:szCs w:val="20"/>
                <w:color w:val="auto"/>
              </w:rPr>
            </w:pPr>
            <w:r>
              <w:rPr>
                <w:rFonts w:ascii="Arial" w:cs="Arial" w:eastAsia="Arial" w:hAnsi="Arial"/>
                <w:sz w:val="17"/>
                <w:szCs w:val="17"/>
                <w:color w:val="auto"/>
              </w:rPr>
              <w:t>August 2023</w:t>
            </w:r>
          </w:p>
        </w:tc>
        <w:tc>
          <w:tcPr>
            <w:tcW w:w="1560" w:type="dxa"/>
            <w:vAlign w:val="bottom"/>
            <w:vMerge w:val="restart"/>
            <w:shd w:val="clear" w:color="auto" w:fill="CCEEFF"/>
          </w:tcPr>
          <w:p>
            <w:pPr>
              <w:jc w:val="center"/>
              <w:ind w:left="40"/>
              <w:spacing w:after="0"/>
              <w:rPr>
                <w:sz w:val="20"/>
                <w:szCs w:val="20"/>
                <w:color w:val="auto"/>
              </w:rPr>
            </w:pPr>
            <w:r>
              <w:rPr>
                <w:rFonts w:ascii="Arial" w:cs="Arial" w:eastAsia="Arial" w:hAnsi="Arial"/>
                <w:sz w:val="17"/>
                <w:szCs w:val="17"/>
                <w:color w:val="auto"/>
              </w:rPr>
              <w:t>Pre-clinical</w:t>
            </w:r>
          </w:p>
        </w:tc>
        <w:tc>
          <w:tcPr>
            <w:tcW w:w="3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406.5</w:t>
            </w:r>
          </w:p>
        </w:tc>
        <w:tc>
          <w:tcPr>
            <w:tcW w:w="0" w:type="dxa"/>
            <w:vAlign w:val="bottom"/>
          </w:tcPr>
          <w:p>
            <w:pPr>
              <w:spacing w:after="0"/>
              <w:rPr>
                <w:sz w:val="1"/>
                <w:szCs w:val="1"/>
                <w:color w:val="auto"/>
              </w:rPr>
            </w:pPr>
          </w:p>
        </w:tc>
      </w:tr>
      <w:tr>
        <w:trPr>
          <w:trHeight w:val="181"/>
        </w:trPr>
        <w:tc>
          <w:tcPr>
            <w:tcW w:w="2680" w:type="dxa"/>
            <w:vAlign w:val="bottom"/>
            <w:vMerge w:val="continue"/>
            <w:shd w:val="clear" w:color="auto" w:fill="CCEEFF"/>
          </w:tcPr>
          <w:p>
            <w:pPr>
              <w:spacing w:after="0"/>
              <w:rPr>
                <w:sz w:val="15"/>
                <w:szCs w:val="15"/>
                <w:color w:val="auto"/>
              </w:rPr>
            </w:pPr>
          </w:p>
        </w:tc>
        <w:tc>
          <w:tcPr>
            <w:tcW w:w="3720" w:type="dxa"/>
            <w:vAlign w:val="bottom"/>
            <w:shd w:val="clear" w:color="auto" w:fill="CCEEFF"/>
          </w:tcPr>
          <w:p>
            <w:pPr>
              <w:ind w:left="420"/>
              <w:spacing w:after="0" w:line="181" w:lineRule="exact"/>
              <w:rPr>
                <w:sz w:val="20"/>
                <w:szCs w:val="20"/>
                <w:color w:val="auto"/>
              </w:rPr>
            </w:pPr>
            <w:r>
              <w:rPr>
                <w:rFonts w:ascii="Arial" w:cs="Arial" w:eastAsia="Arial" w:hAnsi="Arial"/>
                <w:sz w:val="17"/>
                <w:szCs w:val="17"/>
                <w:color w:val="auto"/>
              </w:rPr>
              <w:t>conjugate for the treatment of urothelial</w:t>
            </w:r>
          </w:p>
        </w:tc>
        <w:tc>
          <w:tcPr>
            <w:tcW w:w="1640" w:type="dxa"/>
            <w:vAlign w:val="bottom"/>
            <w:vMerge w:val="continue"/>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680" w:type="dxa"/>
            <w:vAlign w:val="bottom"/>
            <w:tcBorders>
              <w:bottom w:val="single" w:sz="8" w:color="auto"/>
            </w:tcBorders>
            <w:shd w:val="clear" w:color="auto" w:fill="CCEEFF"/>
          </w:tcPr>
          <w:p>
            <w:pPr>
              <w:spacing w:after="0"/>
              <w:rPr>
                <w:sz w:val="19"/>
                <w:szCs w:val="19"/>
                <w:color w:val="auto"/>
              </w:rPr>
            </w:pPr>
          </w:p>
        </w:tc>
        <w:tc>
          <w:tcPr>
            <w:tcW w:w="3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cancer</w:t>
            </w:r>
          </w:p>
        </w:tc>
        <w:tc>
          <w:tcPr>
            <w:tcW w:w="16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6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BioMarin Pharmaceutical Inc.</w:t>
            </w:r>
          </w:p>
        </w:tc>
        <w:tc>
          <w:tcPr>
            <w:tcW w:w="3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Priority Review Voucher</w:t>
            </w:r>
          </w:p>
        </w:tc>
        <w:tc>
          <w:tcPr>
            <w:tcW w:w="16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7"/>
                <w:szCs w:val="17"/>
                <w:color w:val="auto"/>
              </w:rPr>
              <w:t>February 2022</w:t>
            </w:r>
          </w:p>
        </w:tc>
        <w:tc>
          <w:tcPr>
            <w:tcW w:w="1560" w:type="dxa"/>
            <w:vAlign w:val="bottom"/>
            <w:tcBorders>
              <w:bottom w:val="single" w:sz="8" w:color="auto"/>
            </w:tcBorders>
            <w:shd w:val="clear" w:color="auto" w:fill="CCEEFF"/>
          </w:tcPr>
          <w:p>
            <w:pPr>
              <w:jc w:val="center"/>
              <w:ind w:left="40"/>
              <w:spacing w:after="0"/>
              <w:rPr>
                <w:sz w:val="20"/>
                <w:szCs w:val="20"/>
                <w:color w:val="auto"/>
              </w:rPr>
            </w:pPr>
            <w:r>
              <w:rPr>
                <w:rFonts w:ascii="Arial" w:cs="Arial" w:eastAsia="Arial" w:hAnsi="Arial"/>
                <w:sz w:val="17"/>
                <w:szCs w:val="17"/>
                <w:color w:val="auto"/>
              </w:rPr>
              <w:t>Not applicable</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40" w:hanging="137"/>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The phase of development presented is as of the date of the arrangement and represents the phase of development of the most advanced asset acquired, where applicable.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6" w:name="page17"/>
    <w:bookmarkEnd w:id="16"/>
    <w:p>
      <w:pPr>
        <w:ind w:right="40"/>
        <w:spacing w:after="0" w:line="259" w:lineRule="auto"/>
        <w:rPr>
          <w:sz w:val="20"/>
          <w:szCs w:val="20"/>
          <w:color w:val="auto"/>
        </w:rPr>
      </w:pPr>
      <w:r>
        <w:rPr>
          <w:rFonts w:ascii="Arial" w:cs="Arial" w:eastAsia="Arial" w:hAnsi="Arial"/>
          <w:sz w:val="17"/>
          <w:szCs w:val="17"/>
          <w:color w:val="auto"/>
        </w:rPr>
        <w:t>In connection with our acquisition of Petra Pharma Corporation (Petra), we were required to make milestone payments to Petra shareholders contingent upon the occurrence of certain future events linked to the success of the mutant-selective PI3Kα inhibitor. In the second quarter of 2022, we entered into agreements with substantially all Petra shareholders to acquire their rights to receive any future milestone payments in exchange for a one-time payment. As a result of these agreements, we recognized a charge of $333.8 million as acquired IPR&amp;D during the nine months ended September 30, 2022. Any remaining contingent milestones payments linked to the success of the mutant-selective PI3Kα inhibitor are not expected to be material.</w:t>
      </w:r>
    </w:p>
    <w:p>
      <w:pPr>
        <w:spacing w:after="0" w:line="78" w:lineRule="exact"/>
        <w:rPr>
          <w:sz w:val="20"/>
          <w:szCs w:val="20"/>
          <w:color w:val="auto"/>
        </w:rPr>
      </w:pPr>
    </w:p>
    <w:p>
      <w:pPr>
        <w:ind w:right="1120"/>
        <w:spacing w:after="0" w:line="380" w:lineRule="auto"/>
        <w:rPr>
          <w:sz w:val="20"/>
          <w:szCs w:val="20"/>
          <w:color w:val="auto"/>
        </w:rPr>
      </w:pPr>
      <w:r>
        <w:rPr>
          <w:rFonts w:ascii="Arial" w:cs="Arial" w:eastAsia="Arial" w:hAnsi="Arial"/>
          <w:sz w:val="17"/>
          <w:szCs w:val="17"/>
          <w:color w:val="auto"/>
        </w:rPr>
        <w:t xml:space="preserve">We recognized no other significant acquired IPR&amp;D charges during the three and nine months ended September 30, 2023 and 2022. </w:t>
      </w:r>
      <w:r>
        <w:rPr>
          <w:rFonts w:ascii="Arial" w:cs="Arial" w:eastAsia="Arial" w:hAnsi="Arial"/>
          <w:sz w:val="17"/>
          <w:szCs w:val="17"/>
          <w:b w:val="1"/>
          <w:bCs w:val="1"/>
          <w:color w:val="auto"/>
        </w:rPr>
        <w:t>Subsequent Events</w:t>
      </w:r>
    </w:p>
    <w:p>
      <w:pPr>
        <w:spacing w:after="0" w:line="1" w:lineRule="exact"/>
        <w:rPr>
          <w:sz w:val="20"/>
          <w:szCs w:val="20"/>
          <w:color w:val="auto"/>
        </w:rPr>
      </w:pPr>
    </w:p>
    <w:p>
      <w:pPr>
        <w:jc w:val="both"/>
        <w:ind w:right="160"/>
        <w:spacing w:after="0" w:line="263" w:lineRule="auto"/>
        <w:rPr>
          <w:sz w:val="20"/>
          <w:szCs w:val="20"/>
          <w:color w:val="auto"/>
        </w:rPr>
      </w:pPr>
      <w:r>
        <w:rPr>
          <w:rFonts w:ascii="Arial" w:cs="Arial" w:eastAsia="Arial" w:hAnsi="Arial"/>
          <w:sz w:val="17"/>
          <w:szCs w:val="17"/>
          <w:color w:val="auto"/>
        </w:rPr>
        <w:t>In October 2023, we announced an agreement to acquire POINT Biopharma Global Inc. (POINT) for a purchase price of $12.50 per share in cash (an aggregate of approximately $1.4 billion) payable at closing. The proposed acquisition is subject to customary closing conditions, including the tender of a majority of the outstanding shares of POINT's common stock, the receipt of required antitrust clearance, and license transfer approval from the U.S. Nuclear Regulatory Commission.</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Collaborations and Other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Other Similar Arrangements</w:t>
      </w:r>
    </w:p>
    <w:p>
      <w:pPr>
        <w:spacing w:after="0" w:line="12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w:t>
      </w:r>
    </w:p>
    <w:p>
      <w:pPr>
        <w:spacing w:after="0" w:line="73"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Boehringer Ingelheim Diabetes Collaboration</w:t>
      </w:r>
    </w:p>
    <w:p>
      <w:pPr>
        <w:spacing w:after="0" w:line="12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 well as our basal insulins, Basaglar and Rezvoglar. Glyxambi, Synjardy, and Trijardy XR are included in the Jardiance product family. Jentadueto is included in the Trajenta product family. Rezvoglar is included in the Basaglar product family.</w:t>
      </w:r>
    </w:p>
    <w:p>
      <w:pPr>
        <w:spacing w:after="0" w:line="9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The milestones pertaining to Jardiance and Trajenta are being amortized through their respective term under the collaboration, which, depending on country or region, is determined based on the latest to occur of (a) a defined number of years following launch date, (b) the expiration of the compound patent, or (c) the expiration of marketing authorization exclusivity. The milestones pertaining to Basaglar are being amortized through 2029. The table below summarizes the net milestones capitalized with respect to the Jardiance and Trajenta families of products and the net milestones deferred with respect to the Basaglar product family as of September 30, 2023 and December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4"/>
                <w:szCs w:val="14"/>
                <w:b w:val="1"/>
                <w:bCs w:val="1"/>
                <w:color w:val="auto"/>
              </w:rPr>
              <w:t>Net Milestones Capitalized (Deferred)</w:t>
            </w:r>
            <w:r>
              <w:rPr>
                <w:rFonts w:ascii="Arial" w:cs="Arial" w:eastAsia="Arial" w:hAnsi="Arial"/>
                <w:sz w:val="17"/>
                <w:szCs w:val="17"/>
                <w:b w:val="1"/>
                <w:bCs w:val="1"/>
                <w:color w:val="auto"/>
                <w:vertAlign w:val="superscript"/>
              </w:rPr>
              <w:t>(1)</w:t>
            </w:r>
          </w:p>
        </w:tc>
      </w:tr>
      <w:tr>
        <w:trPr>
          <w:trHeight w:val="186"/>
        </w:trPr>
        <w:tc>
          <w:tcPr>
            <w:tcW w:w="7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December 31, 2022</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Jardiance</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101.3</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r>
      <w:tr>
        <w:trPr>
          <w:trHeight w:val="220"/>
        </w:trPr>
        <w:tc>
          <w:tcPr>
            <w:tcW w:w="7160" w:type="dxa"/>
            <w:vAlign w:val="bottom"/>
          </w:tcPr>
          <w:p>
            <w:pPr>
              <w:ind w:left="20"/>
              <w:spacing w:after="0"/>
              <w:rPr>
                <w:sz w:val="20"/>
                <w:szCs w:val="20"/>
                <w:color w:val="auto"/>
              </w:rPr>
            </w:pPr>
            <w:r>
              <w:rPr>
                <w:rFonts w:ascii="Arial" w:cs="Arial" w:eastAsia="Arial" w:hAnsi="Arial"/>
                <w:sz w:val="17"/>
                <w:szCs w:val="17"/>
                <w:color w:val="auto"/>
              </w:rPr>
              <w:t>Trajenta</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b w:val="1"/>
                <w:bCs w:val="1"/>
                <w:color w:val="auto"/>
              </w:rPr>
              <w:t>45.0</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63.5</w:t>
            </w:r>
          </w:p>
        </w:tc>
      </w:tr>
      <w:tr>
        <w:trPr>
          <w:trHeight w:val="22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Basaglar</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(116.6)</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r>
    </w:tbl>
    <w:p>
      <w:pPr>
        <w:spacing w:after="0" w:line="76" w:lineRule="exact"/>
        <w:rPr>
          <w:sz w:val="20"/>
          <w:szCs w:val="20"/>
          <w:color w:val="auto"/>
        </w:rPr>
      </w:pPr>
    </w:p>
    <w:p>
      <w:pPr>
        <w:ind w:left="140" w:hanging="137"/>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This represents the amounts that have been capitalized (deferred) from the start of this collaboration through the end of the reporting period, net of amount amortized.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7" w:name="page18"/>
    <w:bookmarkEnd w:id="17"/>
    <w:p>
      <w:pPr>
        <w:ind w:right="20"/>
        <w:spacing w:after="0" w:line="257" w:lineRule="auto"/>
        <w:rPr>
          <w:sz w:val="20"/>
          <w:szCs w:val="20"/>
          <w:color w:val="auto"/>
        </w:rPr>
      </w:pPr>
      <w:r>
        <w:rPr>
          <w:rFonts w:ascii="Arial" w:cs="Arial" w:eastAsia="Arial" w:hAnsi="Arial"/>
          <w:sz w:val="17"/>
          <w:szCs w:val="17"/>
          <w:color w:val="auto"/>
        </w:rPr>
        <w:t>For the Jardiance product family, we and Boehringer Ingelheim generally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the Basaglar product family in the U.S. We record our sales of the Basaglar product family to third parties as net product revenue with the royalty payments made to Boehringer Ingelheim recorded as cost of sales.</w:t>
      </w:r>
    </w:p>
    <w:p>
      <w:pPr>
        <w:spacing w:after="0" w:line="80"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The following table summarizes our collaboration and other revenue recognized with respect to the Jardiance and Trajenta families of products and net product revenue recognized with respect to the Basaglar product family: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Jardiance</w:t>
            </w:r>
          </w:p>
        </w:tc>
        <w:tc>
          <w:tcPr>
            <w:tcW w:w="960" w:type="dxa"/>
            <w:vAlign w:val="bottom"/>
            <w:shd w:val="clear" w:color="auto" w:fill="CCEEFF"/>
          </w:tcPr>
          <w:p>
            <w:pPr>
              <w:jc w:val="right"/>
              <w:ind w:right="76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700.8</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573.3</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1,946.6</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1,453.7</w:t>
            </w: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Basaglar</w:t>
            </w:r>
          </w:p>
        </w:tc>
        <w:tc>
          <w:tcPr>
            <w:tcW w:w="96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179.6</w:t>
            </w:r>
          </w:p>
        </w:tc>
        <w:tc>
          <w:tcPr>
            <w:tcW w:w="460" w:type="dxa"/>
            <w:vAlign w:val="bottom"/>
          </w:tcPr>
          <w:p>
            <w:pPr>
              <w:spacing w:after="0"/>
              <w:rPr>
                <w:sz w:val="19"/>
                <w:szCs w:val="19"/>
                <w:color w:val="auto"/>
              </w:rPr>
            </w:pP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193.0</w:t>
            </w:r>
          </w:p>
        </w:tc>
        <w:tc>
          <w:tcPr>
            <w:tcW w:w="38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Arial" w:cs="Arial" w:eastAsia="Arial" w:hAnsi="Arial"/>
                <w:sz w:val="17"/>
                <w:szCs w:val="17"/>
                <w:b w:val="1"/>
                <w:bCs w:val="1"/>
                <w:color w:val="auto"/>
              </w:rPr>
              <w:t>543.1</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558.7</w:t>
            </w: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Trajenta</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95.2</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103.8</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284.7</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Olumiant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7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connection with the regulatory approvals of Olumiant in the U.S., Europe, and Japan, as well as achievement of a sales-based milestone, milestone payments of $330.0 million were capitalized as intangible assets as of September 30, 2023 and December 31, 2022 and are being amortized to cost of sales through the term of the collaboration. This represents the cumulative amounts that have been capitalized from the start of this collaboration through the end of each reporting period.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Incyte is eligible to receive up to $100.0 million of additional payments from us in potential sales-based milestones.</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We record our sales of Olumiant, including sales of baricitinib that were made pursuant to EUA or similar regulatory authorizations, to third parties as net product revenue with the royalty payments made to Incyte recorded as cost of sales. The following table summarizes our net product revenue recognized with respect to Olumiant: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Olumiant</w:t>
            </w:r>
          </w:p>
        </w:tc>
        <w:tc>
          <w:tcPr>
            <w:tcW w:w="960" w:type="dxa"/>
            <w:vAlign w:val="bottom"/>
            <w:shd w:val="clear" w:color="auto" w:fill="CCEEFF"/>
          </w:tcPr>
          <w:p>
            <w:pPr>
              <w:jc w:val="right"/>
              <w:ind w:right="76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231.4</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182.9</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7"/>
                <w:szCs w:val="17"/>
                <w:b w:val="1"/>
                <w:bCs w:val="1"/>
                <w:color w:val="auto"/>
              </w:rPr>
              <w:t>679.2</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624.7</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COVID-19 Antibodies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have a worldwide license and collaboration agreement with AbCellera Biologics Inc. (AbCellera) to co-develop therapeutic antibodies for the potential prevention and treatment of COVID-19, including bamlanivimab and bebtelovimab, for which we hold development and commercialization rights. AbCellera has the right to receive tiered royalty payments on worldwide net sales of bamlanivimab and bebtelovimab with percentages ranging in the mid-teens to mid-twenties. Royalty payments made to AbCellera were recorded as cost of sales.</w:t>
      </w:r>
    </w:p>
    <w:p>
      <w:pPr>
        <w:spacing w:after="0" w:line="7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Pursuant to EUAs or similar regulatory authorizations, we recognized net product revenue associated with our sales of our COVID-19 antibodies of $386.6 million and $1.99 billion, primarily related to bebtelovimab, for the three and nine months ended September 30, 2022, respectively. We did not have sales of our COVID-19 antibodies during the three and nine months ended September 30, 2023.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i w:val="1"/>
          <w:iCs w:val="1"/>
          <w:u w:val="single" w:color="auto"/>
          <w:color w:val="auto"/>
        </w:rPr>
        <w:t>Lebrikizumab</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have a worldwide license agreement with F. Hoffmann-La Roche Ltd and Genentech, Inc. (collectively, Roche), which provides us the worldwide development and commercialization rights to lebrikizumab. Roche has the right to receive tiered royalty payments on future worldwide net sales ranging in percentages from high single digits to high teens if the product is successfully commercialized. As of September 30, 2023, Roche is eligible to receive up to $160.0 million of payments from us contingent upon the achievement of success-based regulatory milestones and up to $1.03 billion in a series of sales-based milestones, contingent upon the commercial success of lebrikizumab.</w:t>
      </w:r>
    </w:p>
    <w:p>
      <w:pPr>
        <w:spacing w:after="0" w:line="74"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September 30, 2023, we are eligible to receive payments of $65.0 million from Almirall contingent upon the achievement of success-based regulatory milestones and up to $1.25 billion in a series of sales-based milestones, contingent upon the commercial success of lebrikizumab. During the three and nine months ended September 30, 2023 and 2022, collaboration and other revenue recognized under this license agreement was not material.</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Divestitures</w:t>
      </w:r>
    </w:p>
    <w:p>
      <w:pPr>
        <w:spacing w:after="0" w:line="125" w:lineRule="exact"/>
        <w:rPr>
          <w:sz w:val="20"/>
          <w:szCs w:val="20"/>
          <w:color w:val="auto"/>
        </w:rPr>
      </w:pPr>
    </w:p>
    <w:p>
      <w:pPr>
        <w:ind w:right="460"/>
        <w:spacing w:after="0" w:line="283" w:lineRule="auto"/>
        <w:rPr>
          <w:sz w:val="20"/>
          <w:szCs w:val="20"/>
          <w:color w:val="auto"/>
        </w:rPr>
      </w:pPr>
      <w:r>
        <w:rPr>
          <w:rFonts w:ascii="Arial" w:cs="Arial" w:eastAsia="Arial" w:hAnsi="Arial"/>
          <w:sz w:val="17"/>
          <w:szCs w:val="17"/>
          <w:color w:val="auto"/>
        </w:rPr>
        <w:t>We periodically enter into arrangements to sell the rights of a product. We recognize the net gain or loss associated with the sale of rights of a product as collaboration and other revenue when control of the asset transfers to the other party.</w:t>
      </w:r>
    </w:p>
    <w:p>
      <w:pPr>
        <w:spacing w:after="0" w:line="56"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We may be eligible to receive milestone payments contingent upon the occurrence of certain future events linked to the success of the divested product. Milestones are included in the transaction price only to the extent a significant reversal in the amount of revenue recognized is not probable of occurring when the uncertainties associated with the milestones are subsequently resolved.</w:t>
      </w:r>
    </w:p>
    <w:p>
      <w:pPr>
        <w:spacing w:after="0" w:line="6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may enter into a supply arrangement as part of a divestiture of product rights. Our sale of product inventory under the supply agreement is recognized as net product revenue at the earlier of when control of the asset transfers to the other party or when the product has no alternative use to us and we have right to payment.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Olanzapine Portfolio (including Zyprexa)</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In July 2023, we sold the rights for the olanzapine portfolio, including Zyprexa, to Cheplapharm Arzneimittel GmbH (Cheplapharm), a European company. Under the terms of the agreement, we received $1.05 billion in cash and will receive an additional $305.0 million in cash upon the one year anniversary of closing. We included both in the transaction price as of September 30, 2023. We are eligible to receive milestone payments of up to $50.0 million, that have not been included in the transaction price as of September 30, 2023.</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entered into a supply agreement with Cheplapharm that obligates Cheplapharm to purchase Zyprexa product we are manufacturing at an amount which represents a standalone selling price. As the product we are manufacturing under this supply agreement has no alternative use to us and we have right to payment, we will recognize net product revenue over time as we manufacture the product.</w:t>
      </w:r>
    </w:p>
    <w:p>
      <w:pPr>
        <w:spacing w:after="0" w:line="69"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During the three and nine months ended September 30, 2023, we recognized $1.42 billion in revenue primarily related to the net gain on the sale of rights for the olanzapine portfolio.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Baqsimi</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 June 2023, we sold the rights for Baqsimi to Amphastar Pharmaceuticals, Inc. (Amphastar). Under the terms of the agreement, we received $500.0 million in cash and will receive an additional $125.0 million in cash upon the one year anniversary of closing. We included both in the transaction price as of September 30, 2023. We are eligible to receive payments of up to $450.0 million in a series of sales-based milestones, that have not been included in the transaction price as of September 30, 2023.</w:t>
      </w:r>
    </w:p>
    <w:p>
      <w:pPr>
        <w:spacing w:after="0" w:line="7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entered into a supply agreement with Amphastar that obligates Amphastar to purchase Baqsimi product we are manufacturing at an amount which represents a standalone selling price. As the product we are manufacturing under this supply agreement has no alternative use to us and we have right to payment, we will recognize net product revenue over time as we manufacture the product.</w:t>
      </w:r>
    </w:p>
    <w:p>
      <w:pPr>
        <w:spacing w:after="0" w:line="69"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During the nine months ended September 30, 2023, we recognized $579.0 million in revenue primarily related to the net gain on the sale of rights for Baqsimi.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Note 5: Asset Impairment, Restructuring, and Other Special Charges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asset impairment, restructuring, and other special charges recognized during the three and nine months ended September 30, 2023.</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recognized $206.5 million of asset impairment, restructuring, and other special charges during the three and nine months ended September 30, 2022, primarily related to an intangible asset impairment for GBA1 Gene Therapy, acquired in the acquisition of Prevail Therapeutics Inc., as a result of changes in key assumptions used in the valuation due to delays in estimated launch timing.</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Equity and Debt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Our equity investments are accounted for using three different methods depending on the type of equity investment:</w:t>
      </w:r>
    </w:p>
    <w:p>
      <w:pPr>
        <w:spacing w:after="0" w:line="115" w:lineRule="exact"/>
        <w:rPr>
          <w:sz w:val="20"/>
          <w:szCs w:val="20"/>
          <w:color w:val="auto"/>
        </w:rPr>
      </w:pPr>
    </w:p>
    <w:p>
      <w:pPr>
        <w:ind w:left="620" w:right="40" w:hanging="307"/>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Investments in companies over which we have significant influence but not a controlling interest are accounted for using the equity method, with our share of earnings or losses reported in other-net, (income) expense.</w:t>
      </w:r>
    </w:p>
    <w:p>
      <w:pPr>
        <w:spacing w:after="0" w:line="55" w:lineRule="exact"/>
        <w:rPr>
          <w:rFonts w:ascii="Arial" w:cs="Arial" w:eastAsia="Arial" w:hAnsi="Arial"/>
          <w:sz w:val="17"/>
          <w:szCs w:val="17"/>
          <w:color w:val="auto"/>
        </w:rPr>
      </w:pPr>
    </w:p>
    <w:p>
      <w:pPr>
        <w:jc w:val="both"/>
        <w:ind w:left="620" w:right="80" w:hanging="307"/>
        <w:spacing w:after="0" w:line="268"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8" w:lineRule="exact"/>
        <w:rPr>
          <w:rFonts w:ascii="Arial" w:cs="Arial" w:eastAsia="Arial" w:hAnsi="Arial"/>
          <w:sz w:val="17"/>
          <w:szCs w:val="17"/>
          <w:color w:val="auto"/>
        </w:rPr>
      </w:pPr>
    </w:p>
    <w:p>
      <w:pPr>
        <w:ind w:left="620" w:right="720" w:hanging="307"/>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public equity investments are measured and carried at fair value. Any change in fair value is recognized in other-net, (income) expense.</w:t>
      </w:r>
    </w:p>
    <w:p>
      <w:pPr>
        <w:spacing w:after="0" w:line="5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three and nine months ended September 30, 2023 and 2022 were not material.</w:t>
      </w:r>
    </w:p>
    <w:p>
      <w:pPr>
        <w:spacing w:after="0" w:line="7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net losses recognized in our consolidated condensed statements of operations for equity securities were $62.9 million and $ 141.5 million for the three and nine months ended September 30, 2023, respectively, and $123.3 million and $667.6 million for the three and nine months ended September 30, 2022, respectively. The net gains (losses) recognized for the three and nine months ended September 30, 2023 and 2022 on equity securities sold during the respective periods were not material.</w:t>
      </w:r>
    </w:p>
    <w:p>
      <w:pPr>
        <w:spacing w:after="0" w:line="73"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As of September 30, 2023, we had approximately $915 million of unfunded commitments to invest in venture capital funds, which we anticipate will be paid over a period of up to 10 years.</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record our available-for-sale debt securities at fair value, with changes in fair value reported as a component of accumulated other comprehensive income (loss). 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nine months ended September 30, 2023 and 2022.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The table below summarizes the contractual maturities of our investments in debt securities measured at fair value as of September 30,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Maturities by Period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1060" w:type="dxa"/>
            <w:vAlign w:val="bottom"/>
          </w:tcPr>
          <w:p>
            <w:pPr>
              <w:jc w:val="center"/>
              <w:ind w:right="145"/>
              <w:spacing w:after="0" w:line="137" w:lineRule="exact"/>
              <w:rPr>
                <w:sz w:val="20"/>
                <w:szCs w:val="20"/>
                <w:color w:val="auto"/>
              </w:rPr>
            </w:pPr>
            <w:r>
              <w:rPr>
                <w:rFonts w:ascii="Arial" w:cs="Arial" w:eastAsia="Arial" w:hAnsi="Arial"/>
                <w:sz w:val="14"/>
                <w:szCs w:val="14"/>
                <w:b w:val="1"/>
                <w:bCs w:val="1"/>
                <w:color w:val="auto"/>
                <w:w w:val="98"/>
              </w:rPr>
              <w:t>Less Than</w:t>
            </w:r>
          </w:p>
        </w:tc>
        <w:tc>
          <w:tcPr>
            <w:tcW w:w="380" w:type="dxa"/>
            <w:vAlign w:val="bottom"/>
          </w:tcPr>
          <w:p>
            <w:pPr>
              <w:spacing w:after="0"/>
              <w:rPr>
                <w:sz w:val="11"/>
                <w:szCs w:val="11"/>
                <w:color w:val="auto"/>
              </w:rPr>
            </w:pPr>
          </w:p>
        </w:tc>
        <w:tc>
          <w:tcPr>
            <w:tcW w:w="1040" w:type="dxa"/>
            <w:vAlign w:val="bottom"/>
          </w:tcPr>
          <w:p>
            <w:pPr>
              <w:jc w:val="center"/>
              <w:ind w:right="285"/>
              <w:spacing w:after="0" w:line="137" w:lineRule="exact"/>
              <w:rPr>
                <w:sz w:val="20"/>
                <w:szCs w:val="20"/>
                <w:color w:val="auto"/>
              </w:rPr>
            </w:pPr>
            <w:r>
              <w:rPr>
                <w:rFonts w:ascii="Arial" w:cs="Arial" w:eastAsia="Arial" w:hAnsi="Arial"/>
                <w:sz w:val="14"/>
                <w:szCs w:val="14"/>
                <w:b w:val="1"/>
                <w:bCs w:val="1"/>
                <w:color w:val="auto"/>
                <w:w w:val="98"/>
              </w:rPr>
              <w:t>1-5</w:t>
            </w:r>
          </w:p>
        </w:tc>
        <w:tc>
          <w:tcPr>
            <w:tcW w:w="300" w:type="dxa"/>
            <w:vAlign w:val="bottom"/>
          </w:tcPr>
          <w:p>
            <w:pPr>
              <w:spacing w:after="0"/>
              <w:rPr>
                <w:sz w:val="11"/>
                <w:szCs w:val="11"/>
                <w:color w:val="auto"/>
              </w:rPr>
            </w:pPr>
          </w:p>
        </w:tc>
        <w:tc>
          <w:tcPr>
            <w:tcW w:w="1000" w:type="dxa"/>
            <w:vAlign w:val="bottom"/>
          </w:tcPr>
          <w:p>
            <w:pPr>
              <w:jc w:val="right"/>
              <w:ind w:right="425"/>
              <w:spacing w:after="0" w:line="137"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1"/>
                <w:szCs w:val="11"/>
                <w:color w:val="auto"/>
              </w:rPr>
            </w:pPr>
          </w:p>
        </w:tc>
        <w:tc>
          <w:tcPr>
            <w:tcW w:w="1080" w:type="dxa"/>
            <w:vAlign w:val="bottom"/>
          </w:tcPr>
          <w:p>
            <w:pPr>
              <w:jc w:val="center"/>
              <w:ind w:right="125"/>
              <w:spacing w:after="0" w:line="137"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9"/>
        </w:trPr>
        <w:tc>
          <w:tcPr>
            <w:tcW w:w="4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5"/>
              </w:rPr>
              <w:t>1 Year</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85"/>
              <w:spacing w:after="0"/>
              <w:rPr>
                <w:sz w:val="20"/>
                <w:szCs w:val="20"/>
                <w:color w:val="auto"/>
              </w:rPr>
            </w:pPr>
            <w:r>
              <w:rPr>
                <w:rFonts w:ascii="Arial" w:cs="Arial" w:eastAsia="Arial" w:hAnsi="Arial"/>
                <w:sz w:val="14"/>
                <w:szCs w:val="14"/>
                <w:b w:val="1"/>
                <w:bCs w:val="1"/>
                <w:color w:val="auto"/>
                <w:w w:val="94"/>
              </w:rPr>
              <w:t>Years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4"/>
              </w:rPr>
              <w:t>Years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7"/>
              </w:rPr>
              <w:t>10 Years</w:t>
            </w: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debt securities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628.3</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88.2</w:t>
            </w:r>
          </w:p>
        </w:tc>
        <w:tc>
          <w:tcPr>
            <w:tcW w:w="38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201.6</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109.4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229.1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760"/>
        <w:spacing w:after="0" w:line="283" w:lineRule="auto"/>
        <w:rPr>
          <w:sz w:val="20"/>
          <w:szCs w:val="20"/>
          <w:color w:val="auto"/>
        </w:rPr>
      </w:pPr>
      <w:r>
        <w:rPr>
          <w:rFonts w:ascii="Arial" w:cs="Arial" w:eastAsia="Arial" w:hAnsi="Arial"/>
          <w:sz w:val="17"/>
          <w:szCs w:val="17"/>
          <w:color w:val="auto"/>
        </w:rPr>
        <w:t>A summary of the amount of unrealized gains and losses in accumulated other comprehensive loss and the fair value of available-for-sale securities in an unrealized gain or loss position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December 31, 2022</w:t>
            </w:r>
          </w:p>
        </w:tc>
      </w:tr>
      <w:tr>
        <w:trPr>
          <w:trHeight w:val="21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gross gains</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20"/>
        </w:trPr>
        <w:tc>
          <w:tcPr>
            <w:tcW w:w="5780" w:type="dxa"/>
            <w:vAlign w:val="bottom"/>
          </w:tcPr>
          <w:p>
            <w:pPr>
              <w:ind w:left="20"/>
              <w:spacing w:after="0"/>
              <w:rPr>
                <w:sz w:val="20"/>
                <w:szCs w:val="20"/>
                <w:color w:val="auto"/>
              </w:rPr>
            </w:pPr>
            <w:r>
              <w:rPr>
                <w:rFonts w:ascii="Arial" w:cs="Arial" w:eastAsia="Arial" w:hAnsi="Arial"/>
                <w:sz w:val="17"/>
                <w:szCs w:val="17"/>
                <w:color w:val="auto"/>
              </w:rPr>
              <w:t>Unrealized gross losses</w:t>
            </w:r>
          </w:p>
        </w:tc>
        <w:tc>
          <w:tcPr>
            <w:tcW w:w="1920" w:type="dxa"/>
            <w:vAlign w:val="bottom"/>
          </w:tcPr>
          <w:p>
            <w:pPr>
              <w:spacing w:after="0"/>
              <w:rPr>
                <w:sz w:val="19"/>
                <w:szCs w:val="19"/>
                <w:color w:val="auto"/>
              </w:rPr>
            </w:pPr>
          </w:p>
        </w:tc>
        <w:tc>
          <w:tcPr>
            <w:tcW w:w="1640" w:type="dxa"/>
            <w:vAlign w:val="bottom"/>
          </w:tcPr>
          <w:p>
            <w:pPr>
              <w:jc w:val="right"/>
              <w:ind w:right="17"/>
              <w:spacing w:after="0"/>
              <w:rPr>
                <w:sz w:val="20"/>
                <w:szCs w:val="20"/>
                <w:color w:val="auto"/>
              </w:rPr>
            </w:pPr>
            <w:r>
              <w:rPr>
                <w:rFonts w:ascii="Arial" w:cs="Arial" w:eastAsia="Arial" w:hAnsi="Arial"/>
                <w:sz w:val="17"/>
                <w:szCs w:val="17"/>
                <w:b w:val="1"/>
                <w:bCs w:val="1"/>
                <w:color w:val="auto"/>
              </w:rPr>
              <w:t>59.7</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49.2</w:t>
            </w:r>
          </w:p>
        </w:tc>
      </w:tr>
      <w:tr>
        <w:trPr>
          <w:trHeight w:val="220"/>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securities in an unrealized gain position</w:t>
            </w:r>
          </w:p>
        </w:tc>
        <w:tc>
          <w:tcPr>
            <w:tcW w:w="19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30.4</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r>
      <w:tr>
        <w:trPr>
          <w:trHeight w:val="242"/>
        </w:trPr>
        <w:tc>
          <w:tcPr>
            <w:tcW w:w="5780" w:type="dxa"/>
            <w:vAlign w:val="bottom"/>
          </w:tcPr>
          <w:p>
            <w:pPr>
              <w:ind w:left="20"/>
              <w:spacing w:after="0"/>
              <w:rPr>
                <w:sz w:val="20"/>
                <w:szCs w:val="20"/>
                <w:color w:val="auto"/>
              </w:rPr>
            </w:pPr>
            <w:r>
              <w:rPr>
                <w:rFonts w:ascii="Arial" w:cs="Arial" w:eastAsia="Arial" w:hAnsi="Arial"/>
                <w:sz w:val="17"/>
                <w:szCs w:val="17"/>
                <w:color w:val="auto"/>
              </w:rPr>
              <w:t>Fair value of securities in an unrealized loss position</w:t>
            </w:r>
          </w:p>
        </w:tc>
        <w:tc>
          <w:tcPr>
            <w:tcW w:w="192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7"/>
                <w:szCs w:val="17"/>
                <w:b w:val="1"/>
                <w:bCs w:val="1"/>
                <w:color w:val="auto"/>
              </w:rPr>
              <w:t>559.6</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568.7</w:t>
            </w:r>
          </w:p>
        </w:tc>
      </w:tr>
    </w:tbl>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As of September 30, 2023, the available-for-sale securities in an unrealized loss position include primarily fixed-rate debt securities of varying maturities, which are sensitive to changes in the yield curve and other market conditions. Approximately 99 percent of the fixed-rate debt securities in a loss position are investment-grade debt securities. As of September 30, 2023,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Activity related to our available-for-sale securities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w:t>
            </w:r>
          </w:p>
        </w:tc>
        <w:tc>
          <w:tcPr>
            <w:tcW w:w="1000" w:type="dxa"/>
            <w:vAlign w:val="bottom"/>
            <w:shd w:val="clear" w:color="auto" w:fill="CCEEFF"/>
          </w:tcPr>
          <w:p>
            <w:pPr>
              <w:jc w:val="right"/>
              <w:ind w:right="805"/>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60.0</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50.5</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121.8</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Realized gross gains on sales</w:t>
            </w:r>
          </w:p>
        </w:tc>
        <w:tc>
          <w:tcPr>
            <w:tcW w:w="100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b w:val="1"/>
                <w:bCs w:val="1"/>
                <w:color w:val="auto"/>
              </w:rPr>
              <w:t>0.3</w:t>
            </w:r>
          </w:p>
        </w:tc>
        <w:tc>
          <w:tcPr>
            <w:tcW w:w="460" w:type="dxa"/>
            <w:vAlign w:val="bottom"/>
          </w:tcPr>
          <w:p>
            <w:pPr>
              <w:spacing w:after="0"/>
              <w:rPr>
                <w:sz w:val="19"/>
                <w:szCs w:val="19"/>
                <w:color w:val="auto"/>
              </w:rPr>
            </w:pP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Arial" w:cs="Arial" w:eastAsia="Arial" w:hAnsi="Arial"/>
                <w:sz w:val="17"/>
                <w:szCs w:val="17"/>
                <w:b w:val="1"/>
                <w:bCs w:val="1"/>
                <w:color w:val="auto"/>
              </w:rPr>
              <w:t>0.6</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gross losses on sales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1.9</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7.5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3.6</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r>
    </w:tbl>
    <w:p>
      <w:pPr>
        <w:spacing w:after="0" w:line="181"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u w:val="single" w:color="auto"/>
          <w:color w:val="auto"/>
        </w:rPr>
        <w:t>Fair Value of Investments</w:t>
      </w:r>
    </w:p>
    <w:p>
      <w:pPr>
        <w:spacing w:after="0" w:line="121"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The following table summarizes certain fair value information at September 30, 2023 and December 31, 2022 for investment assets measured at fair value on a recurring basis, as well as the carrying amount and amortized cost of certain other investments: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5"/>
          </w:tcPr>
          <w:p>
            <w:pPr>
              <w:jc w:val="right"/>
              <w:ind w:right="744"/>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8"/>
              </w:rPr>
              <w:t>Quoted Prices</w:t>
            </w:r>
          </w:p>
        </w:tc>
        <w:tc>
          <w:tcPr>
            <w:tcW w:w="200" w:type="dxa"/>
            <w:vAlign w:val="bottom"/>
          </w:tcPr>
          <w:p>
            <w:pPr>
              <w:spacing w:after="0"/>
              <w:rPr>
                <w:sz w:val="11"/>
                <w:szCs w:val="11"/>
                <w:color w:val="auto"/>
              </w:rPr>
            </w:pPr>
          </w:p>
        </w:tc>
        <w:tc>
          <w:tcPr>
            <w:tcW w:w="1000" w:type="dxa"/>
            <w:vAlign w:val="bottom"/>
          </w:tcPr>
          <w:p>
            <w:pPr>
              <w:jc w:val="center"/>
              <w:ind w:right="104"/>
              <w:spacing w:after="0" w:line="137" w:lineRule="exact"/>
              <w:rPr>
                <w:sz w:val="20"/>
                <w:szCs w:val="20"/>
                <w:color w:val="auto"/>
              </w:rPr>
            </w:pPr>
            <w:r>
              <w:rPr>
                <w:rFonts w:ascii="Arial" w:cs="Arial" w:eastAsia="Arial" w:hAnsi="Arial"/>
                <w:sz w:val="14"/>
                <w:szCs w:val="14"/>
                <w:b w:val="1"/>
                <w:bCs w:val="1"/>
                <w:color w:val="auto"/>
                <w:w w:val="97"/>
              </w:rPr>
              <w:t>Significant</w:t>
            </w:r>
          </w:p>
        </w:tc>
        <w:tc>
          <w:tcPr>
            <w:tcW w:w="220" w:type="dxa"/>
            <w:vAlign w:val="bottom"/>
          </w:tcPr>
          <w:p>
            <w:pPr>
              <w:spacing w:after="0"/>
              <w:rPr>
                <w:sz w:val="11"/>
                <w:szCs w:val="11"/>
                <w:color w:val="auto"/>
              </w:rPr>
            </w:pPr>
          </w:p>
        </w:tc>
        <w:tc>
          <w:tcPr>
            <w:tcW w:w="116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7"/>
              </w:rPr>
              <w:t>Significant</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4"/>
              <w:spacing w:after="0" w:line="141" w:lineRule="exact"/>
              <w:rPr>
                <w:sz w:val="20"/>
                <w:szCs w:val="20"/>
                <w:color w:val="auto"/>
              </w:rPr>
            </w:pPr>
            <w:r>
              <w:rPr>
                <w:rFonts w:ascii="Arial" w:cs="Arial" w:eastAsia="Arial" w:hAnsi="Arial"/>
                <w:sz w:val="14"/>
                <w:szCs w:val="14"/>
                <w:b w:val="1"/>
                <w:bCs w:val="1"/>
                <w:color w:val="auto"/>
                <w:w w:val="99"/>
              </w:rPr>
              <w:t>in Active</w:t>
            </w:r>
          </w:p>
        </w:tc>
        <w:tc>
          <w:tcPr>
            <w:tcW w:w="200" w:type="dxa"/>
            <w:vAlign w:val="bottom"/>
          </w:tcPr>
          <w:p>
            <w:pPr>
              <w:spacing w:after="0"/>
              <w:rPr>
                <w:sz w:val="12"/>
                <w:szCs w:val="12"/>
                <w:color w:val="auto"/>
              </w:rPr>
            </w:pPr>
          </w:p>
        </w:tc>
        <w:tc>
          <w:tcPr>
            <w:tcW w:w="1000" w:type="dxa"/>
            <w:vAlign w:val="bottom"/>
          </w:tcPr>
          <w:p>
            <w:pPr>
              <w:jc w:val="center"/>
              <w:ind w:right="104"/>
              <w:spacing w:after="0" w:line="141"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1"/>
                <w:szCs w:val="11"/>
                <w:color w:val="auto"/>
              </w:rPr>
            </w:pPr>
          </w:p>
        </w:tc>
        <w:tc>
          <w:tcPr>
            <w:tcW w:w="100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w w:val="96"/>
              </w:rPr>
              <w:t>Observable</w:t>
            </w:r>
          </w:p>
        </w:tc>
        <w:tc>
          <w:tcPr>
            <w:tcW w:w="220" w:type="dxa"/>
            <w:vAlign w:val="bottom"/>
          </w:tcPr>
          <w:p>
            <w:pPr>
              <w:spacing w:after="0"/>
              <w:rPr>
                <w:sz w:val="11"/>
                <w:szCs w:val="11"/>
                <w:color w:val="auto"/>
              </w:rPr>
            </w:pPr>
          </w:p>
        </w:tc>
        <w:tc>
          <w:tcPr>
            <w:tcW w:w="116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99"/>
              </w:rPr>
              <w:t>Unobservable</w:t>
            </w:r>
          </w:p>
        </w:tc>
        <w:tc>
          <w:tcPr>
            <w:tcW w:w="340" w:type="dxa"/>
            <w:vAlign w:val="bottom"/>
          </w:tcPr>
          <w:p>
            <w:pPr>
              <w:spacing w:after="0"/>
              <w:rPr>
                <w:sz w:val="11"/>
                <w:szCs w:val="11"/>
                <w:color w:val="auto"/>
              </w:rPr>
            </w:pPr>
          </w:p>
        </w:tc>
        <w:tc>
          <w:tcPr>
            <w:tcW w:w="86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7"/>
                <w:szCs w:val="17"/>
                <w:b w:val="1"/>
                <w:bCs w:val="1"/>
                <w:color w:val="auto"/>
                <w:vertAlign w:val="superscript"/>
              </w:rPr>
              <w:t>(1)</w:t>
            </w: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Identical Assets</w:t>
            </w:r>
          </w:p>
        </w:tc>
        <w:tc>
          <w:tcPr>
            <w:tcW w:w="200" w:type="dxa"/>
            <w:vAlign w:val="bottom"/>
          </w:tcPr>
          <w:p>
            <w:pPr>
              <w:spacing w:after="0"/>
              <w:rPr>
                <w:sz w:val="12"/>
                <w:szCs w:val="12"/>
                <w:color w:val="auto"/>
              </w:rPr>
            </w:pPr>
          </w:p>
        </w:tc>
        <w:tc>
          <w:tcPr>
            <w:tcW w:w="1000" w:type="dxa"/>
            <w:vAlign w:val="bottom"/>
          </w:tcPr>
          <w:p>
            <w:pPr>
              <w:jc w:val="center"/>
              <w:ind w:right="104"/>
              <w:spacing w:after="0" w:line="142"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4"/>
              <w:spacing w:after="0" w:line="142"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8"/>
              </w:rPr>
              <w:t>(Level 1)</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(Level 3)</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Cash equivalents</w:t>
            </w:r>
            <w:r>
              <w:rPr>
                <w:rFonts w:ascii="Arial" w:cs="Arial" w:eastAsia="Arial" w:hAnsi="Arial"/>
                <w:sz w:val="20"/>
                <w:szCs w:val="20"/>
                <w:color w:val="auto"/>
                <w:vertAlign w:val="superscript"/>
              </w:rPr>
              <w:t>(2)</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1,201.4</w:t>
            </w:r>
          </w:p>
        </w:tc>
        <w:tc>
          <w:tcPr>
            <w:tcW w:w="32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tcPr>
          <w:p>
            <w:pPr>
              <w:jc w:val="right"/>
              <w:ind w:right="103"/>
              <w:spacing w:after="0"/>
              <w:rPr>
                <w:sz w:val="20"/>
                <w:szCs w:val="20"/>
                <w:color w:val="auto"/>
              </w:rPr>
            </w:pPr>
            <w:r>
              <w:rPr>
                <w:rFonts w:ascii="Arial" w:cs="Arial" w:eastAsia="Arial" w:hAnsi="Arial"/>
                <w:sz w:val="16"/>
                <w:szCs w:val="16"/>
                <w:b w:val="1"/>
                <w:bCs w:val="1"/>
                <w:color w:val="auto"/>
              </w:rPr>
              <w:t>1,201.4</w:t>
            </w:r>
          </w:p>
        </w:tc>
        <w:tc>
          <w:tcPr>
            <w:tcW w:w="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b w:val="1"/>
                <w:bCs w:val="1"/>
                <w:color w:val="auto"/>
              </w:rPr>
              <w:t>1,196.5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4"/>
              <w:spacing w:after="0"/>
              <w:rPr>
                <w:sz w:val="20"/>
                <w:szCs w:val="20"/>
                <w:color w:val="auto"/>
              </w:rPr>
            </w:pPr>
            <w:r>
              <w:rPr>
                <w:rFonts w:ascii="Arial" w:cs="Arial" w:eastAsia="Arial" w:hAnsi="Arial"/>
                <w:sz w:val="16"/>
                <w:szCs w:val="16"/>
                <w:b w:val="1"/>
                <w:bCs w:val="1"/>
                <w:color w:val="auto"/>
              </w:rPr>
              <w:t>4.9</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1,201.4</w:t>
            </w: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390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30.2</w:t>
            </w:r>
          </w:p>
        </w:tc>
        <w:tc>
          <w:tcPr>
            <w:tcW w:w="3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30.6</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57.4</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57.7</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57.4</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57.4</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0.6</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0.6</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0.6</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0" w:type="dxa"/>
            <w:vAlign w:val="bottom"/>
          </w:tcPr>
          <w:p>
            <w:pPr>
              <w:spacing w:after="0"/>
              <w:rPr>
                <w:sz w:val="1"/>
                <w:szCs w:val="1"/>
                <w:color w:val="auto"/>
              </w:rPr>
            </w:pPr>
          </w:p>
        </w:tc>
      </w:tr>
      <w:tr>
        <w:trPr>
          <w:trHeight w:val="207"/>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24.9</w:t>
            </w:r>
          </w:p>
        </w:tc>
        <w:tc>
          <w:tcPr>
            <w:tcW w:w="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ind w:right="103"/>
              <w:spacing w:after="0"/>
              <w:rPr>
                <w:sz w:val="20"/>
                <w:szCs w:val="20"/>
                <w:color w:val="auto"/>
              </w:rPr>
            </w:pPr>
            <w:r>
              <w:rPr>
                <w:rFonts w:ascii="Arial" w:cs="Arial" w:eastAsia="Arial" w:hAnsi="Arial"/>
                <w:sz w:val="16"/>
                <w:szCs w:val="16"/>
                <w:b w:val="1"/>
                <w:bCs w:val="1"/>
                <w:color w:val="auto"/>
              </w:rPr>
              <w:t>24.9</w:t>
            </w: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24"/>
              <w:spacing w:after="0"/>
              <w:rPr>
                <w:sz w:val="20"/>
                <w:szCs w:val="20"/>
                <w:color w:val="auto"/>
              </w:rPr>
            </w:pPr>
            <w:r>
              <w:rPr>
                <w:rFonts w:ascii="Arial" w:cs="Arial" w:eastAsia="Arial" w:hAnsi="Arial"/>
                <w:sz w:val="16"/>
                <w:szCs w:val="16"/>
                <w:b w:val="1"/>
                <w:bCs w:val="1"/>
                <w:color w:val="auto"/>
              </w:rPr>
              <w:t>11.0</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b w:val="1"/>
                <w:bCs w:val="1"/>
                <w:color w:val="auto"/>
              </w:rPr>
              <w:t>13.9</w:t>
            </w: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24.9</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113.1</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18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139.3</w:t>
            </w:r>
          </w:p>
        </w:tc>
        <w:tc>
          <w:tcPr>
            <w:tcW w:w="3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160.0</w:t>
            </w: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139.3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139.3</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198.6</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222.3</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198.6</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198.6</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144.9</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161.9</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144.9</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144.9</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57.2</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59.5</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57.2</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57.2</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171.1</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77.0</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6.2</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164.9</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171.1</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532.0</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443.2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532.0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532.0</w:t>
            </w:r>
          </w:p>
        </w:tc>
        <w:tc>
          <w:tcPr>
            <w:tcW w:w="0" w:type="dxa"/>
            <w:vAlign w:val="bottom"/>
          </w:tcPr>
          <w:p>
            <w:pPr>
              <w:spacing w:after="0"/>
              <w:rPr>
                <w:sz w:val="1"/>
                <w:szCs w:val="1"/>
                <w:color w:val="auto"/>
              </w:rPr>
            </w:pPr>
          </w:p>
        </w:tc>
      </w:tr>
      <w:tr>
        <w:trPr>
          <w:trHeight w:val="160"/>
        </w:trPr>
        <w:tc>
          <w:tcPr>
            <w:tcW w:w="3900" w:type="dxa"/>
            <w:vAlign w:val="bottom"/>
          </w:tcPr>
          <w:p>
            <w:pPr>
              <w:ind w:left="140"/>
              <w:spacing w:after="0" w:line="160" w:lineRule="exact"/>
              <w:rPr>
                <w:sz w:val="20"/>
                <w:szCs w:val="20"/>
                <w:color w:val="auto"/>
              </w:rPr>
            </w:pPr>
            <w:r>
              <w:rPr>
                <w:rFonts w:ascii="Arial" w:cs="Arial" w:eastAsia="Arial" w:hAnsi="Arial"/>
                <w:sz w:val="16"/>
                <w:szCs w:val="16"/>
                <w:color w:val="auto"/>
              </w:rPr>
              <w:t>Equity investments without readily determinable fair</w:t>
            </w:r>
          </w:p>
        </w:tc>
        <w:tc>
          <w:tcPr>
            <w:tcW w:w="1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531.4</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140"/>
              <w:spacing w:after="0" w:line="202" w:lineRule="exact"/>
              <w:rPr>
                <w:sz w:val="20"/>
                <w:szCs w:val="20"/>
                <w:color w:val="auto"/>
              </w:rPr>
            </w:pPr>
            <w:r>
              <w:rPr>
                <w:rFonts w:ascii="Arial" w:cs="Arial" w:eastAsia="Arial" w:hAnsi="Arial"/>
                <w:sz w:val="16"/>
                <w:szCs w:val="16"/>
                <w:color w:val="auto"/>
              </w:rPr>
              <w:t>values</w:t>
            </w:r>
            <w:r>
              <w:rPr>
                <w:rFonts w:ascii="Arial" w:cs="Arial" w:eastAsia="Arial" w:hAnsi="Arial"/>
                <w:sz w:val="20"/>
                <w:szCs w:val="20"/>
                <w:color w:val="auto"/>
                <w:vertAlign w:val="superscript"/>
              </w:rPr>
              <w:t>(3)</w:t>
            </w: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0"/>
                <w:szCs w:val="20"/>
                <w:color w:val="auto"/>
                <w:vertAlign w:val="superscript"/>
              </w:rPr>
              <w:t>(3)</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917.2</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Noncurrent investments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2,691.7</w:t>
            </w:r>
          </w:p>
        </w:tc>
        <w:tc>
          <w:tcPr>
            <w:tcW w:w="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6"/>
                <w:szCs w:val="16"/>
                <w:color w:val="auto"/>
              </w:rPr>
              <w:t>Cash equivalents</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657.4</w:t>
            </w:r>
          </w:p>
        </w:tc>
        <w:tc>
          <w:tcPr>
            <w:tcW w:w="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657.4</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650.4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30.8</w:t>
            </w:r>
          </w:p>
        </w:tc>
        <w:tc>
          <w:tcPr>
            <w:tcW w:w="3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31.1</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30.8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53.5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53.4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4"/>
        </w:trPr>
        <w:tc>
          <w:tcPr>
            <w:tcW w:w="390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58.6</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58.6</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8"/>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144.8</w:t>
            </w:r>
          </w:p>
        </w:tc>
        <w:tc>
          <w:tcPr>
            <w:tcW w:w="3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390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146.4</w:t>
            </w:r>
          </w:p>
        </w:tc>
        <w:tc>
          <w:tcPr>
            <w:tcW w:w="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163.2</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04"/>
        </w:trPr>
        <w:tc>
          <w:tcPr>
            <w:tcW w:w="39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213.9</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235.8</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213.9</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149.2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161.5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149.2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04"/>
        </w:trPr>
        <w:tc>
          <w:tcPr>
            <w:tcW w:w="390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50.6</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52.5</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50.6</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398.6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34.5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311.0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87.6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398.6</w:t>
            </w:r>
          </w:p>
        </w:tc>
        <w:tc>
          <w:tcPr>
            <w:tcW w:w="0" w:type="dxa"/>
            <w:vAlign w:val="bottom"/>
          </w:tcPr>
          <w:p>
            <w:pPr>
              <w:spacing w:after="0"/>
              <w:rPr>
                <w:sz w:val="1"/>
                <w:szCs w:val="1"/>
                <w:color w:val="auto"/>
              </w:rPr>
            </w:pPr>
          </w:p>
        </w:tc>
      </w:tr>
      <w:tr>
        <w:trPr>
          <w:trHeight w:val="204"/>
        </w:trPr>
        <w:tc>
          <w:tcPr>
            <w:tcW w:w="390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683.6</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484.7</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683.6</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investments without readily determinable fair</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478.4</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140"/>
              <w:spacing w:after="0" w:line="202" w:lineRule="exact"/>
              <w:rPr>
                <w:sz w:val="20"/>
                <w:szCs w:val="20"/>
                <w:color w:val="auto"/>
              </w:rPr>
            </w:pPr>
            <w:r>
              <w:rPr>
                <w:rFonts w:ascii="Arial" w:cs="Arial" w:eastAsia="Arial" w:hAnsi="Arial"/>
                <w:sz w:val="16"/>
                <w:szCs w:val="16"/>
                <w:color w:val="auto"/>
              </w:rPr>
              <w:t>values</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tcBorders>
              <w:bottom w:val="single" w:sz="8" w:color="CCEEFF"/>
            </w:tcBorders>
          </w:tcPr>
          <w:p>
            <w:pPr>
              <w:ind w:left="140"/>
              <w:spacing w:after="0" w:line="207"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0"/>
                <w:szCs w:val="20"/>
                <w:color w:val="auto"/>
                <w:vertAlign w:val="superscript"/>
              </w:rPr>
              <w:t>(3)</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781.1</w:t>
            </w:r>
          </w:p>
        </w:tc>
        <w:tc>
          <w:tcPr>
            <w:tcW w:w="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investments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2,901.8</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60" w:right="220" w:hanging="157"/>
        <w:spacing w:after="0" w:line="247" w:lineRule="auto"/>
        <w:tabs>
          <w:tab w:leader="none" w:pos="152" w:val="left"/>
        </w:tabs>
        <w:numPr>
          <w:ilvl w:val="0"/>
          <w:numId w:val="13"/>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spacing w:after="0" w:line="1" w:lineRule="exact"/>
        <w:rPr>
          <w:rFonts w:ascii="Arial" w:cs="Arial" w:eastAsia="Arial" w:hAnsi="Arial"/>
          <w:sz w:val="9"/>
          <w:szCs w:val="9"/>
          <w:color w:val="auto"/>
        </w:rPr>
      </w:pPr>
    </w:p>
    <w:p>
      <w:pPr>
        <w:ind w:left="160" w:hanging="157"/>
        <w:spacing w:after="0" w:line="194"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22" w:name="page23"/>
    <w:bookmarkEnd w:id="22"/>
    <w:p>
      <w:pPr>
        <w:ind w:right="160"/>
        <w:spacing w:after="0" w:line="263" w:lineRule="auto"/>
        <w:rPr>
          <w:sz w:val="20"/>
          <w:szCs w:val="20"/>
          <w:color w:val="auto"/>
        </w:rPr>
      </w:pPr>
      <w:r>
        <w:rPr>
          <w:rFonts w:ascii="Arial" w:cs="Arial" w:eastAsia="Arial" w:hAnsi="Arial"/>
          <w:sz w:val="17"/>
          <w:szCs w:val="17"/>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w:t>
      </w:r>
    </w:p>
    <w:p>
      <w:pPr>
        <w:spacing w:after="0" w:line="12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February 2023, we issued $ 750.0 million of 5.000 percent fixed-rate notes due in 2026, which are callable at par after one year, $1.00 billion of 4.700 percent fixed-rate notes due in 2033, $ 1.25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w:t>
      </w:r>
    </w:p>
    <w:p>
      <w:pPr>
        <w:spacing w:after="0" w:line="73" w:lineRule="exact"/>
        <w:rPr>
          <w:sz w:val="20"/>
          <w:szCs w:val="20"/>
          <w:color w:val="auto"/>
        </w:rPr>
      </w:pPr>
    </w:p>
    <w:p>
      <w:pPr>
        <w:ind w:right="640"/>
        <w:spacing w:after="0" w:line="283" w:lineRule="auto"/>
        <w:rPr>
          <w:sz w:val="20"/>
          <w:szCs w:val="20"/>
          <w:color w:val="auto"/>
        </w:rPr>
      </w:pPr>
      <w:r>
        <w:rPr>
          <w:rFonts w:ascii="Arial" w:cs="Arial" w:eastAsia="Arial" w:hAnsi="Arial"/>
          <w:sz w:val="17"/>
          <w:szCs w:val="17"/>
          <w:color w:val="auto"/>
        </w:rPr>
        <w:t>In September 2023, we renewed our $4.00 billion 364-day credit facility, which will expire in September 2024 and is available to support our commercial paper program. We have not drawn against the $4.00 billion 364-day facility as of September 30, 2023.</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Fair Value of Debt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fair value information at September 30, 2023 and December 31, 2022 for our short-term and long-term debt: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jc w:val="center"/>
              <w:ind w:right="23"/>
              <w:spacing w:after="0"/>
              <w:rPr>
                <w:sz w:val="20"/>
                <w:szCs w:val="20"/>
                <w:color w:val="auto"/>
              </w:rPr>
            </w:pPr>
            <w:r>
              <w:rPr>
                <w:rFonts w:ascii="Arial" w:cs="Arial" w:eastAsia="Arial" w:hAnsi="Arial"/>
                <w:sz w:val="14"/>
                <w:szCs w:val="14"/>
                <w:b w:val="1"/>
                <w:bCs w:val="1"/>
                <w:color w:val="auto"/>
                <w:w w:val="97"/>
              </w:rPr>
              <w:t>Fair Value Measurements Using</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2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8"/>
              </w:rPr>
              <w:t>Quoted Prices in</w:t>
            </w:r>
          </w:p>
        </w:tc>
        <w:tc>
          <w:tcPr>
            <w:tcW w:w="280" w:type="dxa"/>
            <w:vAlign w:val="bottom"/>
          </w:tcPr>
          <w:p>
            <w:pPr>
              <w:spacing w:after="0"/>
              <w:rPr>
                <w:sz w:val="11"/>
                <w:szCs w:val="11"/>
                <w:color w:val="auto"/>
              </w:rPr>
            </w:pPr>
          </w:p>
        </w:tc>
        <w:tc>
          <w:tcPr>
            <w:tcW w:w="1120" w:type="dxa"/>
            <w:vAlign w:val="bottom"/>
          </w:tcPr>
          <w:p>
            <w:pPr>
              <w:jc w:val="center"/>
              <w:ind w:right="181"/>
              <w:spacing w:after="0" w:line="137" w:lineRule="exact"/>
              <w:rPr>
                <w:sz w:val="20"/>
                <w:szCs w:val="20"/>
                <w:color w:val="auto"/>
              </w:rPr>
            </w:pPr>
            <w:r>
              <w:rPr>
                <w:rFonts w:ascii="Arial" w:cs="Arial" w:eastAsia="Arial" w:hAnsi="Arial"/>
                <w:sz w:val="14"/>
                <w:szCs w:val="14"/>
                <w:b w:val="1"/>
                <w:bCs w:val="1"/>
                <w:color w:val="auto"/>
                <w:w w:val="97"/>
              </w:rPr>
              <w:t>Significant</w:t>
            </w:r>
          </w:p>
        </w:tc>
        <w:tc>
          <w:tcPr>
            <w:tcW w:w="220" w:type="dxa"/>
            <w:vAlign w:val="bottom"/>
          </w:tcPr>
          <w:p>
            <w:pPr>
              <w:spacing w:after="0"/>
              <w:rPr>
                <w:sz w:val="11"/>
                <w:szCs w:val="11"/>
                <w:color w:val="auto"/>
              </w:rPr>
            </w:pPr>
          </w:p>
        </w:tc>
        <w:tc>
          <w:tcPr>
            <w:tcW w:w="1140" w:type="dxa"/>
            <w:vAlign w:val="bottom"/>
          </w:tcPr>
          <w:p>
            <w:pPr>
              <w:jc w:val="center"/>
              <w:ind w:right="83"/>
              <w:spacing w:after="0" w:line="137" w:lineRule="exact"/>
              <w:rPr>
                <w:sz w:val="20"/>
                <w:szCs w:val="20"/>
                <w:color w:val="auto"/>
              </w:rPr>
            </w:pPr>
            <w:r>
              <w:rPr>
                <w:rFonts w:ascii="Arial" w:cs="Arial" w:eastAsia="Arial" w:hAnsi="Arial"/>
                <w:sz w:val="14"/>
                <w:szCs w:val="14"/>
                <w:b w:val="1"/>
                <w:bCs w:val="1"/>
                <w:color w:val="auto"/>
                <w:w w:val="97"/>
              </w:rPr>
              <w:t>Significant</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8"/>
              </w:rPr>
              <w:t>Active Markets for</w:t>
            </w:r>
          </w:p>
        </w:tc>
        <w:tc>
          <w:tcPr>
            <w:tcW w:w="14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8"/>
              </w:rPr>
              <w:t>Other Observable</w:t>
            </w:r>
          </w:p>
        </w:tc>
        <w:tc>
          <w:tcPr>
            <w:tcW w:w="220" w:type="dxa"/>
            <w:vAlign w:val="bottom"/>
          </w:tcPr>
          <w:p>
            <w:pPr>
              <w:spacing w:after="0"/>
              <w:rPr>
                <w:sz w:val="12"/>
                <w:szCs w:val="12"/>
                <w:color w:val="auto"/>
              </w:rPr>
            </w:pPr>
          </w:p>
        </w:tc>
        <w:tc>
          <w:tcPr>
            <w:tcW w:w="1140" w:type="dxa"/>
            <w:vAlign w:val="bottom"/>
          </w:tcPr>
          <w:p>
            <w:pPr>
              <w:jc w:val="center"/>
              <w:ind w:right="63"/>
              <w:spacing w:after="0" w:line="141" w:lineRule="exact"/>
              <w:rPr>
                <w:sz w:val="20"/>
                <w:szCs w:val="20"/>
                <w:color w:val="auto"/>
              </w:rPr>
            </w:pPr>
            <w:r>
              <w:rPr>
                <w:rFonts w:ascii="Arial" w:cs="Arial" w:eastAsia="Arial" w:hAnsi="Arial"/>
                <w:sz w:val="14"/>
                <w:szCs w:val="14"/>
                <w:b w:val="1"/>
                <w:bCs w:val="1"/>
                <w:color w:val="auto"/>
                <w:w w:val="99"/>
              </w:rPr>
              <w:t>Unobservable</w:t>
            </w:r>
          </w:p>
        </w:tc>
        <w:tc>
          <w:tcPr>
            <w:tcW w:w="400" w:type="dxa"/>
            <w:vAlign w:val="bottom"/>
          </w:tcPr>
          <w:p>
            <w:pPr>
              <w:spacing w:after="0"/>
              <w:rPr>
                <w:sz w:val="12"/>
                <w:szCs w:val="12"/>
                <w:color w:val="auto"/>
              </w:rPr>
            </w:pPr>
          </w:p>
        </w:tc>
        <w:tc>
          <w:tcPr>
            <w:tcW w:w="100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99"/>
              </w:rPr>
              <w:t>Identical Assets</w:t>
            </w:r>
          </w:p>
        </w:tc>
        <w:tc>
          <w:tcPr>
            <w:tcW w:w="280" w:type="dxa"/>
            <w:vAlign w:val="bottom"/>
          </w:tcPr>
          <w:p>
            <w:pPr>
              <w:spacing w:after="0"/>
              <w:rPr>
                <w:sz w:val="12"/>
                <w:szCs w:val="12"/>
                <w:color w:val="auto"/>
              </w:rPr>
            </w:pPr>
          </w:p>
        </w:tc>
        <w:tc>
          <w:tcPr>
            <w:tcW w:w="1120" w:type="dxa"/>
            <w:vAlign w:val="bottom"/>
          </w:tcPr>
          <w:p>
            <w:pPr>
              <w:jc w:val="center"/>
              <w:ind w:right="181"/>
              <w:spacing w:after="0" w:line="142"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40" w:type="dxa"/>
            <w:vAlign w:val="bottom"/>
          </w:tcPr>
          <w:p>
            <w:pPr>
              <w:jc w:val="center"/>
              <w:ind w:right="63"/>
              <w:spacing w:after="0" w:line="142"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8"/>
              </w:rPr>
              <w:t>(Level 3)</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3"/>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commercial paper borrowings</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60" w:type="dxa"/>
            <w:vAlign w:val="bottom"/>
          </w:tcPr>
          <w:p>
            <w:pPr>
              <w:ind w:left="120"/>
              <w:spacing w:after="0"/>
              <w:rPr>
                <w:sz w:val="20"/>
                <w:szCs w:val="20"/>
                <w:color w:val="auto"/>
              </w:rPr>
            </w:pPr>
            <w:r>
              <w:rPr>
                <w:rFonts w:ascii="Arial" w:cs="Arial" w:eastAsia="Arial" w:hAnsi="Arial"/>
                <w:sz w:val="17"/>
                <w:szCs w:val="17"/>
                <w:color w:val="auto"/>
              </w:rPr>
              <w:t>September 30, 2023</w:t>
            </w:r>
          </w:p>
        </w:tc>
        <w:tc>
          <w:tcPr>
            <w:tcW w:w="84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40"/>
              <w:spacing w:after="0"/>
              <w:rPr>
                <w:sz w:val="20"/>
                <w:szCs w:val="20"/>
                <w:color w:val="auto"/>
              </w:rPr>
            </w:pPr>
            <w:r>
              <w:rPr>
                <w:rFonts w:ascii="Arial" w:cs="Arial" w:eastAsia="Arial" w:hAnsi="Arial"/>
                <w:sz w:val="17"/>
                <w:szCs w:val="17"/>
                <w:b w:val="1"/>
                <w:bCs w:val="1"/>
                <w:color w:val="auto"/>
              </w:rPr>
              <w:t>(1,594.9)</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ind w:right="20"/>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(1,592.5)</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ind w:left="90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(1,592.5)</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December 31, 2022</w:t>
            </w: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(1,498.0)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(1,492.0)</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Arial" w:cs="Arial" w:eastAsia="Arial" w:hAnsi="Arial"/>
                <w:sz w:val="17"/>
                <w:szCs w:val="17"/>
                <w:color w:val="auto"/>
              </w:rPr>
              <w:t>Long-term debt, including current portion</w:t>
            </w: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September 30, 2023</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(18,573.4)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(15,412.6)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(15,412.6)</w:t>
            </w:r>
          </w:p>
        </w:tc>
        <w:tc>
          <w:tcPr>
            <w:tcW w:w="0" w:type="dxa"/>
            <w:vAlign w:val="bottom"/>
          </w:tcPr>
          <w:p>
            <w:pPr>
              <w:spacing w:after="0"/>
              <w:rPr>
                <w:sz w:val="1"/>
                <w:szCs w:val="1"/>
                <w:color w:val="auto"/>
              </w:rPr>
            </w:pPr>
          </w:p>
        </w:tc>
      </w:tr>
      <w:tr>
        <w:trPr>
          <w:trHeight w:val="220"/>
        </w:trPr>
        <w:tc>
          <w:tcPr>
            <w:tcW w:w="3760" w:type="dxa"/>
            <w:vAlign w:val="bottom"/>
          </w:tcPr>
          <w:p>
            <w:pPr>
              <w:ind w:left="120"/>
              <w:spacing w:after="0"/>
              <w:rPr>
                <w:sz w:val="20"/>
                <w:szCs w:val="20"/>
                <w:color w:val="auto"/>
              </w:rPr>
            </w:pPr>
            <w:r>
              <w:rPr>
                <w:rFonts w:ascii="Arial" w:cs="Arial" w:eastAsia="Arial" w:hAnsi="Arial"/>
                <w:sz w:val="17"/>
                <w:szCs w:val="17"/>
                <w:color w:val="auto"/>
              </w:rPr>
              <w:t>December 31, 2022</w:t>
            </w:r>
          </w:p>
        </w:tc>
        <w:tc>
          <w:tcPr>
            <w:tcW w:w="84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(14,740.6)</w:t>
            </w:r>
          </w:p>
        </w:tc>
        <w:tc>
          <w:tcPr>
            <w:tcW w:w="120" w:type="dxa"/>
            <w:vAlign w:val="bottom"/>
          </w:tcPr>
          <w:p>
            <w:pPr>
              <w:spacing w:after="0"/>
              <w:rPr>
                <w:sz w:val="19"/>
                <w:szCs w:val="19"/>
                <w:color w:val="auto"/>
              </w:rPr>
            </w:pPr>
          </w:p>
        </w:tc>
        <w:tc>
          <w:tcPr>
            <w:tcW w:w="1200" w:type="dxa"/>
            <w:vAlign w:val="bottom"/>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(12,329.3)</w:t>
            </w:r>
          </w:p>
        </w:tc>
        <w:tc>
          <w:tcPr>
            <w:tcW w:w="22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(12,329.3)</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Related Financial Instruments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$403.8 million and $422.1 million of accounts receivable as of September 30, 2023 and December 31, 2022, respectively, under these factoring arrangements. The costs of factoring such accounts receivable were not material for the three and nine months ended September 30, 2023 and 2022.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3" w:name="page24"/>
    <w:bookmarkEnd w:id="23"/>
    <w:p>
      <w:pPr>
        <w:ind w:right="80"/>
        <w:spacing w:after="0" w:line="268" w:lineRule="auto"/>
        <w:rPr>
          <w:sz w:val="20"/>
          <w:szCs w:val="20"/>
          <w:color w:val="auto"/>
        </w:rPr>
      </w:pPr>
      <w:r>
        <w:rPr>
          <w:rFonts w:ascii="Arial" w:cs="Arial" w:eastAsia="Arial" w:hAnsi="Arial"/>
          <w:sz w:val="17"/>
          <w:szCs w:val="17"/>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(see Note 10)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10). Derivative contracts that are not designated as hedging instruments are recorded at fair value with the gain or loss recognized in earnings during the period of change.</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may enter into foreign currency forward or option contracts to reduce the effect of fluctuating currency exchange rates (principally the euro, British pound, Chinese yuan, Japanese yen, and Swiss franc).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Forward contracts generally have maturities not exceeding 12 months. At September 30, 2023, we had outstanding foreign currency forward commitments as follows, all of which have settlement dates within 180 days: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2023</w:t>
      </w:r>
    </w:p>
    <w:p>
      <w:pPr>
        <w:spacing w:after="0" w:line="30" w:lineRule="exact"/>
        <w:rPr>
          <w:sz w:val="20"/>
          <w:szCs w:val="20"/>
          <w:color w:val="auto"/>
        </w:rPr>
      </w:pPr>
    </w:p>
    <w:tbl>
      <w:tblPr>
        <w:tblLayout w:type="fixed"/>
        <w:tblInd w:w="2520" w:type="dxa"/>
        <w:tblCellMar>
          <w:top w:w="0" w:type="dxa"/>
          <w:left w:w="0" w:type="dxa"/>
          <w:bottom w:w="0" w:type="dxa"/>
          <w:right w:w="0" w:type="dxa"/>
        </w:tblCellMar>
      </w:tblPr>
      <w:tr>
        <w:trPr>
          <w:trHeight w:val="188"/>
        </w:trPr>
        <w:tc>
          <w:tcPr>
            <w:tcW w:w="114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tcPr>
          <w:p>
            <w:pPr>
              <w:jc w:val="right"/>
              <w:ind w:right="1120"/>
              <w:spacing w:after="0"/>
              <w:rPr>
                <w:sz w:val="20"/>
                <w:szCs w:val="20"/>
                <w:color w:val="auto"/>
              </w:rPr>
            </w:pPr>
            <w:r>
              <w:rPr>
                <w:rFonts w:ascii="Arial" w:cs="Arial" w:eastAsia="Arial" w:hAnsi="Arial"/>
                <w:sz w:val="14"/>
                <w:szCs w:val="14"/>
                <w:b w:val="1"/>
                <w:bCs w:val="1"/>
                <w:color w:val="auto"/>
              </w:rPr>
              <w:t>Purchase</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tcPr>
          <w:p>
            <w:pPr>
              <w:jc w:val="right"/>
              <w:ind w:right="1320"/>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37"/>
        </w:trPr>
        <w:tc>
          <w:tcPr>
            <w:tcW w:w="1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Currency</w:t>
            </w:r>
          </w:p>
        </w:tc>
        <w:tc>
          <w:tcPr>
            <w:tcW w:w="2020" w:type="dxa"/>
            <w:vAlign w:val="bottom"/>
            <w:gridSpan w:val="2"/>
          </w:tcPr>
          <w:p>
            <w:pPr>
              <w:jc w:val="center"/>
              <w:ind w:left="140"/>
              <w:spacing w:after="0" w:line="137" w:lineRule="exact"/>
              <w:rPr>
                <w:sz w:val="20"/>
                <w:szCs w:val="20"/>
                <w:color w:val="auto"/>
              </w:rPr>
            </w:pPr>
            <w:r>
              <w:rPr>
                <w:rFonts w:ascii="Arial" w:cs="Arial" w:eastAsia="Arial" w:hAnsi="Arial"/>
                <w:sz w:val="14"/>
                <w:szCs w:val="14"/>
                <w:b w:val="1"/>
                <w:bCs w:val="1"/>
                <w:color w:val="auto"/>
                <w:w w:val="98"/>
              </w:rPr>
              <w:t>Amount</w:t>
            </w:r>
          </w:p>
        </w:tc>
        <w:tc>
          <w:tcPr>
            <w:tcW w:w="12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Currency</w:t>
            </w:r>
          </w:p>
        </w:tc>
        <w:tc>
          <w:tcPr>
            <w:tcW w:w="1800" w:type="dxa"/>
            <w:vAlign w:val="bottom"/>
          </w:tcPr>
          <w:p>
            <w:pPr>
              <w:jc w:val="right"/>
              <w:ind w:right="420"/>
              <w:spacing w:after="0" w:line="13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9"/>
        </w:trPr>
        <w:tc>
          <w:tcPr>
            <w:tcW w:w="1140" w:type="dxa"/>
            <w:vAlign w:val="bottom"/>
            <w:tcBorders>
              <w:bottom w:val="single" w:sz="8" w:color="auto"/>
            </w:tcBorders>
            <w:vMerge w:val="continue"/>
          </w:tcPr>
          <w:p>
            <w:pPr>
              <w:spacing w:after="0"/>
              <w:rPr>
                <w:sz w:val="15"/>
                <w:szCs w:val="15"/>
                <w:color w:val="auto"/>
              </w:rPr>
            </w:pPr>
          </w:p>
        </w:tc>
        <w:tc>
          <w:tcPr>
            <w:tcW w:w="2020" w:type="dxa"/>
            <w:vAlign w:val="bottom"/>
            <w:tcBorders>
              <w:bottom w:val="single" w:sz="8" w:color="auto"/>
            </w:tcBorders>
            <w:gridSpan w:val="2"/>
          </w:tcPr>
          <w:p>
            <w:pPr>
              <w:jc w:val="center"/>
              <w:ind w:left="160"/>
              <w:spacing w:after="0"/>
              <w:rPr>
                <w:sz w:val="20"/>
                <w:szCs w:val="20"/>
                <w:color w:val="auto"/>
              </w:rPr>
            </w:pPr>
            <w:r>
              <w:rPr>
                <w:rFonts w:ascii="Arial" w:cs="Arial" w:eastAsia="Arial" w:hAnsi="Arial"/>
                <w:sz w:val="14"/>
                <w:szCs w:val="14"/>
                <w:b w:val="1"/>
                <w:bCs w:val="1"/>
                <w:color w:val="auto"/>
                <w:w w:val="99"/>
              </w:rPr>
              <w:t>(in millions)</w:t>
            </w:r>
          </w:p>
        </w:tc>
        <w:tc>
          <w:tcPr>
            <w:tcW w:w="126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Euro</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5,774.2</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dollars</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6,170.9</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7"/>
                <w:szCs w:val="17"/>
                <w:color w:val="auto"/>
              </w:rPr>
              <w:t>U.S. dollars</w:t>
            </w:r>
          </w:p>
        </w:tc>
        <w:tc>
          <w:tcPr>
            <w:tcW w:w="1880" w:type="dxa"/>
            <w:vAlign w:val="bottom"/>
          </w:tcPr>
          <w:p>
            <w:pPr>
              <w:jc w:val="right"/>
              <w:spacing w:after="0"/>
              <w:rPr>
                <w:sz w:val="20"/>
                <w:szCs w:val="20"/>
                <w:color w:val="auto"/>
              </w:rPr>
            </w:pPr>
            <w:r>
              <w:rPr>
                <w:rFonts w:ascii="Arial" w:cs="Arial" w:eastAsia="Arial" w:hAnsi="Arial"/>
                <w:sz w:val="17"/>
                <w:szCs w:val="17"/>
                <w:color w:val="auto"/>
              </w:rPr>
              <w:t>3,420.4</w:t>
            </w:r>
          </w:p>
        </w:tc>
        <w:tc>
          <w:tcPr>
            <w:tcW w:w="14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7"/>
                <w:szCs w:val="17"/>
                <w:color w:val="auto"/>
              </w:rPr>
              <w:t>Euro</w:t>
            </w:r>
          </w:p>
        </w:tc>
        <w:tc>
          <w:tcPr>
            <w:tcW w:w="1800" w:type="dxa"/>
            <w:vAlign w:val="bottom"/>
          </w:tcPr>
          <w:p>
            <w:pPr>
              <w:jc w:val="right"/>
              <w:spacing w:after="0"/>
              <w:rPr>
                <w:sz w:val="20"/>
                <w:szCs w:val="20"/>
                <w:color w:val="auto"/>
              </w:rPr>
            </w:pPr>
            <w:r>
              <w:rPr>
                <w:rFonts w:ascii="Arial" w:cs="Arial" w:eastAsia="Arial" w:hAnsi="Arial"/>
                <w:sz w:val="17"/>
                <w:szCs w:val="17"/>
                <w:color w:val="auto"/>
              </w:rPr>
              <w:t>3,224.2</w:t>
            </w:r>
          </w:p>
        </w:tc>
        <w:tc>
          <w:tcPr>
            <w:tcW w:w="0" w:type="dxa"/>
            <w:vAlign w:val="bottom"/>
          </w:tcPr>
          <w:p>
            <w:pPr>
              <w:spacing w:after="0"/>
              <w:rPr>
                <w:sz w:val="1"/>
                <w:szCs w:val="1"/>
                <w:color w:val="auto"/>
              </w:rPr>
            </w:pPr>
          </w:p>
        </w:tc>
      </w:tr>
      <w:tr>
        <w:trPr>
          <w:trHeight w:val="220"/>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U.S. dollars</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Chinese yuan</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1,736.5</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7"/>
                <w:szCs w:val="17"/>
                <w:color w:val="auto"/>
              </w:rPr>
              <w:t>British pounds</w:t>
            </w:r>
          </w:p>
        </w:tc>
        <w:tc>
          <w:tcPr>
            <w:tcW w:w="1880" w:type="dxa"/>
            <w:vAlign w:val="bottom"/>
          </w:tcPr>
          <w:p>
            <w:pPr>
              <w:jc w:val="right"/>
              <w:spacing w:after="0"/>
              <w:rPr>
                <w:sz w:val="20"/>
                <w:szCs w:val="20"/>
                <w:color w:val="auto"/>
              </w:rPr>
            </w:pPr>
            <w:r>
              <w:rPr>
                <w:rFonts w:ascii="Arial" w:cs="Arial" w:eastAsia="Arial" w:hAnsi="Arial"/>
                <w:sz w:val="17"/>
                <w:szCs w:val="17"/>
                <w:color w:val="auto"/>
              </w:rPr>
              <w:t>185.7</w:t>
            </w:r>
          </w:p>
        </w:tc>
        <w:tc>
          <w:tcPr>
            <w:tcW w:w="14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7"/>
                <w:szCs w:val="17"/>
                <w:color w:val="auto"/>
              </w:rPr>
              <w:t>U.S. dollars</w:t>
            </w:r>
          </w:p>
        </w:tc>
        <w:tc>
          <w:tcPr>
            <w:tcW w:w="1800" w:type="dxa"/>
            <w:vAlign w:val="bottom"/>
          </w:tcPr>
          <w:p>
            <w:pPr>
              <w:jc w:val="right"/>
              <w:spacing w:after="0"/>
              <w:rPr>
                <w:sz w:val="20"/>
                <w:szCs w:val="20"/>
                <w:color w:val="auto"/>
              </w:rPr>
            </w:pPr>
            <w:r>
              <w:rPr>
                <w:rFonts w:ascii="Arial" w:cs="Arial" w:eastAsia="Arial" w:hAnsi="Arial"/>
                <w:sz w:val="17"/>
                <w:szCs w:val="17"/>
                <w:color w:val="auto"/>
              </w:rPr>
              <w:t>229.7</w:t>
            </w:r>
          </w:p>
        </w:tc>
        <w:tc>
          <w:tcPr>
            <w:tcW w:w="0" w:type="dxa"/>
            <w:vAlign w:val="bottom"/>
          </w:tcPr>
          <w:p>
            <w:pPr>
              <w:spacing w:after="0"/>
              <w:rPr>
                <w:sz w:val="1"/>
                <w:szCs w:val="1"/>
                <w:color w:val="auto"/>
              </w:rPr>
            </w:pPr>
          </w:p>
        </w:tc>
      </w:tr>
      <w:tr>
        <w:trPr>
          <w:trHeight w:val="220"/>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U.S. dollars</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Japanese yen</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29,626.8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Foreign currency exchange risk is also managed through the use of foreign currency debt, cross-currency interest rate swaps, and foreign currency forward contracts. Our foreign currency-denominated notes had carrying amounts of $6.74 billion and $6.83 billion as of September 30, 2023 and December 31, 2022, respectively, of which $5.38 billion and $5.45 billion have been designated as, and are effective as, economic hedges of net investments in certain of our foreign operations as of September 30, 2023 and December 31, 2022, respectively. At September 30, 2023, we had outstanding cross-currency swaps with notional amounts of $1.01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fixed-rate debt, have also been designated as, and are effective as, economic hedges of net investments. At September 30, 2023, we had outstanding foreign currency forward contracts to sell 5.23 billion euro and to sell</w:t>
      </w:r>
    </w:p>
    <w:p>
      <w:pPr>
        <w:spacing w:after="0" w:line="4"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1.80 billion Chinese yuan with settlement dates ranging through 2024, which have been designated as, and are effective as, economic hedges of net investments.</w:t>
      </w:r>
    </w:p>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Interest rate swaps or collars that convert our fixed-rate debt to a floating rate are designated as fair value hedges of the underlying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Interest rate swaps or collars that convert floating-rate debt to a fixed rate are designated as cash flow hedges. Interest expense on the debt is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adjusted to include the payments made or received under the swap agreements. Cash proceeds from or payments to counterparties resulting from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termination of interest rate swaps are classified as operating activities in our consolidated condensed statements of cash flows. At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 all of our total long-term debt is at a fixed rate. We have converted approximately 12 percent of our long-term fixed-rate notes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to floating rates through the use of interest rate swaps.</w:t>
      </w:r>
    </w:p>
    <w:p>
      <w:pPr>
        <w:spacing w:after="0" w:line="10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10) and, upon completion of a debt issuance and termination of the swap, is amortized to interest expense over the life of the underlying debt. As of September 30, 2023, the total notional amounts of forward-starting interest rate contracts in designated cash flow hedging instruments were $1.00 billion, which have settlement dates ranging through 2025.</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The Effect of Risk-Management Instruments on the Consolidated Condensed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effects of risk-management instruments were recognized in other–net, (income)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hedges: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180"/>
              <w:spacing w:after="0"/>
              <w:rPr>
                <w:sz w:val="20"/>
                <w:szCs w:val="20"/>
                <w:color w:val="auto"/>
              </w:rPr>
            </w:pPr>
            <w:r>
              <w:rPr>
                <w:rFonts w:ascii="Arial" w:cs="Arial" w:eastAsia="Arial" w:hAnsi="Arial"/>
                <w:sz w:val="17"/>
                <w:szCs w:val="17"/>
                <w:color w:val="auto"/>
              </w:rPr>
              <w:t>Effect from hedged fixed-rate debt</w:t>
            </w:r>
          </w:p>
        </w:tc>
        <w:tc>
          <w:tcPr>
            <w:tcW w:w="960" w:type="dxa"/>
            <w:vAlign w:val="bottom"/>
          </w:tcPr>
          <w:p>
            <w:pPr>
              <w:jc w:val="right"/>
              <w:ind w:right="763"/>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(29.9)</w:t>
            </w:r>
          </w:p>
        </w:tc>
        <w:tc>
          <w:tcPr>
            <w:tcW w:w="4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(62.9)</w:t>
            </w:r>
          </w:p>
        </w:tc>
        <w:tc>
          <w:tcPr>
            <w:tcW w:w="36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b w:val="1"/>
                <w:bCs w:val="1"/>
                <w:color w:val="auto"/>
              </w:rPr>
              <w:t>(29.0)</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(215.7)</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from interest rate contracts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29.9</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62.9</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29.0</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Cash flow hedges: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Effective portion of losses on interest rate contracts</w:t>
            </w:r>
          </w:p>
        </w:tc>
        <w:tc>
          <w:tcPr>
            <w:tcW w:w="9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3.2</w:t>
            </w: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10.3</w:t>
            </w: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reclassified from accumulated other comprehensive loss</w:t>
            </w:r>
          </w:p>
        </w:tc>
        <w:tc>
          <w:tcPr>
            <w:tcW w:w="96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4.1</w:t>
            </w:r>
          </w:p>
        </w:tc>
        <w:tc>
          <w:tcPr>
            <w:tcW w:w="36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0"/>
        </w:trPr>
        <w:tc>
          <w:tcPr>
            <w:tcW w:w="4820" w:type="dxa"/>
            <w:vAlign w:val="bottom"/>
          </w:tcPr>
          <w:p>
            <w:pPr>
              <w:ind w:left="180"/>
              <w:spacing w:after="0"/>
              <w:rPr>
                <w:sz w:val="20"/>
                <w:szCs w:val="20"/>
                <w:color w:val="auto"/>
              </w:rPr>
            </w:pPr>
            <w:r>
              <w:rPr>
                <w:rFonts w:ascii="Arial" w:cs="Arial" w:eastAsia="Arial" w:hAnsi="Arial"/>
                <w:sz w:val="17"/>
                <w:szCs w:val="17"/>
                <w:color w:val="auto"/>
              </w:rPr>
              <w:t>Cross-currency interest rate swaps</w:t>
            </w:r>
          </w:p>
        </w:tc>
        <w:tc>
          <w:tcPr>
            <w:tcW w:w="960" w:type="dxa"/>
            <w:vAlign w:val="bottom"/>
          </w:tcPr>
          <w:p>
            <w:pPr>
              <w:spacing w:after="0"/>
              <w:rPr>
                <w:sz w:val="19"/>
                <w:szCs w:val="19"/>
                <w:color w:val="auto"/>
              </w:rPr>
            </w:pPr>
          </w:p>
        </w:tc>
        <w:tc>
          <w:tcPr>
            <w:tcW w:w="600" w:type="dxa"/>
            <w:vAlign w:val="bottom"/>
          </w:tcPr>
          <w:p>
            <w:pPr>
              <w:jc w:val="right"/>
              <w:ind w:right="54"/>
              <w:spacing w:after="0"/>
              <w:rPr>
                <w:sz w:val="20"/>
                <w:szCs w:val="20"/>
                <w:color w:val="auto"/>
              </w:rPr>
            </w:pPr>
            <w:r>
              <w:rPr>
                <w:rFonts w:ascii="Arial" w:cs="Arial" w:eastAsia="Arial" w:hAnsi="Arial"/>
                <w:sz w:val="17"/>
                <w:szCs w:val="17"/>
                <w:b w:val="1"/>
                <w:bCs w:val="1"/>
                <w:color w:val="auto"/>
              </w:rPr>
              <w:t>24.7</w:t>
            </w:r>
          </w:p>
        </w:tc>
        <w:tc>
          <w:tcPr>
            <w:tcW w:w="44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Arial" w:cs="Arial" w:eastAsia="Arial" w:hAnsi="Arial"/>
                <w:sz w:val="17"/>
                <w:szCs w:val="17"/>
                <w:color w:val="auto"/>
              </w:rPr>
              <w:t>33.1</w:t>
            </w:r>
          </w:p>
        </w:tc>
        <w:tc>
          <w:tcPr>
            <w:tcW w:w="36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b w:val="1"/>
                <w:bCs w:val="1"/>
                <w:color w:val="auto"/>
              </w:rPr>
              <w:t>(5.3)</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Net losses on foreign currency exchange contracts not</w:t>
            </w:r>
          </w:p>
        </w:tc>
        <w:tc>
          <w:tcPr>
            <w:tcW w:w="9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201.0</w:t>
            </w: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177.8</w:t>
            </w: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hedging instruments</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129.6</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280.7</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ind w:right="763"/>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228.9</w:t>
            </w:r>
          </w:p>
        </w:tc>
        <w:tc>
          <w:tcPr>
            <w:tcW w:w="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166.8</w:t>
            </w: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182.8</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During the three and nine months ended September 30, 2023 and 2022, the amortization of losses related to the portion of our risk management hedging instruments, fair value hedges, and cash flow hedges that was excluded from the assessment of effectiveness was not material.</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The Effect of Risk-Management Instruments on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effective portion of risk-management instruments that was recognized in other comprehensive income (loss)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hedges: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0"/>
        </w:trPr>
        <w:tc>
          <w:tcPr>
            <w:tcW w:w="4820" w:type="dxa"/>
            <w:vAlign w:val="bottom"/>
          </w:tcPr>
          <w:p>
            <w:pPr>
              <w:ind w:left="180"/>
              <w:spacing w:after="0"/>
              <w:rPr>
                <w:sz w:val="20"/>
                <w:szCs w:val="20"/>
                <w:color w:val="auto"/>
              </w:rPr>
            </w:pPr>
            <w:r>
              <w:rPr>
                <w:rFonts w:ascii="Arial" w:cs="Arial" w:eastAsia="Arial" w:hAnsi="Arial"/>
                <w:sz w:val="17"/>
                <w:szCs w:val="17"/>
                <w:color w:val="auto"/>
              </w:rPr>
              <w:t>Foreign currency-denominated notes</w:t>
            </w:r>
          </w:p>
        </w:tc>
        <w:tc>
          <w:tcPr>
            <w:tcW w:w="960" w:type="dxa"/>
            <w:vAlign w:val="bottom"/>
          </w:tcPr>
          <w:p>
            <w:pPr>
              <w:jc w:val="right"/>
              <w:ind w:right="765"/>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183.5</w:t>
            </w:r>
          </w:p>
        </w:tc>
        <w:tc>
          <w:tcPr>
            <w:tcW w:w="4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435.1</w:t>
            </w:r>
          </w:p>
        </w:tc>
        <w:tc>
          <w:tcPr>
            <w:tcW w:w="3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b w:val="1"/>
                <w:bCs w:val="1"/>
                <w:color w:val="auto"/>
              </w:rPr>
              <w:t>62.3</w:t>
            </w:r>
          </w:p>
        </w:tc>
        <w:tc>
          <w:tcPr>
            <w:tcW w:w="4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822.8</w:t>
            </w:r>
          </w:p>
        </w:tc>
      </w:tr>
      <w:tr>
        <w:trPr>
          <w:trHeight w:val="220"/>
        </w:trPr>
        <w:tc>
          <w:tcPr>
            <w:tcW w:w="4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Cross-currency interest rate swaps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28.6</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92.1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9.0</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r>
      <w:tr>
        <w:trPr>
          <w:trHeight w:val="220"/>
        </w:trPr>
        <w:tc>
          <w:tcPr>
            <w:tcW w:w="4820" w:type="dxa"/>
            <w:vAlign w:val="bottom"/>
          </w:tcPr>
          <w:p>
            <w:pPr>
              <w:ind w:left="180"/>
              <w:spacing w:after="0"/>
              <w:rPr>
                <w:sz w:val="20"/>
                <w:szCs w:val="20"/>
                <w:color w:val="auto"/>
              </w:rPr>
            </w:pPr>
            <w:r>
              <w:rPr>
                <w:rFonts w:ascii="Arial" w:cs="Arial" w:eastAsia="Arial" w:hAnsi="Arial"/>
                <w:sz w:val="17"/>
                <w:szCs w:val="17"/>
                <w:color w:val="auto"/>
              </w:rPr>
              <w:t>Foreign currency forward contracts</w:t>
            </w:r>
          </w:p>
        </w:tc>
        <w:tc>
          <w:tcPr>
            <w:tcW w:w="96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217.7</w:t>
            </w: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107.8</w:t>
            </w: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b w:val="1"/>
                <w:bCs w:val="1"/>
                <w:color w:val="auto"/>
              </w:rPr>
              <w:t>199.3</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121.4</w:t>
            </w: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hedges: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4820" w:type="dxa"/>
            <w:vAlign w:val="bottom"/>
          </w:tcPr>
          <w:p>
            <w:pPr>
              <w:ind w:left="180"/>
              <w:spacing w:after="0"/>
              <w:rPr>
                <w:sz w:val="20"/>
                <w:szCs w:val="20"/>
                <w:color w:val="auto"/>
              </w:rPr>
            </w:pPr>
            <w:r>
              <w:rPr>
                <w:rFonts w:ascii="Arial" w:cs="Arial" w:eastAsia="Arial" w:hAnsi="Arial"/>
                <w:sz w:val="17"/>
                <w:szCs w:val="17"/>
                <w:color w:val="auto"/>
              </w:rPr>
              <w:t>Forward-starting interest rate swaps</w:t>
            </w:r>
          </w:p>
        </w:tc>
        <w:tc>
          <w:tcPr>
            <w:tcW w:w="96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84.3</w:t>
            </w: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57.5</w:t>
            </w: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b w:val="1"/>
                <w:bCs w:val="1"/>
                <w:color w:val="auto"/>
              </w:rPr>
              <w:t>141.4</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337.7</w:t>
            </w:r>
          </w:p>
        </w:tc>
      </w:tr>
      <w:tr>
        <w:trPr>
          <w:trHeight w:val="220"/>
        </w:trPr>
        <w:tc>
          <w:tcPr>
            <w:tcW w:w="4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Cross-currency interest rate swaps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16.4</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19.9</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30.5</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r>
    </w:tbl>
    <w:p>
      <w:pPr>
        <w:spacing w:after="0" w:line="16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During the next 12 months, we expect to reclassify $13.1 million of pretax net losses on cash flow hedges from accumulated other comprehensive loss to other–net, (income) expense. During the three and nine months ended September 30, 2023 and 2022, the amounts excluded from the assessment of hedge effectiveness recognized in other comprehensive income (loss)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u w:val="single" w:color="auto"/>
          <w:color w:val="auto"/>
        </w:rPr>
        <w:t>Fair Value of Risk-Management Instruments</w:t>
      </w:r>
    </w:p>
    <w:p>
      <w:pPr>
        <w:spacing w:after="0" w:line="121"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color w:val="auto"/>
        </w:rPr>
        <w:t>The following table summarizes certain fair value information at September 30, 2023 and December 31, 2022 for risk management assets and liabilities measured at fair value on a recurring basis: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5"/>
          </w:tcPr>
          <w:p>
            <w:pPr>
              <w:jc w:val="center"/>
              <w:ind w:right="45"/>
              <w:spacing w:after="0"/>
              <w:rPr>
                <w:sz w:val="20"/>
                <w:szCs w:val="20"/>
                <w:color w:val="auto"/>
              </w:rPr>
            </w:pPr>
            <w:r>
              <w:rPr>
                <w:rFonts w:ascii="Arial" w:cs="Arial" w:eastAsia="Arial" w:hAnsi="Arial"/>
                <w:sz w:val="14"/>
                <w:szCs w:val="14"/>
                <w:b w:val="1"/>
                <w:bCs w:val="1"/>
                <w:color w:val="auto"/>
                <w:w w:val="98"/>
              </w:rPr>
              <w:t>Fair Value Measurements Using</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8"/>
              </w:rPr>
              <w:t>Quoted Prices in</w:t>
            </w:r>
          </w:p>
        </w:tc>
        <w:tc>
          <w:tcPr>
            <w:tcW w:w="260" w:type="dxa"/>
            <w:vAlign w:val="bottom"/>
          </w:tcPr>
          <w:p>
            <w:pPr>
              <w:spacing w:after="0"/>
              <w:rPr>
                <w:sz w:val="11"/>
                <w:szCs w:val="11"/>
                <w:color w:val="auto"/>
              </w:rPr>
            </w:pPr>
          </w:p>
        </w:tc>
        <w:tc>
          <w:tcPr>
            <w:tcW w:w="1160" w:type="dxa"/>
            <w:vAlign w:val="bottom"/>
          </w:tcPr>
          <w:p>
            <w:pPr>
              <w:jc w:val="center"/>
              <w:ind w:right="184"/>
              <w:spacing w:after="0" w:line="137" w:lineRule="exact"/>
              <w:rPr>
                <w:sz w:val="20"/>
                <w:szCs w:val="20"/>
                <w:color w:val="auto"/>
              </w:rPr>
            </w:pPr>
            <w:r>
              <w:rPr>
                <w:rFonts w:ascii="Arial" w:cs="Arial" w:eastAsia="Arial" w:hAnsi="Arial"/>
                <w:sz w:val="14"/>
                <w:szCs w:val="14"/>
                <w:b w:val="1"/>
                <w:bCs w:val="1"/>
                <w:color w:val="auto"/>
                <w:w w:val="97"/>
              </w:rPr>
              <w:t>Significant</w:t>
            </w:r>
          </w:p>
        </w:tc>
        <w:tc>
          <w:tcPr>
            <w:tcW w:w="200" w:type="dxa"/>
            <w:vAlign w:val="bottom"/>
          </w:tcPr>
          <w:p>
            <w:pPr>
              <w:spacing w:after="0"/>
              <w:rPr>
                <w:sz w:val="11"/>
                <w:szCs w:val="11"/>
                <w:color w:val="auto"/>
              </w:rPr>
            </w:pPr>
          </w:p>
        </w:tc>
        <w:tc>
          <w:tcPr>
            <w:tcW w:w="1540" w:type="dxa"/>
            <w:vAlign w:val="bottom"/>
            <w:gridSpan w:val="2"/>
          </w:tcPr>
          <w:p>
            <w:pPr>
              <w:jc w:val="center"/>
              <w:ind w:right="540"/>
              <w:spacing w:after="0" w:line="137" w:lineRule="exact"/>
              <w:rPr>
                <w:sz w:val="20"/>
                <w:szCs w:val="20"/>
                <w:color w:val="auto"/>
              </w:rPr>
            </w:pPr>
            <w:r>
              <w:rPr>
                <w:rFonts w:ascii="Arial" w:cs="Arial" w:eastAsia="Arial" w:hAnsi="Arial"/>
                <w:sz w:val="14"/>
                <w:szCs w:val="14"/>
                <w:b w:val="1"/>
                <w:bCs w:val="1"/>
                <w:color w:val="auto"/>
              </w:rPr>
              <w:t>Significant</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7"/>
              </w:rPr>
              <w:t>Active Markets for</w:t>
            </w:r>
          </w:p>
        </w:tc>
        <w:tc>
          <w:tcPr>
            <w:tcW w:w="14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Other Observable</w:t>
            </w:r>
          </w:p>
        </w:tc>
        <w:tc>
          <w:tcPr>
            <w:tcW w:w="200" w:type="dxa"/>
            <w:vAlign w:val="bottom"/>
          </w:tcPr>
          <w:p>
            <w:pPr>
              <w:spacing w:after="0"/>
              <w:rPr>
                <w:sz w:val="12"/>
                <w:szCs w:val="12"/>
                <w:color w:val="auto"/>
              </w:rPr>
            </w:pPr>
          </w:p>
        </w:tc>
        <w:tc>
          <w:tcPr>
            <w:tcW w:w="1540" w:type="dxa"/>
            <w:vAlign w:val="bottom"/>
            <w:gridSpan w:val="2"/>
          </w:tcPr>
          <w:p>
            <w:pPr>
              <w:jc w:val="center"/>
              <w:ind w:right="540"/>
              <w:spacing w:after="0" w:line="141" w:lineRule="exact"/>
              <w:rPr>
                <w:sz w:val="20"/>
                <w:szCs w:val="20"/>
                <w:color w:val="auto"/>
              </w:rPr>
            </w:pPr>
            <w:r>
              <w:rPr>
                <w:rFonts w:ascii="Arial" w:cs="Arial" w:eastAsia="Arial" w:hAnsi="Arial"/>
                <w:sz w:val="14"/>
                <w:szCs w:val="14"/>
                <w:b w:val="1"/>
                <w:bCs w:val="1"/>
                <w:color w:val="auto"/>
                <w:w w:val="99"/>
              </w:rPr>
              <w:t>Unobservable</w:t>
            </w:r>
          </w:p>
        </w:tc>
        <w:tc>
          <w:tcPr>
            <w:tcW w:w="100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99"/>
              </w:rPr>
              <w:t>Identical Assets</w:t>
            </w:r>
          </w:p>
        </w:tc>
        <w:tc>
          <w:tcPr>
            <w:tcW w:w="260" w:type="dxa"/>
            <w:vAlign w:val="bottom"/>
          </w:tcPr>
          <w:p>
            <w:pPr>
              <w:spacing w:after="0"/>
              <w:rPr>
                <w:sz w:val="12"/>
                <w:szCs w:val="12"/>
                <w:color w:val="auto"/>
              </w:rPr>
            </w:pPr>
          </w:p>
        </w:tc>
        <w:tc>
          <w:tcPr>
            <w:tcW w:w="1160" w:type="dxa"/>
            <w:vAlign w:val="bottom"/>
          </w:tcPr>
          <w:p>
            <w:pPr>
              <w:jc w:val="center"/>
              <w:ind w:right="184"/>
              <w:spacing w:after="0" w:line="142"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54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5"/>
              </w:rPr>
              <w:t>Inputs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8"/>
              </w:rPr>
              <w:t>(Level 1)</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8"/>
              </w:rPr>
              <w:t>(Level 3)</w:t>
            </w: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(5.6)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7"/>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(5.6)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tcPr>
          <w:p>
            <w:pPr>
              <w:ind w:left="920"/>
              <w:spacing w:after="0"/>
              <w:rPr>
                <w:sz w:val="20"/>
                <w:szCs w:val="20"/>
                <w:color w:val="auto"/>
              </w:rPr>
            </w:pPr>
            <w:r>
              <w:rPr>
                <w:rFonts w:ascii="Arial" w:cs="Arial" w:eastAsia="Arial" w:hAnsi="Arial"/>
                <w:sz w:val="16"/>
                <w:szCs w:val="16"/>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(157.7)</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(157.7)</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(157.7)</w:t>
            </w:r>
          </w:p>
        </w:tc>
        <w:tc>
          <w:tcPr>
            <w:tcW w:w="0" w:type="dxa"/>
            <w:vAlign w:val="bottom"/>
          </w:tcPr>
          <w:p>
            <w:pPr>
              <w:spacing w:after="0"/>
              <w:rPr>
                <w:sz w:val="1"/>
                <w:szCs w:val="1"/>
                <w:color w:val="auto"/>
              </w:rPr>
            </w:pPr>
          </w:p>
        </w:tc>
      </w:tr>
      <w:tr>
        <w:trPr>
          <w:trHeight w:val="204"/>
        </w:trPr>
        <w:tc>
          <w:tcPr>
            <w:tcW w:w="4240" w:type="dxa"/>
            <w:vAlign w:val="bottom"/>
          </w:tcPr>
          <w:p>
            <w:pPr>
              <w:ind w:left="200"/>
              <w:spacing w:after="0"/>
              <w:rPr>
                <w:sz w:val="20"/>
                <w:szCs w:val="20"/>
                <w:color w:val="auto"/>
              </w:rPr>
            </w:pPr>
            <w:r>
              <w:rPr>
                <w:rFonts w:ascii="Arial" w:cs="Arial" w:eastAsia="Arial" w:hAnsi="Arial"/>
                <w:sz w:val="16"/>
                <w:szCs w:val="16"/>
                <w:color w:val="auto"/>
              </w:rPr>
              <w:t>Interest rate contracts designated as cash flow hedges: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6"/>
                <w:szCs w:val="16"/>
                <w:b w:val="1"/>
                <w:bCs w:val="1"/>
                <w:color w:val="auto"/>
              </w:rPr>
              <w:t>346.2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346.2</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346.2</w:t>
            </w:r>
          </w:p>
        </w:tc>
        <w:tc>
          <w:tcPr>
            <w:tcW w:w="0" w:type="dxa"/>
            <w:vAlign w:val="bottom"/>
          </w:tcPr>
          <w:p>
            <w:pPr>
              <w:spacing w:after="0"/>
              <w:rPr>
                <w:sz w:val="1"/>
                <w:szCs w:val="1"/>
                <w:color w:val="auto"/>
              </w:rPr>
            </w:pPr>
          </w:p>
        </w:tc>
      </w:tr>
      <w:tr>
        <w:trPr>
          <w:trHeight w:val="160"/>
        </w:trPr>
        <w:tc>
          <w:tcPr>
            <w:tcW w:w="4240" w:type="dxa"/>
            <w:vAlign w:val="bottom"/>
          </w:tcPr>
          <w:p>
            <w:pPr>
              <w:ind w:left="200"/>
              <w:spacing w:after="0" w:line="160" w:lineRule="exact"/>
              <w:rPr>
                <w:sz w:val="20"/>
                <w:szCs w:val="20"/>
                <w:color w:val="auto"/>
              </w:rPr>
            </w:pPr>
            <w:r>
              <w:rPr>
                <w:rFonts w:ascii="Arial" w:cs="Arial" w:eastAsia="Arial" w:hAnsi="Arial"/>
                <w:sz w:val="16"/>
                <w:szCs w:val="16"/>
                <w:color w:val="auto"/>
              </w:rPr>
              <w:t>Cross-currency interest rate contracts designated as net</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40" w:type="dxa"/>
            <w:vAlign w:val="bottom"/>
          </w:tcPr>
          <w:p>
            <w:pPr>
              <w:ind w:left="200"/>
              <w:spacing w:after="0"/>
              <w:rPr>
                <w:sz w:val="20"/>
                <w:szCs w:val="20"/>
                <w:color w:val="auto"/>
              </w:rPr>
            </w:pPr>
            <w:r>
              <w:rPr>
                <w:rFonts w:ascii="Arial" w:cs="Arial" w:eastAsia="Arial" w:hAnsi="Arial"/>
                <w:sz w:val="16"/>
                <w:szCs w:val="16"/>
                <w:color w:val="auto"/>
              </w:rPr>
              <w:t>investment hedges: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6"/>
                <w:szCs w:val="16"/>
                <w:b w:val="1"/>
                <w:bCs w:val="1"/>
                <w:color w:val="auto"/>
              </w:rPr>
              <w:t>71.3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71.3</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71.3</w:t>
            </w:r>
          </w:p>
        </w:tc>
        <w:tc>
          <w:tcPr>
            <w:tcW w:w="0" w:type="dxa"/>
            <w:vAlign w:val="bottom"/>
          </w:tcPr>
          <w:p>
            <w:pPr>
              <w:spacing w:after="0"/>
              <w:rPr>
                <w:sz w:val="1"/>
                <w:szCs w:val="1"/>
                <w:color w:val="auto"/>
              </w:rPr>
            </w:pPr>
          </w:p>
        </w:tc>
      </w:tr>
      <w:tr>
        <w:trPr>
          <w:trHeight w:val="160"/>
        </w:trPr>
        <w:tc>
          <w:tcPr>
            <w:tcW w:w="4240" w:type="dxa"/>
            <w:vAlign w:val="bottom"/>
          </w:tcPr>
          <w:p>
            <w:pPr>
              <w:ind w:left="200"/>
              <w:spacing w:after="0" w:line="160" w:lineRule="exact"/>
              <w:rPr>
                <w:sz w:val="20"/>
                <w:szCs w:val="20"/>
                <w:color w:val="auto"/>
              </w:rPr>
            </w:pPr>
            <w:r>
              <w:rPr>
                <w:rFonts w:ascii="Arial" w:cs="Arial" w:eastAsia="Arial" w:hAnsi="Arial"/>
                <w:sz w:val="16"/>
                <w:szCs w:val="16"/>
                <w:color w:val="auto"/>
                <w:w w:val="98"/>
              </w:rPr>
              <w:t>Cross-currency interest rate contracts designated as cash</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40" w:type="dxa"/>
            <w:vAlign w:val="bottom"/>
          </w:tcPr>
          <w:p>
            <w:pPr>
              <w:ind w:left="200"/>
              <w:spacing w:after="0"/>
              <w:rPr>
                <w:sz w:val="20"/>
                <w:szCs w:val="20"/>
                <w:color w:val="auto"/>
              </w:rPr>
            </w:pPr>
            <w:r>
              <w:rPr>
                <w:rFonts w:ascii="Arial" w:cs="Arial" w:eastAsia="Arial" w:hAnsi="Arial"/>
                <w:sz w:val="16"/>
                <w:szCs w:val="16"/>
                <w:color w:val="auto"/>
              </w:rPr>
              <w:t>flow hedges: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6"/>
                <w:szCs w:val="16"/>
                <w:b w:val="1"/>
                <w:bCs w:val="1"/>
                <w:color w:val="auto"/>
              </w:rPr>
              <w:t>58.3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58.3</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58.3</w:t>
            </w:r>
          </w:p>
        </w:tc>
        <w:tc>
          <w:tcPr>
            <w:tcW w:w="0" w:type="dxa"/>
            <w:vAlign w:val="bottom"/>
          </w:tcPr>
          <w:p>
            <w:pPr>
              <w:spacing w:after="0"/>
              <w:rPr>
                <w:sz w:val="1"/>
                <w:szCs w:val="1"/>
                <w:color w:val="auto"/>
              </w:rPr>
            </w:pP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6"/>
                <w:szCs w:val="16"/>
                <w:b w:val="1"/>
                <w:bCs w:val="1"/>
                <w:color w:val="auto"/>
              </w:rPr>
              <w:t>30.7</w:t>
            </w:r>
          </w:p>
        </w:tc>
        <w:tc>
          <w:tcPr>
            <w:tcW w:w="12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30.7</w:t>
            </w:r>
          </w:p>
        </w:tc>
        <w:tc>
          <w:tcPr>
            <w:tcW w:w="200" w:type="dxa"/>
            <w:vAlign w:val="bottom"/>
          </w:tcPr>
          <w:p>
            <w:pPr>
              <w:spacing w:after="0"/>
              <w:rPr>
                <w:sz w:val="17"/>
                <w:szCs w:val="17"/>
                <w:color w:val="auto"/>
              </w:rPr>
            </w:pPr>
          </w:p>
        </w:tc>
        <w:tc>
          <w:tcPr>
            <w:tcW w:w="1540" w:type="dxa"/>
            <w:vAlign w:val="bottom"/>
            <w:gridSpan w:val="2"/>
          </w:tcPr>
          <w:p>
            <w:pPr>
              <w:ind w:left="9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30.7</w:t>
            </w:r>
          </w:p>
        </w:tc>
        <w:tc>
          <w:tcPr>
            <w:tcW w:w="0" w:type="dxa"/>
            <w:vAlign w:val="bottom"/>
          </w:tcPr>
          <w:p>
            <w:pPr>
              <w:spacing w:after="0"/>
              <w:rPr>
                <w:sz w:val="1"/>
                <w:szCs w:val="1"/>
                <w:color w:val="auto"/>
              </w:rPr>
            </w:pPr>
          </w:p>
        </w:tc>
      </w:tr>
      <w:tr>
        <w:trPr>
          <w:trHeight w:val="160"/>
        </w:trPr>
        <w:tc>
          <w:tcPr>
            <w:tcW w:w="4240" w:type="dxa"/>
            <w:vAlign w:val="bottom"/>
            <w:shd w:val="clear" w:color="auto" w:fill="CCEEFF"/>
          </w:tcPr>
          <w:p>
            <w:pPr>
              <w:ind w:left="200"/>
              <w:spacing w:after="0" w:line="160" w:lineRule="exact"/>
              <w:rPr>
                <w:sz w:val="20"/>
                <w:szCs w:val="20"/>
                <w:color w:val="auto"/>
              </w:rPr>
            </w:pPr>
            <w:r>
              <w:rPr>
                <w:rFonts w:ascii="Arial" w:cs="Arial" w:eastAsia="Arial" w:hAnsi="Arial"/>
                <w:sz w:val="16"/>
                <w:szCs w:val="16"/>
                <w:color w:val="auto"/>
                <w:w w:val="98"/>
              </w:rPr>
              <w:t>Foreign exchange contracts designated as net investment</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hedges: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6"/>
                <w:szCs w:val="16"/>
                <w:b w:val="1"/>
                <w:bCs w:val="1"/>
                <w:color w:val="auto"/>
              </w:rPr>
              <w:t>106.0</w:t>
            </w:r>
          </w:p>
        </w:tc>
        <w:tc>
          <w:tcPr>
            <w:tcW w:w="12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106.0</w:t>
            </w:r>
          </w:p>
        </w:tc>
        <w:tc>
          <w:tcPr>
            <w:tcW w:w="200" w:type="dxa"/>
            <w:vAlign w:val="bottom"/>
          </w:tcPr>
          <w:p>
            <w:pPr>
              <w:spacing w:after="0"/>
              <w:rPr>
                <w:sz w:val="17"/>
                <w:szCs w:val="17"/>
                <w:color w:val="auto"/>
              </w:rPr>
            </w:pPr>
          </w:p>
        </w:tc>
        <w:tc>
          <w:tcPr>
            <w:tcW w:w="1540" w:type="dxa"/>
            <w:vAlign w:val="bottom"/>
            <w:gridSpan w:val="2"/>
          </w:tcPr>
          <w:p>
            <w:pPr>
              <w:ind w:left="9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106.0</w:t>
            </w:r>
          </w:p>
        </w:tc>
        <w:tc>
          <w:tcPr>
            <w:tcW w:w="0" w:type="dxa"/>
            <w:vAlign w:val="bottom"/>
          </w:tcPr>
          <w:p>
            <w:pPr>
              <w:spacing w:after="0"/>
              <w:rPr>
                <w:sz w:val="1"/>
                <w:szCs w:val="1"/>
                <w:color w:val="auto"/>
              </w:rPr>
            </w:pPr>
          </w:p>
        </w:tc>
      </w:tr>
      <w:tr>
        <w:trPr>
          <w:trHeight w:val="160"/>
        </w:trPr>
        <w:tc>
          <w:tcPr>
            <w:tcW w:w="4240" w:type="dxa"/>
            <w:vAlign w:val="bottom"/>
            <w:shd w:val="clear" w:color="auto" w:fill="CCEEFF"/>
          </w:tcPr>
          <w:p>
            <w:pPr>
              <w:ind w:left="200"/>
              <w:spacing w:after="0" w:line="160"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instruments: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6"/>
                <w:szCs w:val="16"/>
                <w:b w:val="1"/>
                <w:bCs w:val="1"/>
                <w:color w:val="auto"/>
              </w:rPr>
              <w:t>32.9</w:t>
            </w:r>
          </w:p>
        </w:tc>
        <w:tc>
          <w:tcPr>
            <w:tcW w:w="12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32.9</w:t>
            </w:r>
          </w:p>
        </w:tc>
        <w:tc>
          <w:tcPr>
            <w:tcW w:w="200" w:type="dxa"/>
            <w:vAlign w:val="bottom"/>
          </w:tcPr>
          <w:p>
            <w:pPr>
              <w:spacing w:after="0"/>
              <w:rPr>
                <w:sz w:val="17"/>
                <w:szCs w:val="17"/>
                <w:color w:val="auto"/>
              </w:rPr>
            </w:pPr>
          </w:p>
        </w:tc>
        <w:tc>
          <w:tcPr>
            <w:tcW w:w="1540" w:type="dxa"/>
            <w:vAlign w:val="bottom"/>
            <w:gridSpan w:val="2"/>
          </w:tcPr>
          <w:p>
            <w:pPr>
              <w:ind w:left="9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32.9</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(100.5)</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(100.5)</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(100.5)</w:t>
            </w:r>
          </w:p>
        </w:tc>
        <w:tc>
          <w:tcPr>
            <w:tcW w:w="0" w:type="dxa"/>
            <w:vAlign w:val="bottom"/>
          </w:tcPr>
          <w:p>
            <w:pPr>
              <w:spacing w:after="0"/>
              <w:rPr>
                <w:sz w:val="1"/>
                <w:szCs w:val="1"/>
                <w:color w:val="auto"/>
              </w:rPr>
            </w:pPr>
          </w:p>
        </w:tc>
      </w:tr>
      <w:tr>
        <w:trPr>
          <w:trHeight w:val="204"/>
        </w:trPr>
        <w:tc>
          <w:tcPr>
            <w:tcW w:w="4240" w:type="dxa"/>
            <w:vAlign w:val="bottom"/>
          </w:tcPr>
          <w:p>
            <w:pPr>
              <w:ind w:left="20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(39.0)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rPr>
              <w:t>(39.0)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(63.9)</w:t>
            </w:r>
          </w:p>
        </w:tc>
        <w:tc>
          <w:tcPr>
            <w:tcW w:w="12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60" w:type="dxa"/>
            <w:vAlign w:val="bottom"/>
          </w:tcPr>
          <w:p>
            <w:pPr>
              <w:ind w:left="720"/>
              <w:spacing w:after="0"/>
              <w:rPr>
                <w:sz w:val="20"/>
                <w:szCs w:val="20"/>
                <w:color w:val="auto"/>
              </w:rPr>
            </w:pPr>
            <w:r>
              <w:rPr>
                <w:rFonts w:ascii="Arial" w:cs="Arial" w:eastAsia="Arial" w:hAnsi="Arial"/>
                <w:sz w:val="16"/>
                <w:szCs w:val="16"/>
                <w:b w:val="1"/>
                <w:bCs w:val="1"/>
                <w:color w:val="auto"/>
              </w:rPr>
              <w:t>(63.9)</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961" w:right="4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1"/>
        </w:trPr>
        <w:tc>
          <w:tcPr>
            <w:tcW w:w="4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5"/>
          </w:tcPr>
          <w:p>
            <w:pPr>
              <w:jc w:val="center"/>
              <w:ind w:right="44"/>
              <w:spacing w:after="0"/>
              <w:rPr>
                <w:sz w:val="20"/>
                <w:szCs w:val="20"/>
                <w:color w:val="auto"/>
              </w:rPr>
            </w:pPr>
            <w:r>
              <w:rPr>
                <w:rFonts w:ascii="Arial" w:cs="Arial" w:eastAsia="Arial" w:hAnsi="Arial"/>
                <w:sz w:val="14"/>
                <w:szCs w:val="14"/>
                <w:b w:val="1"/>
                <w:bCs w:val="1"/>
                <w:color w:val="auto"/>
                <w:w w:val="98"/>
              </w:rPr>
              <w:t>Fair Value Measurements Using</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8"/>
              </w:rPr>
              <w:t>Quoted Prices in</w:t>
            </w:r>
          </w:p>
        </w:tc>
        <w:tc>
          <w:tcPr>
            <w:tcW w:w="260" w:type="dxa"/>
            <w:vAlign w:val="bottom"/>
          </w:tcPr>
          <w:p>
            <w:pPr>
              <w:spacing w:after="0"/>
              <w:rPr>
                <w:sz w:val="11"/>
                <w:szCs w:val="11"/>
                <w:color w:val="auto"/>
              </w:rPr>
            </w:pPr>
          </w:p>
        </w:tc>
        <w:tc>
          <w:tcPr>
            <w:tcW w:w="1160" w:type="dxa"/>
            <w:vAlign w:val="bottom"/>
          </w:tcPr>
          <w:p>
            <w:pPr>
              <w:jc w:val="center"/>
              <w:ind w:right="184"/>
              <w:spacing w:after="0" w:line="137" w:lineRule="exact"/>
              <w:rPr>
                <w:sz w:val="20"/>
                <w:szCs w:val="20"/>
                <w:color w:val="auto"/>
              </w:rPr>
            </w:pPr>
            <w:r>
              <w:rPr>
                <w:rFonts w:ascii="Arial" w:cs="Arial" w:eastAsia="Arial" w:hAnsi="Arial"/>
                <w:sz w:val="14"/>
                <w:szCs w:val="14"/>
                <w:b w:val="1"/>
                <w:bCs w:val="1"/>
                <w:color w:val="auto"/>
                <w:w w:val="97"/>
              </w:rPr>
              <w:t>Significant</w:t>
            </w:r>
          </w:p>
        </w:tc>
        <w:tc>
          <w:tcPr>
            <w:tcW w:w="200" w:type="dxa"/>
            <w:vAlign w:val="bottom"/>
          </w:tcPr>
          <w:p>
            <w:pPr>
              <w:spacing w:after="0"/>
              <w:rPr>
                <w:sz w:val="11"/>
                <w:szCs w:val="11"/>
                <w:color w:val="auto"/>
              </w:rPr>
            </w:pPr>
          </w:p>
        </w:tc>
        <w:tc>
          <w:tcPr>
            <w:tcW w:w="1540" w:type="dxa"/>
            <w:vAlign w:val="bottom"/>
            <w:gridSpan w:val="2"/>
          </w:tcPr>
          <w:p>
            <w:pPr>
              <w:jc w:val="center"/>
              <w:ind w:right="540"/>
              <w:spacing w:after="0" w:line="137" w:lineRule="exact"/>
              <w:rPr>
                <w:sz w:val="20"/>
                <w:szCs w:val="20"/>
                <w:color w:val="auto"/>
              </w:rPr>
            </w:pPr>
            <w:r>
              <w:rPr>
                <w:rFonts w:ascii="Arial" w:cs="Arial" w:eastAsia="Arial" w:hAnsi="Arial"/>
                <w:sz w:val="14"/>
                <w:szCs w:val="14"/>
                <w:b w:val="1"/>
                <w:bCs w:val="1"/>
                <w:color w:val="auto"/>
              </w:rPr>
              <w:t>Significant</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7"/>
              </w:rPr>
              <w:t>Active Markets for</w:t>
            </w:r>
          </w:p>
        </w:tc>
        <w:tc>
          <w:tcPr>
            <w:tcW w:w="14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Other Observable</w:t>
            </w:r>
          </w:p>
        </w:tc>
        <w:tc>
          <w:tcPr>
            <w:tcW w:w="200" w:type="dxa"/>
            <w:vAlign w:val="bottom"/>
          </w:tcPr>
          <w:p>
            <w:pPr>
              <w:spacing w:after="0"/>
              <w:rPr>
                <w:sz w:val="12"/>
                <w:szCs w:val="12"/>
                <w:color w:val="auto"/>
              </w:rPr>
            </w:pPr>
          </w:p>
        </w:tc>
        <w:tc>
          <w:tcPr>
            <w:tcW w:w="1540" w:type="dxa"/>
            <w:vAlign w:val="bottom"/>
            <w:gridSpan w:val="2"/>
          </w:tcPr>
          <w:p>
            <w:pPr>
              <w:jc w:val="center"/>
              <w:ind w:right="540"/>
              <w:spacing w:after="0" w:line="141" w:lineRule="exact"/>
              <w:rPr>
                <w:sz w:val="20"/>
                <w:szCs w:val="20"/>
                <w:color w:val="auto"/>
              </w:rPr>
            </w:pPr>
            <w:r>
              <w:rPr>
                <w:rFonts w:ascii="Arial" w:cs="Arial" w:eastAsia="Arial" w:hAnsi="Arial"/>
                <w:sz w:val="14"/>
                <w:szCs w:val="14"/>
                <w:b w:val="1"/>
                <w:bCs w:val="1"/>
                <w:color w:val="auto"/>
                <w:w w:val="99"/>
              </w:rPr>
              <w:t>Unobservable</w:t>
            </w:r>
          </w:p>
        </w:tc>
        <w:tc>
          <w:tcPr>
            <w:tcW w:w="100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99"/>
              </w:rPr>
              <w:t>Identical Assets</w:t>
            </w:r>
          </w:p>
        </w:tc>
        <w:tc>
          <w:tcPr>
            <w:tcW w:w="260" w:type="dxa"/>
            <w:vAlign w:val="bottom"/>
          </w:tcPr>
          <w:p>
            <w:pPr>
              <w:spacing w:after="0"/>
              <w:rPr>
                <w:sz w:val="12"/>
                <w:szCs w:val="12"/>
                <w:color w:val="auto"/>
              </w:rPr>
            </w:pPr>
          </w:p>
        </w:tc>
        <w:tc>
          <w:tcPr>
            <w:tcW w:w="1160" w:type="dxa"/>
            <w:vAlign w:val="bottom"/>
          </w:tcPr>
          <w:p>
            <w:pPr>
              <w:jc w:val="center"/>
              <w:ind w:right="184"/>
              <w:spacing w:after="0" w:line="142"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54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5"/>
              </w:rPr>
              <w:t>Inputs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8"/>
              </w:rPr>
              <w:t>(Level 1)</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8"/>
              </w:rPr>
              <w:t>(Level 3)</w:t>
            </w: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rate contracts designated as fair value hedges: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(134.3)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7"/>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(134.3)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92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rate contracts designated as cash flow hedges: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28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17"/>
                <w:szCs w:val="17"/>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162.9</w:t>
            </w:r>
          </w:p>
        </w:tc>
        <w:tc>
          <w:tcPr>
            <w:tcW w:w="200" w:type="dxa"/>
            <w:vAlign w:val="bottom"/>
          </w:tcPr>
          <w:p>
            <w:pPr>
              <w:spacing w:after="0"/>
              <w:rPr>
                <w:sz w:val="17"/>
                <w:szCs w:val="17"/>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246.0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246.0</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160"/>
        </w:trPr>
        <w:tc>
          <w:tcPr>
            <w:tcW w:w="4220" w:type="dxa"/>
            <w:vAlign w:val="bottom"/>
          </w:tcPr>
          <w:p>
            <w:pPr>
              <w:ind w:left="200"/>
              <w:spacing w:after="0" w:line="160" w:lineRule="exact"/>
              <w:rPr>
                <w:sz w:val="20"/>
                <w:szCs w:val="20"/>
                <w:color w:val="auto"/>
              </w:rPr>
            </w:pPr>
            <w:r>
              <w:rPr>
                <w:rFonts w:ascii="Arial" w:cs="Arial" w:eastAsia="Arial" w:hAnsi="Arial"/>
                <w:sz w:val="16"/>
                <w:szCs w:val="16"/>
                <w:color w:val="auto"/>
              </w:rPr>
              <w:t>Cross-currency interest rate contracts designated as net</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20" w:type="dxa"/>
            <w:vAlign w:val="bottom"/>
          </w:tcPr>
          <w:p>
            <w:pPr>
              <w:ind w:left="200"/>
              <w:spacing w:after="0"/>
              <w:rPr>
                <w:sz w:val="20"/>
                <w:szCs w:val="20"/>
                <w:color w:val="auto"/>
              </w:rPr>
            </w:pPr>
            <w:r>
              <w:rPr>
                <w:rFonts w:ascii="Arial" w:cs="Arial" w:eastAsia="Arial" w:hAnsi="Arial"/>
                <w:sz w:val="16"/>
                <w:szCs w:val="16"/>
                <w:color w:val="auto"/>
              </w:rPr>
              <w:t>investment hedges: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67.6</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160"/>
        </w:trPr>
        <w:tc>
          <w:tcPr>
            <w:tcW w:w="4220" w:type="dxa"/>
            <w:vAlign w:val="bottom"/>
          </w:tcPr>
          <w:p>
            <w:pPr>
              <w:ind w:left="200"/>
              <w:spacing w:after="0" w:line="160" w:lineRule="exact"/>
              <w:rPr>
                <w:sz w:val="20"/>
                <w:szCs w:val="20"/>
                <w:color w:val="auto"/>
              </w:rPr>
            </w:pPr>
            <w:r>
              <w:rPr>
                <w:rFonts w:ascii="Arial" w:cs="Arial" w:eastAsia="Arial" w:hAnsi="Arial"/>
                <w:sz w:val="16"/>
                <w:szCs w:val="16"/>
                <w:color w:val="auto"/>
                <w:w w:val="97"/>
              </w:rPr>
              <w:t>Cross-currency interest rate contracts designated as cash</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20" w:type="dxa"/>
            <w:vAlign w:val="bottom"/>
          </w:tcPr>
          <w:p>
            <w:pPr>
              <w:ind w:left="200"/>
              <w:spacing w:after="0"/>
              <w:rPr>
                <w:sz w:val="20"/>
                <w:szCs w:val="20"/>
                <w:color w:val="auto"/>
              </w:rPr>
            </w:pPr>
            <w:r>
              <w:rPr>
                <w:rFonts w:ascii="Arial" w:cs="Arial" w:eastAsia="Arial" w:hAnsi="Arial"/>
                <w:sz w:val="16"/>
                <w:szCs w:val="16"/>
                <w:color w:val="auto"/>
              </w:rPr>
              <w:t>flow hedges: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53.1</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60"/>
        </w:trPr>
        <w:tc>
          <w:tcPr>
            <w:tcW w:w="4220" w:type="dxa"/>
            <w:vAlign w:val="bottom"/>
          </w:tcPr>
          <w:p>
            <w:pPr>
              <w:ind w:left="200"/>
              <w:spacing w:after="0" w:line="160" w:lineRule="exact"/>
              <w:rPr>
                <w:sz w:val="20"/>
                <w:szCs w:val="20"/>
                <w:color w:val="auto"/>
              </w:rPr>
            </w:pPr>
            <w:r>
              <w:rPr>
                <w:rFonts w:ascii="Arial" w:cs="Arial" w:eastAsia="Arial" w:hAnsi="Arial"/>
                <w:sz w:val="16"/>
                <w:szCs w:val="16"/>
                <w:color w:val="auto"/>
              </w:rPr>
              <w:t>Foreign exchange contracts designated as hedging</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20" w:type="dxa"/>
            <w:vAlign w:val="bottom"/>
          </w:tcPr>
          <w:p>
            <w:pPr>
              <w:ind w:left="200"/>
              <w:spacing w:after="0"/>
              <w:rPr>
                <w:sz w:val="20"/>
                <w:szCs w:val="20"/>
                <w:color w:val="auto"/>
              </w:rPr>
            </w:pPr>
            <w:r>
              <w:rPr>
                <w:rFonts w:ascii="Arial" w:cs="Arial" w:eastAsia="Arial" w:hAnsi="Arial"/>
                <w:sz w:val="16"/>
                <w:szCs w:val="16"/>
                <w:color w:val="auto"/>
              </w:rPr>
              <w:t>instruments: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(38.3)</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60"/>
        </w:trPr>
        <w:tc>
          <w:tcPr>
            <w:tcW w:w="4220" w:type="dxa"/>
            <w:vAlign w:val="bottom"/>
          </w:tcPr>
          <w:p>
            <w:pPr>
              <w:ind w:left="200"/>
              <w:spacing w:after="0" w:line="160" w:lineRule="exact"/>
              <w:rPr>
                <w:sz w:val="20"/>
                <w:szCs w:val="20"/>
                <w:color w:val="auto"/>
              </w:rPr>
            </w:pPr>
            <w:r>
              <w:rPr>
                <w:rFonts w:ascii="Arial" w:cs="Arial" w:eastAsia="Arial" w:hAnsi="Arial"/>
                <w:sz w:val="16"/>
                <w:szCs w:val="16"/>
                <w:color w:val="auto"/>
              </w:rPr>
              <w:t>Foreign exchange contracts not designated as hedging</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20" w:type="dxa"/>
            <w:vAlign w:val="bottom"/>
          </w:tcPr>
          <w:p>
            <w:pPr>
              <w:ind w:left="200"/>
              <w:spacing w:after="0"/>
              <w:rPr>
                <w:sz w:val="20"/>
                <w:szCs w:val="20"/>
                <w:color w:val="auto"/>
              </w:rPr>
            </w:pPr>
            <w:r>
              <w:rPr>
                <w:rFonts w:ascii="Arial" w:cs="Arial" w:eastAsia="Arial" w:hAnsi="Arial"/>
                <w:sz w:val="16"/>
                <w:szCs w:val="16"/>
                <w:color w:val="auto"/>
              </w:rPr>
              <w:t>instruments: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26.6</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4"/>
        </w:trPr>
        <w:tc>
          <w:tcPr>
            <w:tcW w:w="422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(21.5)</w:t>
            </w:r>
          </w:p>
        </w:tc>
        <w:tc>
          <w:tcPr>
            <w:tcW w:w="200" w:type="dxa"/>
            <w:vAlign w:val="bottom"/>
          </w:tcPr>
          <w:p>
            <w:pPr>
              <w:spacing w:after="0"/>
              <w:rPr>
                <w:sz w:val="17"/>
                <w:szCs w:val="17"/>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Contingent consideration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7"/>
                <w:szCs w:val="17"/>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73"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color w:val="auto"/>
        </w:rPr>
        <w:t>Contingent consideration liabilities relate to our liabilities arising in connection with the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Income Taxes</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effective tax rates were 113.4 percent and 24.6 percent for the three and nine months ended September 30, 2023, respectively, primarily driven by the non-deductible acquired IPR&amp;D charges in the third quarter of 2023. The effective tax rates were 7.3 percent and 8.6 percent for the three and nine months ended September 30, 2022, respectively, reflecting the favorable tax impacts of net investment losses on equity securities and an intangible asset impairment charge.</w:t>
      </w:r>
    </w:p>
    <w:p>
      <w:pPr>
        <w:spacing w:after="0" w:line="73" w:lineRule="exact"/>
        <w:rPr>
          <w:sz w:val="20"/>
          <w:szCs w:val="20"/>
          <w:color w:val="auto"/>
        </w:rPr>
      </w:pPr>
    </w:p>
    <w:p>
      <w:pPr>
        <w:ind w:right="940"/>
        <w:spacing w:after="0" w:line="283" w:lineRule="auto"/>
        <w:rPr>
          <w:sz w:val="20"/>
          <w:szCs w:val="20"/>
          <w:color w:val="auto"/>
        </w:rPr>
      </w:pPr>
      <w:r>
        <w:rPr>
          <w:rFonts w:ascii="Arial" w:cs="Arial" w:eastAsia="Arial" w:hAnsi="Arial"/>
          <w:sz w:val="17"/>
          <w:szCs w:val="17"/>
          <w:color w:val="auto"/>
        </w:rPr>
        <w:t>At September 30, 2023 and December 31, 2022, prepaid expenses and other current assets included prepaid taxes of $4.08 billion and $2.37 billion, respectively.</w:t>
      </w:r>
    </w:p>
    <w:p>
      <w:pPr>
        <w:spacing w:after="0" w:line="5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U.S. examination of tax years 2016-2018 began in 2019 and remains ongoing. While it is reasonably possible that the Internal Revenue Service (IRS) examination of these tax years could conclude within the next 12 months, final resolution of certain matters is dependent upon several factors, including the potential for formal administrative proceedings. As a result, an estimate of the range of reasonably possible changes in unrecognized tax benefits cannot be made. The IRS commenced its examination of tax years 2019-2021 during the third quarter of 2023.</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Note 8: Retirement Benefits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Net pension and retiree health (benefit) cost included the following components: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Defined Benefit Pension Plans</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48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378"/>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r>
      <w:tr>
        <w:trPr>
          <w:trHeight w:val="200"/>
        </w:trPr>
        <w:tc>
          <w:tcPr>
            <w:tcW w:w="4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Components of net periodic cost: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0"/>
        </w:trPr>
        <w:tc>
          <w:tcPr>
            <w:tcW w:w="4820" w:type="dxa"/>
            <w:vAlign w:val="bottom"/>
          </w:tcPr>
          <w:p>
            <w:pPr>
              <w:ind w:left="220"/>
              <w:spacing w:after="0"/>
              <w:rPr>
                <w:sz w:val="20"/>
                <w:szCs w:val="20"/>
                <w:color w:val="auto"/>
              </w:rPr>
            </w:pPr>
            <w:r>
              <w:rPr>
                <w:rFonts w:ascii="Arial" w:cs="Arial" w:eastAsia="Arial" w:hAnsi="Arial"/>
                <w:sz w:val="17"/>
                <w:szCs w:val="17"/>
                <w:color w:val="auto"/>
              </w:rPr>
              <w:t>Service cost</w:t>
            </w:r>
          </w:p>
        </w:tc>
        <w:tc>
          <w:tcPr>
            <w:tcW w:w="920" w:type="dxa"/>
            <w:vAlign w:val="bottom"/>
          </w:tcPr>
          <w:p>
            <w:pPr>
              <w:jc w:val="right"/>
              <w:ind w:right="723"/>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ind w:right="54"/>
              <w:spacing w:after="0"/>
              <w:rPr>
                <w:sz w:val="20"/>
                <w:szCs w:val="20"/>
                <w:color w:val="auto"/>
              </w:rPr>
            </w:pPr>
            <w:r>
              <w:rPr>
                <w:rFonts w:ascii="Arial" w:cs="Arial" w:eastAsia="Arial" w:hAnsi="Arial"/>
                <w:sz w:val="17"/>
                <w:szCs w:val="17"/>
                <w:b w:val="1"/>
                <w:bCs w:val="1"/>
                <w:color w:val="auto"/>
              </w:rPr>
              <w:t>72.5</w:t>
            </w:r>
          </w:p>
        </w:tc>
        <w:tc>
          <w:tcPr>
            <w:tcW w:w="4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8"/>
              <w:spacing w:after="0"/>
              <w:rPr>
                <w:sz w:val="20"/>
                <w:szCs w:val="20"/>
                <w:color w:val="auto"/>
              </w:rPr>
            </w:pPr>
            <w:r>
              <w:rPr>
                <w:rFonts w:ascii="Arial" w:cs="Arial" w:eastAsia="Arial" w:hAnsi="Arial"/>
                <w:sz w:val="17"/>
                <w:szCs w:val="17"/>
                <w:color w:val="auto"/>
              </w:rPr>
              <w:t>87.1</w:t>
            </w:r>
          </w:p>
        </w:tc>
        <w:tc>
          <w:tcPr>
            <w:tcW w:w="36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58"/>
              <w:spacing w:after="0"/>
              <w:rPr>
                <w:sz w:val="20"/>
                <w:szCs w:val="20"/>
                <w:color w:val="auto"/>
              </w:rPr>
            </w:pPr>
            <w:r>
              <w:rPr>
                <w:rFonts w:ascii="Arial" w:cs="Arial" w:eastAsia="Arial" w:hAnsi="Arial"/>
                <w:sz w:val="17"/>
                <w:szCs w:val="17"/>
                <w:b w:val="1"/>
                <w:bCs w:val="1"/>
                <w:color w:val="auto"/>
              </w:rPr>
              <w:t>217.8</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264.4</w:t>
            </w:r>
          </w:p>
        </w:tc>
      </w:tr>
      <w:tr>
        <w:trPr>
          <w:trHeight w:val="220"/>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cost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162.3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98.9</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486.0</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299.0</w:t>
            </w:r>
          </w:p>
        </w:tc>
      </w:tr>
      <w:tr>
        <w:trPr>
          <w:trHeight w:val="220"/>
        </w:trPr>
        <w:tc>
          <w:tcPr>
            <w:tcW w:w="4820" w:type="dxa"/>
            <w:vAlign w:val="bottom"/>
          </w:tcPr>
          <w:p>
            <w:pPr>
              <w:ind w:left="220"/>
              <w:spacing w:after="0"/>
              <w:rPr>
                <w:sz w:val="20"/>
                <w:szCs w:val="20"/>
                <w:color w:val="auto"/>
              </w:rPr>
            </w:pPr>
            <w:r>
              <w:rPr>
                <w:rFonts w:ascii="Arial" w:cs="Arial" w:eastAsia="Arial" w:hAnsi="Arial"/>
                <w:sz w:val="17"/>
                <w:szCs w:val="17"/>
                <w:color w:val="auto"/>
              </w:rPr>
              <w:t>Expected return on plan assets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(264.0)</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(235.1)</w:t>
            </w:r>
          </w:p>
        </w:tc>
        <w:tc>
          <w:tcPr>
            <w:tcW w:w="36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b w:val="1"/>
                <w:bCs w:val="1"/>
                <w:color w:val="auto"/>
              </w:rPr>
              <w:t>(791.5)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(711.6)</w:t>
            </w:r>
          </w:p>
        </w:tc>
      </w:tr>
      <w:tr>
        <w:trPr>
          <w:trHeight w:val="220"/>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prior service cost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0.6</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0.6</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0"/>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Recognized actuarial loss</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30.6</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85.3</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91.5</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256.8</w:t>
            </w:r>
          </w:p>
        </w:tc>
      </w:tr>
      <w:tr>
        <w:trPr>
          <w:trHeight w:val="218"/>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periodic cost</w:t>
            </w: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2.0</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36.8</w:t>
            </w:r>
          </w:p>
        </w:tc>
        <w:tc>
          <w:tcPr>
            <w:tcW w:w="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5.6</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r>
      <w:tr>
        <w:trPr>
          <w:trHeight w:val="413"/>
        </w:trPr>
        <w:tc>
          <w:tcPr>
            <w:tcW w:w="4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4"/>
                <w:szCs w:val="14"/>
                <w:b w:val="1"/>
                <w:bCs w:val="1"/>
                <w:color w:val="auto"/>
              </w:rPr>
              <w:t>Retiree Health Benefit Plans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7"/>
        </w:trPr>
        <w:tc>
          <w:tcPr>
            <w:tcW w:w="48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378"/>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r>
      <w:tr>
        <w:trPr>
          <w:trHeight w:val="200"/>
        </w:trPr>
        <w:tc>
          <w:tcPr>
            <w:tcW w:w="4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Components of net periodic benefit: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0"/>
        </w:trPr>
        <w:tc>
          <w:tcPr>
            <w:tcW w:w="4820" w:type="dxa"/>
            <w:vAlign w:val="bottom"/>
          </w:tcPr>
          <w:p>
            <w:pPr>
              <w:ind w:left="220"/>
              <w:spacing w:after="0"/>
              <w:rPr>
                <w:sz w:val="20"/>
                <w:szCs w:val="20"/>
                <w:color w:val="auto"/>
              </w:rPr>
            </w:pPr>
            <w:r>
              <w:rPr>
                <w:rFonts w:ascii="Arial" w:cs="Arial" w:eastAsia="Arial" w:hAnsi="Arial"/>
                <w:sz w:val="17"/>
                <w:szCs w:val="17"/>
                <w:color w:val="auto"/>
              </w:rPr>
              <w:t>Service cost</w:t>
            </w:r>
          </w:p>
        </w:tc>
        <w:tc>
          <w:tcPr>
            <w:tcW w:w="920" w:type="dxa"/>
            <w:vAlign w:val="bottom"/>
          </w:tcPr>
          <w:p>
            <w:pPr>
              <w:jc w:val="right"/>
              <w:ind w:right="723"/>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ind w:right="54"/>
              <w:spacing w:after="0"/>
              <w:rPr>
                <w:sz w:val="20"/>
                <w:szCs w:val="20"/>
                <w:color w:val="auto"/>
              </w:rPr>
            </w:pPr>
            <w:r>
              <w:rPr>
                <w:rFonts w:ascii="Arial" w:cs="Arial" w:eastAsia="Arial" w:hAnsi="Arial"/>
                <w:sz w:val="17"/>
                <w:szCs w:val="17"/>
                <w:b w:val="1"/>
                <w:bCs w:val="1"/>
                <w:color w:val="auto"/>
              </w:rPr>
              <w:t>7.9</w:t>
            </w:r>
          </w:p>
        </w:tc>
        <w:tc>
          <w:tcPr>
            <w:tcW w:w="4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8"/>
              <w:spacing w:after="0"/>
              <w:rPr>
                <w:sz w:val="20"/>
                <w:szCs w:val="20"/>
                <w:color w:val="auto"/>
              </w:rPr>
            </w:pPr>
            <w:r>
              <w:rPr>
                <w:rFonts w:ascii="Arial" w:cs="Arial" w:eastAsia="Arial" w:hAnsi="Arial"/>
                <w:sz w:val="17"/>
                <w:szCs w:val="17"/>
                <w:color w:val="auto"/>
              </w:rPr>
              <w:t>11.7</w:t>
            </w:r>
          </w:p>
        </w:tc>
        <w:tc>
          <w:tcPr>
            <w:tcW w:w="36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58"/>
              <w:spacing w:after="0"/>
              <w:rPr>
                <w:sz w:val="20"/>
                <w:szCs w:val="20"/>
                <w:color w:val="auto"/>
              </w:rPr>
            </w:pPr>
            <w:r>
              <w:rPr>
                <w:rFonts w:ascii="Arial" w:cs="Arial" w:eastAsia="Arial" w:hAnsi="Arial"/>
                <w:sz w:val="17"/>
                <w:szCs w:val="17"/>
                <w:b w:val="1"/>
                <w:bCs w:val="1"/>
                <w:color w:val="auto"/>
              </w:rPr>
              <w:t>23.8</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20"/>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cost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15.3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9.4</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46.0</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r>
      <w:tr>
        <w:trPr>
          <w:trHeight w:val="220"/>
        </w:trPr>
        <w:tc>
          <w:tcPr>
            <w:tcW w:w="4820" w:type="dxa"/>
            <w:vAlign w:val="bottom"/>
          </w:tcPr>
          <w:p>
            <w:pPr>
              <w:ind w:left="220"/>
              <w:spacing w:after="0"/>
              <w:rPr>
                <w:sz w:val="20"/>
                <w:szCs w:val="20"/>
                <w:color w:val="auto"/>
              </w:rPr>
            </w:pPr>
            <w:r>
              <w:rPr>
                <w:rFonts w:ascii="Arial" w:cs="Arial" w:eastAsia="Arial" w:hAnsi="Arial"/>
                <w:sz w:val="17"/>
                <w:szCs w:val="17"/>
                <w:color w:val="auto"/>
              </w:rPr>
              <w:t>Expected return on plan assets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(45.5)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(38.0)</w:t>
            </w:r>
          </w:p>
        </w:tc>
        <w:tc>
          <w:tcPr>
            <w:tcW w:w="36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b w:val="1"/>
                <w:bCs w:val="1"/>
                <w:color w:val="auto"/>
              </w:rPr>
              <w:t>(136.6)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(114.1)</w:t>
            </w:r>
          </w:p>
        </w:tc>
      </w:tr>
      <w:tr>
        <w:trPr>
          <w:trHeight w:val="220"/>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prior service benefit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(39.7)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r>
      <w:tr>
        <w:trPr>
          <w:trHeight w:val="220"/>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Recognized actuarial (gain) loss</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0.2</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(4.4)</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r>
      <w:tr>
        <w:trPr>
          <w:trHeight w:val="218"/>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periodic benefit</w:t>
            </w: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(37.1)</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(110.9)</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Contingencies</w:t>
      </w:r>
    </w:p>
    <w:p>
      <w:pPr>
        <w:spacing w:after="0" w:line="12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are defending against the legal proceedings in which we are named as defendants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Patent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Alimta European Patent Litigation</w:t>
      </w:r>
    </w:p>
    <w:p>
      <w:pPr>
        <w:spacing w:after="0" w:line="121"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color w:val="auto"/>
        </w:rPr>
        <w:t>In Europe, Alimta (pemetrexed) was protected by a patent through June 2021. A number of legal proceedings that were initiated prior to patent expiration are ongoing.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Emgality Patent Litigation</w:t>
      </w:r>
    </w:p>
    <w:p>
      <w:pPr>
        <w:spacing w:after="0" w:line="121"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We are a named defendant in litigation filed by Teva Pharmaceuticals International GMBH and Teva Pharmaceuticals USA, Inc. (collectively, Teva) in the U.S. District Court for the District of Massachusetts seeking a ruling that various claims in three different Teva patents would be infringed by our launch and continued sales of Emgality for the prevention of migraine in adults.</w:t>
      </w:r>
    </w:p>
    <w:p>
      <w:pPr>
        <w:spacing w:after="0" w:line="69" w:lineRule="exact"/>
        <w:rPr>
          <w:sz w:val="20"/>
          <w:szCs w:val="20"/>
          <w:color w:val="auto"/>
        </w:rPr>
      </w:pPr>
    </w:p>
    <w:p>
      <w:pPr>
        <w:jc w:val="both"/>
        <w:ind w:right="60"/>
        <w:spacing w:after="0" w:line="283" w:lineRule="auto"/>
        <w:rPr>
          <w:sz w:val="20"/>
          <w:szCs w:val="20"/>
          <w:color w:val="auto"/>
        </w:rPr>
      </w:pPr>
      <w:r>
        <w:rPr>
          <w:rFonts w:ascii="Arial" w:cs="Arial" w:eastAsia="Arial" w:hAnsi="Arial"/>
          <w:sz w:val="17"/>
          <w:szCs w:val="17"/>
          <w:color w:val="auto"/>
        </w:rPr>
        <w:t>Following a trial, in November 2022, a jury returned a verdict in favor of Teva. In September 2023, the court granted our motion to overrule the jury verdict and found all asserted claims of the three patents invalid. Teva has appealed the decision. This matter is ongoing.</w:t>
      </w:r>
    </w:p>
    <w:p>
      <w:pPr>
        <w:spacing w:after="0" w:line="5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 We challenged these two patents by filing requests for Inter Partes Review with the Patent Trial and Appeal Board (PTAB) and in October 2022, the PTAB granted our requests. In September 2023, the PTAB issued decisions finding all claims of both patents invalid. Teva may appeal the decision. The corresponding district court litigation is stayed while this PTAB proceeding is ongoing.</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Jardiance Patent Litigation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November 2018, Boehringer Ingelheim, our partner in marketing and development of Jardiance, initiated U.S. patent litigation in the U.S. District Court for the District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are invalid or would not be infringed. We are not a party to this litigation. This matter is ongoing.</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Proceedings</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Actos</w:t>
      </w:r>
      <w:r>
        <w:rPr>
          <w:rFonts w:ascii="Arial" w:cs="Arial" w:eastAsia="Arial" w:hAnsi="Arial"/>
          <w:sz w:val="22"/>
          <w:szCs w:val="22"/>
          <w:i w:val="1"/>
          <w:iCs w:val="1"/>
          <w:u w:val="single" w:color="auto"/>
          <w:color w:val="auto"/>
          <w:vertAlign w:val="superscript"/>
        </w:rPr>
        <w:t>®</w:t>
      </w:r>
      <w:r>
        <w:rPr>
          <w:rFonts w:ascii="Arial" w:cs="Arial" w:eastAsia="Arial" w:hAnsi="Arial"/>
          <w:sz w:val="17"/>
          <w:szCs w:val="17"/>
          <w:i w:val="1"/>
          <w:iCs w:val="1"/>
          <w:u w:val="single" w:color="auto"/>
          <w:color w:val="auto"/>
        </w:rPr>
        <w:t xml:space="preserve"> Litigation</w:t>
      </w:r>
    </w:p>
    <w:p>
      <w:pPr>
        <w:spacing w:after="0" w:line="6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are named along with Takeda Chemical Industries, Ltd. and Takeda affiliates (collectively, Takeda) in a third party payor class action in the U.S. District Court for the Central District of California (</w:t>
      </w:r>
      <w:r>
        <w:rPr>
          <w:rFonts w:ascii="Arial" w:cs="Arial" w:eastAsia="Arial" w:hAnsi="Arial"/>
          <w:sz w:val="17"/>
          <w:szCs w:val="17"/>
          <w:i w:val="1"/>
          <w:iCs w:val="1"/>
          <w:color w:val="auto"/>
        </w:rPr>
        <w:t>Painters et al. v. Takeda et al.</w:t>
      </w:r>
      <w:r>
        <w:rPr>
          <w:rFonts w:ascii="Arial" w:cs="Arial" w:eastAsia="Arial" w:hAnsi="Arial"/>
          <w:sz w:val="17"/>
          <w:szCs w:val="17"/>
          <w:color w:val="auto"/>
        </w:rPr>
        <w:t>). Plaintiffs claim that they and similarly situated class members are entitled to recover money paid for or to reimburse Actos prescriptions because of alleged concealment of bladder cancer risk. Our agreement with Takeda calls for Takeda to defend and indemnify us against our losses and expenses with respect to U.S. litigation arising out of the manufacture, use, or sale of Actos and other related expenses in accordance with the terms of the agreement. In August 2023, the Ninth Circuit granted our and Takeda's petition for permission to appeal the class certification order. This matter is ongoing. Actos is a registered trademark of Takeda Pharmaceutical Company Limited.</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57" w:right="39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u w:val="single" w:color="auto"/>
          <w:color w:val="auto"/>
        </w:rPr>
        <w:t>340B Litigation and Investigations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HHS's December 30, 2020 advisory opinion stating that drug manufacturers are required to deliver discounts under the 340B program to all contract pharmacies and HHS's Administrative Dispute Resolution regulations. We seek a declaratory judgment that the defendants violated the Administrative Procedure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sent us an enforcement letter notifying us that it determined that our policy was contrary to the 340B statute. In response, in May 2021, we amended our complaint to bring claims related to HRSA's determination and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In October 2021, the court denied the defendants' motion to dismiss, and granted in part and denied in part the parties' cross motions for summary judgment. Both parties filed notices of appeal related to the court's summary judgment order. In October 2022, the U.S. Court of Appeals for the Seventh Circuit held oral argument. This matter is ongoing.</w:t>
      </w:r>
    </w:p>
    <w:p>
      <w:pPr>
        <w:spacing w:after="0" w:line="87"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We, along with other pharmaceutical manufacturers, have been named as a defendant in petitions filed in 2021 and 2023 and currently pending before the HHS Administrative Dispute Resolution Panel. Petitioners seek declaratory, injunctive, and/or monetary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7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July 2021, we, along with Sanofi-Aventis U.S., LLC (Sanofi), Novo Nordisk Inc. (Novo Nordisk), and AstraZeneca Pharmaceuticals LP (AstraZeneca), were named as a defendant in a purported class action lawsuit filed in the U.S. District Court for the Western District of New York by Mosaic Health, Inc. alleging antitrust and unjust enrichment claims related to the defendants' 340B distribution programs. We, with Sanofi, Novo Nordisk, and AstraZeneca, filed a motion to dismiss the lawsuit, which was granted in September 2022. In October 2022, the plaintiffs filed a motion for leave to amend their complaint. This matter is ongoing.</w:t>
      </w:r>
    </w:p>
    <w:p>
      <w:pPr>
        <w:spacing w:after="0" w:line="74"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Branchburg Manufacturing Facility</w:t>
      </w:r>
    </w:p>
    <w:p>
      <w:pPr>
        <w:spacing w:after="0" w:line="121" w:lineRule="exact"/>
        <w:rPr>
          <w:sz w:val="20"/>
          <w:szCs w:val="20"/>
          <w:color w:val="auto"/>
        </w:rPr>
      </w:pPr>
    </w:p>
    <w:p>
      <w:pPr>
        <w:ind w:right="780"/>
        <w:spacing w:after="0" w:line="283" w:lineRule="auto"/>
        <w:rPr>
          <w:sz w:val="20"/>
          <w:szCs w:val="20"/>
          <w:color w:val="auto"/>
        </w:rPr>
      </w:pPr>
      <w:r>
        <w:rPr>
          <w:rFonts w:ascii="Arial" w:cs="Arial" w:eastAsia="Arial" w:hAnsi="Arial"/>
          <w:sz w:val="17"/>
          <w:szCs w:val="17"/>
          <w:color w:val="auto"/>
        </w:rPr>
        <w:t>In May 2021, we received a subpoena from the U.S. Department of Justice requesting the production of certain documents relating to our manufacturing site in Branchburg, New Jersey. We are cooperating with the subpoena.</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u w:val="single" w:color="auto"/>
          <w:color w:val="auto"/>
        </w:rPr>
        <w:t>Brazil Litigation – Cosmopolis Facility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Labor Attorney Litigation</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First initiated in 2008, our subsidiary in Brazil, Eli Lilly do Brasil Limitada (Lilly Brasil), is named in a Public Civil Action brought by the Labor Public Attorney (LPA) for the 15th Region in the Labor Court of Paulinia, State of Sao Paulo, Brazil, (the Labor Court) alleging possible harm to employees and former employees caused by alleged exposure to soil and groundwater contaminants at a former Lilly Brasil manufacturing facility in Cosmopolis, Brazil, operated by the company between 1977 and 2003. In May 2014, the Labor Court judge ruled against Lilly Brasil, ordering it to undertake several remedial and compensatory actions including health coverage for a class of individuals and certain of their children. In July 2018, the appeals court (TRT) generally affirmed our appeal of the Labor Court's ruling, which included a liquidated award of 300 million Brazilian reais, which, when adjusted for inflation and the addition of pre and post judgment interest using the current Central Bank of Brazil's special system of clearance and custody rate, is approximately 1.24 billion Brazilian reais (approximately $247 million as of September 30, 2023). In August 2019, Lilly Brasil filed an appeal to the superior labor court (TST) and in June 2021, the TRT published its decision on the admissibility of Lilly Brasil's appeal, allowing the majority of the elements, which were allowed to proceed in June 2021; elements not proceeding are subject to an interlocutory appeal to the TST that was filed in June 2021. In September 2019, the TRT stayed a number of elements of its trial court decision pending the determination of Lilly Brasil's appeal to the TST. A mediation hearing is scheduled for November 2023.</w:t>
      </w:r>
    </w:p>
    <w:p>
      <w:pPr>
        <w:spacing w:after="0" w:line="8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In June 2019 and September 2020, the LPA filed applications in the Labor Court for enforcement of certain remedies granted by the TRT in its July 2018 decision, requested restrictions on Lilly Brasil’s assets in Brazil, and required Lilly Brasil and Antibióticos do Brasil Ltda. (ABL) to submit a list of potential beneficiaries of the Public Civil Action. In July 2019, the Labor Court issued a ruling requiring a freeze of Lilly Brasil’s immovable property or, alternatively, a security deposit or lien of 500 million Brazilian reais, which ruling in June 2021 was limited in scope and the security was reduced to 100 million Brazilian reais (approximately $20 million as of September 30, 2023). ABL and LPA appealed the June 2021 Labor Court ruling to the TST, which appeal is under review. The Labor Court is currently assessing the status of Lilly Brasil’s and ABL’s compliance with such portion of the July 2018 TRT decision and an inspection in the industrial plant occurred in October 2023. These matters are ongoing.</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Individual Former Employee Litigation</w:t>
      </w:r>
    </w:p>
    <w:p>
      <w:pPr>
        <w:spacing w:after="0" w:line="121" w:lineRule="exact"/>
        <w:rPr>
          <w:sz w:val="20"/>
          <w:szCs w:val="20"/>
          <w:color w:val="auto"/>
        </w:rPr>
      </w:pPr>
    </w:p>
    <w:p>
      <w:pPr>
        <w:ind w:right="740"/>
        <w:spacing w:after="0" w:line="283" w:lineRule="auto"/>
        <w:rPr>
          <w:sz w:val="20"/>
          <w:szCs w:val="20"/>
          <w:color w:val="auto"/>
        </w:rPr>
      </w:pPr>
      <w:r>
        <w:rPr>
          <w:rFonts w:ascii="Arial" w:cs="Arial" w:eastAsia="Arial" w:hAnsi="Arial"/>
          <w:sz w:val="17"/>
          <w:szCs w:val="17"/>
          <w:color w:val="auto"/>
        </w:rPr>
        <w:t>Lilly Brasil is also named in various pending lawsuits filed in the Labor Court by individual former employees making related claims. These individual lawsuits are at various stages in the litigation process.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Puerto Rico Tax Matter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The trial began in May 2022; however, the Municipality filed a new motion requesting the CFI to execute an alleged judgment. The request was denied by the CFI in our favor and the Municipality filed for revision at the AP, which we opposed, staying the case. The AP denied the Municipality's motion for revision. This matter is ongoing and trial is expected to resume in mid-2024.</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Average Manufacturer Price Litigation</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 xml:space="preserve">In November 2014, we, along with another pharmaceutical manufacturer, were named as co-defendants in </w:t>
      </w:r>
      <w:r>
        <w:rPr>
          <w:rFonts w:ascii="Arial" w:cs="Arial" w:eastAsia="Arial" w:hAnsi="Arial"/>
          <w:sz w:val="17"/>
          <w:szCs w:val="17"/>
          <w:i w:val="1"/>
          <w:iCs w:val="1"/>
          <w:color w:val="auto"/>
        </w:rPr>
        <w:t>United States et al. ex rel. Streck v.</w:t>
      </w:r>
      <w:r>
        <w:rPr>
          <w:rFonts w:ascii="Arial" w:cs="Arial" w:eastAsia="Arial" w:hAnsi="Arial"/>
          <w:sz w:val="17"/>
          <w:szCs w:val="17"/>
          <w:color w:val="auto"/>
        </w:rPr>
        <w:t xml:space="preserve"> </w:t>
      </w:r>
      <w:r>
        <w:rPr>
          <w:rFonts w:ascii="Arial" w:cs="Arial" w:eastAsia="Arial" w:hAnsi="Arial"/>
          <w:sz w:val="17"/>
          <w:szCs w:val="17"/>
          <w:i w:val="1"/>
          <w:iCs w:val="1"/>
          <w:color w:val="auto"/>
        </w:rPr>
        <w:t>Takeda Pharm. Am., Inc., et al.</w:t>
      </w:r>
      <w:r>
        <w:rPr>
          <w:rFonts w:ascii="Arial" w:cs="Arial" w:eastAsia="Arial" w:hAnsi="Arial"/>
          <w:sz w:val="17"/>
          <w:szCs w:val="17"/>
          <w:color w:val="auto"/>
        </w:rPr>
        <w:t>, which was filed in November 2014 and unsealed in the U.S. District Court for the Northern District of Illinois.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alleges that the defendants should have treated certain credits from distributors as retroactive price increases and included such increases in calculating average manufacturer prices. Following a trial in August 2022, the jury returned a verdict in favor of the plaintiff. Lilly filed its notice of appeal to the Seventh Circuit in June 2023. This matter is ongoing.</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Health Choice Alliance</w:t>
      </w:r>
    </w:p>
    <w:p>
      <w:pPr>
        <w:spacing w:after="0" w:line="12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We are named as a defendant in two lawsuits filed in Texas and New Jersey state courts in October 2019 seeking damages under the Texas Medicaid Fraud Prevention Act and New Jersey Medicaid False Claims Act, respectively, for certain patient support programs related to our products Humalog, Humulin, and Forteo. The Texas state court action has been stayed. The New Jersey state court action was dismissed with prejudice pending an ongoing appeal before the Appellate Division of the New Jersey Superior Court. Oral argument before the Appellate Division in the New Jersey state court action is scheduled to take place in November 2023. This matter is ongoing.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u w:val="single" w:color="auto"/>
          <w:color w:val="auto"/>
        </w:rPr>
        <w:t>Pricing Litigation</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along with Sanofi, Novo Nordisk, and, in some matters, certain pharmacy benefit managers, have been named in numerous lawsuits, including putative class actions, by states and state attorneys general, counties, municipalities, third-party payers, consumers, and other parties related to insulin pricing and rebates paid by manufacturers to pharmacy benefit managers. These lawsuits assert various theories, including consumer protection and deceptive trade practice, fraud, false advertising, unjust enrichment, civil conspiracy, federal and state RICO statutes, antitrust, and unfair competition claims. These lawsuits have been brought in various state and federal courts from 2017 through 2023 and are at various stages in the litigation process. Starting in August 2023 after a ruling by the Judicial Panel for Multi-District Litigation, several of these cases were transferred to or filed in the District of New Jersey for coordinated or consolidated pre-trial proceedings.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Investigations, Subpoenas, and Inquiries</w:t>
      </w:r>
    </w:p>
    <w:p>
      <w:pPr>
        <w:spacing w:after="0" w:line="121"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In connection with the pricing and sale of our insulin and other products, we have been subject to various investigations and received subpoenas, civil investigative demand requests, information requests, interrogatories, and other inquiries from various governmental entities. These include subpoenas from the New York and Vermont Attorney General Offices, civil investigative demands from the Washington, New Mexico, Colorado, Louisiana, Texas and Ohio Attorney General Offices, the U.S. Department of Justice, and the U.S. Federal Trade Commission, as well as information requests from the Mississippi, Washington D.C., California, Florida, Hawaii, and Nevada Attorney General Offices. In May 2023, Lilly entered into a non-monetary settlement agreement with the New York Attorney General's office that resolved all matters related to New York's insulin pricing subpoena.</w:t>
      </w:r>
    </w:p>
    <w:p>
      <w:pPr>
        <w:spacing w:after="0" w:line="80"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of Michigan will not issue any civil investigative subpoena to us under the MCPA until the declaratory judgment action is resolved. In July 2022, the court dismissed the case in its entirety. In June 2023, the Michigan Court of Appeals affirmed the judgment in our favor. In August 2023, the Michigan Attorney General filed an application for leave to appeal to the Michigan Supreme Court, which we opposed in September 2023.</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received a request in January 2019 from the House of Representatives' Committee on Oversight and Reform seeking commercial information and business records related to the pricing of insulin products, among other issues. We also received similar requests from the Senate Finance Committee and the Senate Committee on Health, Education, Labor, and Pensions, and separate requests from the House Committee on Energy and Commerce majority and minority members. In January 2021, the Senate Finance Committee released a report summarizing the findings of its investigation. In December 2021, the House of Representatives' Committee on Oversight and Reform majority and minority staffs released separate reports with findings from their investigations into drug pricing, including of insulin products.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We are cooperating with all of the aforementioned investigations, subpoenas, and inquiries.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Research Corporation Technologies, Inc.</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Both parties filed motions for reconsideration, which were denied. We filed supplemental summary judgment motions, which the court denied. A trial date has not been set. Potential damages payable under the litigation, if finally awarded after an appeal, could be material but are not currently reasonably estimable. This matter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Note 10: Other Comprehensive Income (Loss)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activity related to each component of other comprehensive income (loss)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 and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right="83"/>
              <w:spacing w:after="0"/>
              <w:rPr>
                <w:sz w:val="20"/>
                <w:szCs w:val="20"/>
                <w:color w:val="auto"/>
              </w:rPr>
            </w:pPr>
            <w:r>
              <w:rPr>
                <w:rFonts w:ascii="Arial" w:cs="Arial" w:eastAsia="Arial" w:hAnsi="Arial"/>
                <w:sz w:val="12"/>
                <w:szCs w:val="12"/>
                <w:b w:val="1"/>
                <w:bCs w:val="1"/>
                <w:color w:val="auto"/>
                <w:w w:val="99"/>
              </w:rPr>
              <w:t>Foreign Currency</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Net Unrealized Gains</w:t>
            </w:r>
          </w:p>
        </w:tc>
        <w:tc>
          <w:tcPr>
            <w:tcW w:w="220" w:type="dxa"/>
            <w:vAlign w:val="bottom"/>
          </w:tcPr>
          <w:p>
            <w:pPr>
              <w:spacing w:after="0"/>
              <w:rPr>
                <w:sz w:val="12"/>
                <w:szCs w:val="12"/>
                <w:color w:val="auto"/>
              </w:rPr>
            </w:pPr>
          </w:p>
        </w:tc>
        <w:tc>
          <w:tcPr>
            <w:tcW w:w="1140" w:type="dxa"/>
            <w:vAlign w:val="bottom"/>
          </w:tcPr>
          <w:p>
            <w:pPr>
              <w:jc w:val="center"/>
              <w:ind w:right="125"/>
              <w:spacing w:after="0"/>
              <w:rPr>
                <w:sz w:val="20"/>
                <w:szCs w:val="20"/>
                <w:color w:val="auto"/>
              </w:rPr>
            </w:pPr>
            <w:r>
              <w:rPr>
                <w:rFonts w:ascii="Arial" w:cs="Arial" w:eastAsia="Arial" w:hAnsi="Arial"/>
                <w:sz w:val="12"/>
                <w:szCs w:val="12"/>
                <w:b w:val="1"/>
                <w:bCs w:val="1"/>
                <w:color w:val="auto"/>
              </w:rPr>
              <w:t>Defined Benefit</w:t>
            </w:r>
          </w:p>
        </w:tc>
        <w:tc>
          <w:tcPr>
            <w:tcW w:w="200" w:type="dxa"/>
            <w:vAlign w:val="bottom"/>
          </w:tcPr>
          <w:p>
            <w:pPr>
              <w:spacing w:after="0"/>
              <w:rPr>
                <w:sz w:val="12"/>
                <w:szCs w:val="12"/>
                <w:color w:val="auto"/>
              </w:rPr>
            </w:pPr>
          </w:p>
        </w:tc>
        <w:tc>
          <w:tcPr>
            <w:tcW w:w="1100" w:type="dxa"/>
            <w:vAlign w:val="bottom"/>
            <w:vMerge w:val="restart"/>
          </w:tcPr>
          <w:p>
            <w:pPr>
              <w:jc w:val="center"/>
              <w:ind w:right="98"/>
              <w:spacing w:after="0"/>
              <w:rPr>
                <w:sz w:val="20"/>
                <w:szCs w:val="20"/>
                <w:color w:val="auto"/>
              </w:rPr>
            </w:pPr>
            <w:r>
              <w:rPr>
                <w:rFonts w:ascii="Arial" w:cs="Arial" w:eastAsia="Arial" w:hAnsi="Arial"/>
                <w:sz w:val="12"/>
                <w:szCs w:val="12"/>
                <w:b w:val="1"/>
                <w:bCs w:val="1"/>
                <w:color w:val="auto"/>
              </w:rPr>
              <w:t>Net Unrealized</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24"/>
              <w:spacing w:after="0" w:line="117" w:lineRule="exact"/>
              <w:rPr>
                <w:sz w:val="20"/>
                <w:szCs w:val="20"/>
                <w:color w:val="auto"/>
              </w:rPr>
            </w:pPr>
            <w:r>
              <w:rPr>
                <w:rFonts w:ascii="Arial" w:cs="Arial" w:eastAsia="Arial" w:hAnsi="Arial"/>
                <w:sz w:val="12"/>
                <w:szCs w:val="12"/>
                <w:b w:val="1"/>
                <w:bCs w:val="1"/>
                <w:color w:val="auto"/>
                <w:w w:val="97"/>
              </w:rPr>
              <w:t>(Losses) on</w:t>
            </w:r>
          </w:p>
        </w:tc>
        <w:tc>
          <w:tcPr>
            <w:tcW w:w="220" w:type="dxa"/>
            <w:vAlign w:val="bottom"/>
          </w:tcPr>
          <w:p>
            <w:pPr>
              <w:spacing w:after="0"/>
              <w:rPr>
                <w:sz w:val="10"/>
                <w:szCs w:val="10"/>
                <w:color w:val="auto"/>
              </w:rPr>
            </w:pPr>
          </w:p>
        </w:tc>
        <w:tc>
          <w:tcPr>
            <w:tcW w:w="1140" w:type="dxa"/>
            <w:vAlign w:val="bottom"/>
          </w:tcPr>
          <w:p>
            <w:pPr>
              <w:jc w:val="center"/>
              <w:ind w:right="125"/>
              <w:spacing w:after="0" w:line="117" w:lineRule="exact"/>
              <w:rPr>
                <w:sz w:val="20"/>
                <w:szCs w:val="20"/>
                <w:color w:val="auto"/>
              </w:rPr>
            </w:pPr>
            <w:r>
              <w:rPr>
                <w:rFonts w:ascii="Arial" w:cs="Arial" w:eastAsia="Arial" w:hAnsi="Arial"/>
                <w:sz w:val="12"/>
                <w:szCs w:val="12"/>
                <w:b w:val="1"/>
                <w:bCs w:val="1"/>
                <w:color w:val="auto"/>
                <w:w w:val="98"/>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29"/>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1"/>
                <w:szCs w:val="11"/>
                <w:color w:val="auto"/>
              </w:rPr>
            </w:pPr>
          </w:p>
        </w:tc>
        <w:tc>
          <w:tcPr>
            <w:tcW w:w="1200" w:type="dxa"/>
            <w:vAlign w:val="bottom"/>
          </w:tcPr>
          <w:p>
            <w:pPr>
              <w:jc w:val="center"/>
              <w:ind w:right="83"/>
              <w:spacing w:after="0" w:line="129" w:lineRule="exact"/>
              <w:rPr>
                <w:sz w:val="20"/>
                <w:szCs w:val="20"/>
                <w:color w:val="auto"/>
              </w:rPr>
            </w:pPr>
            <w:r>
              <w:rPr>
                <w:rFonts w:ascii="Arial" w:cs="Arial" w:eastAsia="Arial" w:hAnsi="Arial"/>
                <w:sz w:val="12"/>
                <w:szCs w:val="12"/>
                <w:b w:val="1"/>
                <w:bCs w:val="1"/>
                <w:color w:val="auto"/>
                <w:w w:val="98"/>
              </w:rPr>
              <w:t>Translation</w:t>
            </w:r>
          </w:p>
        </w:tc>
        <w:tc>
          <w:tcPr>
            <w:tcW w:w="220" w:type="dxa"/>
            <w:vAlign w:val="bottom"/>
          </w:tcPr>
          <w:p>
            <w:pPr>
              <w:spacing w:after="0"/>
              <w:rPr>
                <w:sz w:val="11"/>
                <w:szCs w:val="11"/>
                <w:color w:val="auto"/>
              </w:rPr>
            </w:pPr>
          </w:p>
        </w:tc>
        <w:tc>
          <w:tcPr>
            <w:tcW w:w="1140" w:type="dxa"/>
            <w:vAlign w:val="bottom"/>
          </w:tcPr>
          <w:p>
            <w:pPr>
              <w:jc w:val="center"/>
              <w:ind w:right="144"/>
              <w:spacing w:after="0" w:line="129" w:lineRule="exact"/>
              <w:rPr>
                <w:sz w:val="20"/>
                <w:szCs w:val="20"/>
                <w:color w:val="auto"/>
              </w:rPr>
            </w:pPr>
            <w:r>
              <w:rPr>
                <w:rFonts w:ascii="Arial" w:cs="Arial" w:eastAsia="Arial" w:hAnsi="Arial"/>
                <w:sz w:val="12"/>
                <w:szCs w:val="12"/>
                <w:b w:val="1"/>
                <w:bCs w:val="1"/>
                <w:color w:val="auto"/>
                <w:w w:val="99"/>
              </w:rPr>
              <w:t>Available-For-</w:t>
            </w:r>
          </w:p>
        </w:tc>
        <w:tc>
          <w:tcPr>
            <w:tcW w:w="220" w:type="dxa"/>
            <w:vAlign w:val="bottom"/>
          </w:tcPr>
          <w:p>
            <w:pPr>
              <w:spacing w:after="0"/>
              <w:rPr>
                <w:sz w:val="11"/>
                <w:szCs w:val="11"/>
                <w:color w:val="auto"/>
              </w:rPr>
            </w:pPr>
          </w:p>
        </w:tc>
        <w:tc>
          <w:tcPr>
            <w:tcW w:w="1140" w:type="dxa"/>
            <w:vAlign w:val="bottom"/>
          </w:tcPr>
          <w:p>
            <w:pPr>
              <w:jc w:val="center"/>
              <w:ind w:right="125"/>
              <w:spacing w:after="0" w:line="129" w:lineRule="exact"/>
              <w:rPr>
                <w:sz w:val="20"/>
                <w:szCs w:val="20"/>
                <w:color w:val="auto"/>
              </w:rPr>
            </w:pPr>
            <w:r>
              <w:rPr>
                <w:rFonts w:ascii="Arial" w:cs="Arial" w:eastAsia="Arial" w:hAnsi="Arial"/>
                <w:sz w:val="12"/>
                <w:szCs w:val="12"/>
                <w:b w:val="1"/>
                <w:bCs w:val="1"/>
                <w:color w:val="auto"/>
              </w:rPr>
              <w:t>Retiree Health</w:t>
            </w:r>
          </w:p>
        </w:tc>
        <w:tc>
          <w:tcPr>
            <w:tcW w:w="13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Gains (Losses) on</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b w:val="1"/>
                <w:bCs w:val="1"/>
                <w:color w:val="auto"/>
              </w:rPr>
              <w:t>Gains (Losses)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rPr>
              <w:t>Sale Securities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rPr>
              <w:t>Benefit Plans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July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(1,885.3)</w:t>
            </w:r>
          </w:p>
        </w:tc>
        <w:tc>
          <w:tcPr>
            <w:tcW w:w="2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(2,058.8)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188.9</w:t>
            </w:r>
          </w:p>
        </w:tc>
        <w:tc>
          <w:tcPr>
            <w:tcW w:w="420" w:type="dxa"/>
            <w:vAlign w:val="bottom"/>
            <w:shd w:val="clear" w:color="auto" w:fill="CCEEFF"/>
          </w:tcPr>
          <w:p>
            <w:pPr>
              <w:jc w:val="right"/>
              <w:ind w:right="187"/>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(3,788.7)</w:t>
            </w:r>
          </w:p>
        </w:tc>
        <w:tc>
          <w:tcPr>
            <w:tcW w:w="0" w:type="dxa"/>
            <w:vAlign w:val="bottom"/>
          </w:tcPr>
          <w:p>
            <w:pPr>
              <w:spacing w:after="0"/>
              <w:rPr>
                <w:sz w:val="1"/>
                <w:szCs w:val="1"/>
                <w:color w:val="auto"/>
              </w:rPr>
            </w:pPr>
          </w:p>
        </w:tc>
      </w:tr>
      <w:tr>
        <w:trPr>
          <w:trHeight w:val="168"/>
        </w:trPr>
        <w:tc>
          <w:tcPr>
            <w:tcW w:w="452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7"/>
                <w:szCs w:val="17"/>
                <w:b w:val="1"/>
                <w:bCs w:val="1"/>
                <w:color w:val="auto"/>
              </w:rPr>
              <w:t>(88.7)</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(13.5)</w:t>
            </w:r>
          </w:p>
        </w:tc>
        <w:tc>
          <w:tcPr>
            <w:tcW w:w="220" w:type="dxa"/>
            <w:vAlign w:val="bottom"/>
          </w:tcPr>
          <w:p>
            <w:pPr>
              <w:spacing w:after="0"/>
              <w:rPr>
                <w:sz w:val="14"/>
                <w:szCs w:val="14"/>
                <w:color w:val="auto"/>
              </w:rPr>
            </w:pPr>
          </w:p>
        </w:tc>
        <w:tc>
          <w:tcPr>
            <w:tcW w:w="1140" w:type="dxa"/>
            <w:vAlign w:val="bottom"/>
            <w:vMerge w:val="restart"/>
          </w:tcPr>
          <w:p>
            <w:pPr>
              <w:jc w:val="right"/>
              <w:ind w:right="45"/>
              <w:spacing w:after="0"/>
              <w:rPr>
                <w:sz w:val="20"/>
                <w:szCs w:val="20"/>
                <w:color w:val="auto"/>
              </w:rPr>
            </w:pPr>
            <w:r>
              <w:rPr>
                <w:rFonts w:ascii="Arial" w:cs="Arial" w:eastAsia="Arial" w:hAnsi="Arial"/>
                <w:sz w:val="17"/>
                <w:szCs w:val="17"/>
                <w:b w:val="1"/>
                <w:bCs w:val="1"/>
                <w:color w:val="auto"/>
              </w:rPr>
              <w:t>10.5</w:t>
            </w:r>
          </w:p>
        </w:tc>
        <w:tc>
          <w:tcPr>
            <w:tcW w:w="200" w:type="dxa"/>
            <w:vAlign w:val="bottom"/>
          </w:tcPr>
          <w:p>
            <w:pPr>
              <w:spacing w:after="0"/>
              <w:rPr>
                <w:sz w:val="14"/>
                <w:szCs w:val="14"/>
                <w:color w:val="auto"/>
              </w:rPr>
            </w:pPr>
          </w:p>
        </w:tc>
        <w:tc>
          <w:tcPr>
            <w:tcW w:w="1100" w:type="dxa"/>
            <w:vAlign w:val="bottom"/>
            <w:vMerge w:val="restart"/>
          </w:tcPr>
          <w:p>
            <w:pPr>
              <w:jc w:val="right"/>
              <w:ind w:right="38"/>
              <w:spacing w:after="0"/>
              <w:rPr>
                <w:sz w:val="20"/>
                <w:szCs w:val="20"/>
                <w:color w:val="auto"/>
              </w:rPr>
            </w:pPr>
            <w:r>
              <w:rPr>
                <w:rFonts w:ascii="Arial" w:cs="Arial" w:eastAsia="Arial" w:hAnsi="Arial"/>
                <w:sz w:val="17"/>
                <w:szCs w:val="17"/>
                <w:b w:val="1"/>
                <w:bCs w:val="1"/>
                <w:color w:val="auto"/>
              </w:rPr>
              <w:t>79.6</w:t>
            </w:r>
          </w:p>
        </w:tc>
        <w:tc>
          <w:tcPr>
            <w:tcW w:w="4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0" w:type="dxa"/>
            <w:vAlign w:val="bottom"/>
          </w:tcPr>
          <w:p>
            <w:pPr>
              <w:spacing w:after="0"/>
              <w:rPr>
                <w:sz w:val="1"/>
                <w:szCs w:val="1"/>
                <w:color w:val="auto"/>
              </w:rPr>
            </w:pPr>
          </w:p>
        </w:tc>
      </w:tr>
      <w:tr>
        <w:trPr>
          <w:trHeight w:val="232"/>
        </w:trPr>
        <w:tc>
          <w:tcPr>
            <w:tcW w:w="452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5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43"/>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44"/>
              <w:spacing w:after="0"/>
              <w:rPr>
                <w:sz w:val="20"/>
                <w:szCs w:val="20"/>
                <w:color w:val="auto"/>
              </w:rPr>
            </w:pPr>
            <w:r>
              <w:rPr>
                <w:rFonts w:ascii="Arial" w:cs="Arial" w:eastAsia="Arial" w:hAnsi="Arial"/>
                <w:sz w:val="17"/>
                <w:szCs w:val="17"/>
                <w:b w:val="1"/>
                <w:bCs w:val="1"/>
                <w:color w:val="auto"/>
              </w:rPr>
              <w:t>1.4</w:t>
            </w: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13.0</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1.5</w:t>
            </w:r>
          </w:p>
        </w:tc>
        <w:tc>
          <w:tcPr>
            <w:tcW w:w="4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15.9</w:t>
            </w: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(88.7)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b w:val="1"/>
                <w:bCs w:val="1"/>
                <w:color w:val="auto"/>
              </w:rPr>
              <w:t>23.5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81.1</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(1,974.0)</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(2,035.3)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270.0</w:t>
            </w:r>
          </w:p>
        </w:tc>
        <w:tc>
          <w:tcPr>
            <w:tcW w:w="4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(3,784.9)</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center"/>
              <w:ind w:right="83"/>
              <w:spacing w:after="0"/>
              <w:rPr>
                <w:sz w:val="20"/>
                <w:szCs w:val="20"/>
                <w:color w:val="auto"/>
              </w:rPr>
            </w:pPr>
            <w:r>
              <w:rPr>
                <w:rFonts w:ascii="Arial" w:cs="Arial" w:eastAsia="Arial" w:hAnsi="Arial"/>
                <w:sz w:val="12"/>
                <w:szCs w:val="12"/>
                <w:b w:val="1"/>
                <w:bCs w:val="1"/>
                <w:color w:val="auto"/>
                <w:w w:val="99"/>
              </w:rPr>
              <w:t>Foreign Currency</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Net Unrealized Gains</w:t>
            </w:r>
          </w:p>
        </w:tc>
        <w:tc>
          <w:tcPr>
            <w:tcW w:w="220" w:type="dxa"/>
            <w:vAlign w:val="bottom"/>
          </w:tcPr>
          <w:p>
            <w:pPr>
              <w:spacing w:after="0"/>
              <w:rPr>
                <w:sz w:val="24"/>
                <w:szCs w:val="24"/>
                <w:color w:val="auto"/>
              </w:rPr>
            </w:pPr>
          </w:p>
        </w:tc>
        <w:tc>
          <w:tcPr>
            <w:tcW w:w="1140" w:type="dxa"/>
            <w:vAlign w:val="bottom"/>
          </w:tcPr>
          <w:p>
            <w:pPr>
              <w:jc w:val="center"/>
              <w:ind w:right="125"/>
              <w:spacing w:after="0"/>
              <w:rPr>
                <w:sz w:val="20"/>
                <w:szCs w:val="20"/>
                <w:color w:val="auto"/>
              </w:rPr>
            </w:pPr>
            <w:r>
              <w:rPr>
                <w:rFonts w:ascii="Arial" w:cs="Arial" w:eastAsia="Arial" w:hAnsi="Arial"/>
                <w:sz w:val="12"/>
                <w:szCs w:val="12"/>
                <w:b w:val="1"/>
                <w:bCs w:val="1"/>
                <w:color w:val="auto"/>
              </w:rPr>
              <w:t>Defined Benefit</w:t>
            </w:r>
          </w:p>
        </w:tc>
        <w:tc>
          <w:tcPr>
            <w:tcW w:w="200" w:type="dxa"/>
            <w:vAlign w:val="bottom"/>
          </w:tcPr>
          <w:p>
            <w:pPr>
              <w:spacing w:after="0"/>
              <w:rPr>
                <w:sz w:val="24"/>
                <w:szCs w:val="24"/>
                <w:color w:val="auto"/>
              </w:rPr>
            </w:pPr>
          </w:p>
        </w:tc>
        <w:tc>
          <w:tcPr>
            <w:tcW w:w="1100" w:type="dxa"/>
            <w:vAlign w:val="bottom"/>
            <w:vMerge w:val="restart"/>
          </w:tcPr>
          <w:p>
            <w:pPr>
              <w:jc w:val="center"/>
              <w:ind w:right="98"/>
              <w:spacing w:after="0"/>
              <w:rPr>
                <w:sz w:val="20"/>
                <w:szCs w:val="20"/>
                <w:color w:val="auto"/>
              </w:rPr>
            </w:pPr>
            <w:r>
              <w:rPr>
                <w:rFonts w:ascii="Arial" w:cs="Arial" w:eastAsia="Arial" w:hAnsi="Arial"/>
                <w:sz w:val="12"/>
                <w:szCs w:val="12"/>
                <w:b w:val="1"/>
                <w:bCs w:val="1"/>
                <w:color w:val="auto"/>
              </w:rPr>
              <w:t>Net Unrealized</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24"/>
              <w:spacing w:after="0" w:line="117" w:lineRule="exact"/>
              <w:rPr>
                <w:sz w:val="20"/>
                <w:szCs w:val="20"/>
                <w:color w:val="auto"/>
              </w:rPr>
            </w:pPr>
            <w:r>
              <w:rPr>
                <w:rFonts w:ascii="Arial" w:cs="Arial" w:eastAsia="Arial" w:hAnsi="Arial"/>
                <w:sz w:val="12"/>
                <w:szCs w:val="12"/>
                <w:b w:val="1"/>
                <w:bCs w:val="1"/>
                <w:color w:val="auto"/>
                <w:w w:val="97"/>
              </w:rPr>
              <w:t>(Losses) on</w:t>
            </w:r>
          </w:p>
        </w:tc>
        <w:tc>
          <w:tcPr>
            <w:tcW w:w="220" w:type="dxa"/>
            <w:vAlign w:val="bottom"/>
          </w:tcPr>
          <w:p>
            <w:pPr>
              <w:spacing w:after="0"/>
              <w:rPr>
                <w:sz w:val="10"/>
                <w:szCs w:val="10"/>
                <w:color w:val="auto"/>
              </w:rPr>
            </w:pPr>
          </w:p>
        </w:tc>
        <w:tc>
          <w:tcPr>
            <w:tcW w:w="1140" w:type="dxa"/>
            <w:vAlign w:val="bottom"/>
          </w:tcPr>
          <w:p>
            <w:pPr>
              <w:jc w:val="center"/>
              <w:ind w:right="125"/>
              <w:spacing w:after="0" w:line="117" w:lineRule="exact"/>
              <w:rPr>
                <w:sz w:val="20"/>
                <w:szCs w:val="20"/>
                <w:color w:val="auto"/>
              </w:rPr>
            </w:pPr>
            <w:r>
              <w:rPr>
                <w:rFonts w:ascii="Arial" w:cs="Arial" w:eastAsia="Arial" w:hAnsi="Arial"/>
                <w:sz w:val="12"/>
                <w:szCs w:val="12"/>
                <w:b w:val="1"/>
                <w:bCs w:val="1"/>
                <w:color w:val="auto"/>
                <w:w w:val="98"/>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16"/>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200" w:type="dxa"/>
            <w:vAlign w:val="bottom"/>
          </w:tcPr>
          <w:p>
            <w:pPr>
              <w:jc w:val="center"/>
              <w:ind w:right="83"/>
              <w:spacing w:after="0" w:line="117" w:lineRule="exact"/>
              <w:rPr>
                <w:sz w:val="20"/>
                <w:szCs w:val="20"/>
                <w:color w:val="auto"/>
              </w:rPr>
            </w:pPr>
            <w:r>
              <w:rPr>
                <w:rFonts w:ascii="Arial" w:cs="Arial" w:eastAsia="Arial" w:hAnsi="Arial"/>
                <w:sz w:val="12"/>
                <w:szCs w:val="12"/>
                <w:b w:val="1"/>
                <w:bCs w:val="1"/>
                <w:color w:val="auto"/>
                <w:w w:val="98"/>
              </w:rPr>
              <w:t>Translation</w:t>
            </w:r>
          </w:p>
        </w:tc>
        <w:tc>
          <w:tcPr>
            <w:tcW w:w="220" w:type="dxa"/>
            <w:vAlign w:val="bottom"/>
          </w:tcPr>
          <w:p>
            <w:pPr>
              <w:spacing w:after="0"/>
              <w:rPr>
                <w:sz w:val="10"/>
                <w:szCs w:val="10"/>
                <w:color w:val="auto"/>
              </w:rPr>
            </w:pPr>
          </w:p>
        </w:tc>
        <w:tc>
          <w:tcPr>
            <w:tcW w:w="1140" w:type="dxa"/>
            <w:vAlign w:val="bottom"/>
          </w:tcPr>
          <w:p>
            <w:pPr>
              <w:jc w:val="center"/>
              <w:ind w:right="144"/>
              <w:spacing w:after="0" w:line="117" w:lineRule="exact"/>
              <w:rPr>
                <w:sz w:val="20"/>
                <w:szCs w:val="20"/>
                <w:color w:val="auto"/>
              </w:rPr>
            </w:pPr>
            <w:r>
              <w:rPr>
                <w:rFonts w:ascii="Arial" w:cs="Arial" w:eastAsia="Arial" w:hAnsi="Arial"/>
                <w:sz w:val="12"/>
                <w:szCs w:val="12"/>
                <w:b w:val="1"/>
                <w:bCs w:val="1"/>
                <w:color w:val="auto"/>
                <w:w w:val="99"/>
              </w:rPr>
              <w:t>Available-For-</w:t>
            </w:r>
          </w:p>
        </w:tc>
        <w:tc>
          <w:tcPr>
            <w:tcW w:w="220" w:type="dxa"/>
            <w:vAlign w:val="bottom"/>
          </w:tcPr>
          <w:p>
            <w:pPr>
              <w:spacing w:after="0"/>
              <w:rPr>
                <w:sz w:val="10"/>
                <w:szCs w:val="10"/>
                <w:color w:val="auto"/>
              </w:rPr>
            </w:pPr>
          </w:p>
        </w:tc>
        <w:tc>
          <w:tcPr>
            <w:tcW w:w="1140" w:type="dxa"/>
            <w:vAlign w:val="bottom"/>
          </w:tcPr>
          <w:p>
            <w:pPr>
              <w:jc w:val="center"/>
              <w:ind w:right="125"/>
              <w:spacing w:after="0" w:line="117" w:lineRule="exact"/>
              <w:rPr>
                <w:sz w:val="20"/>
                <w:szCs w:val="20"/>
                <w:color w:val="auto"/>
              </w:rPr>
            </w:pPr>
            <w:r>
              <w:rPr>
                <w:rFonts w:ascii="Arial" w:cs="Arial" w:eastAsia="Arial" w:hAnsi="Arial"/>
                <w:sz w:val="12"/>
                <w:szCs w:val="12"/>
                <w:b w:val="1"/>
                <w:bCs w:val="1"/>
                <w:color w:val="auto"/>
              </w:rPr>
              <w:t>Retiree Health</w:t>
            </w:r>
          </w:p>
        </w:tc>
        <w:tc>
          <w:tcPr>
            <w:tcW w:w="130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9"/>
              </w:rPr>
              <w:t>Gains (Losses) on</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b w:val="1"/>
                <w:bCs w:val="1"/>
                <w:color w:val="auto"/>
              </w:rPr>
              <w:t>Gains (Losses)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rPr>
              <w:t>Sale Securities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rPr>
              <w:t>Benefit Plans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July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(1,844.2)</w:t>
            </w:r>
          </w:p>
        </w:tc>
        <w:tc>
          <w:tcPr>
            <w:tcW w:w="2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27.6</w:t>
            </w:r>
          </w:p>
        </w:tc>
        <w:tc>
          <w:tcPr>
            <w:tcW w:w="4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(4,287.7)</w:t>
            </w:r>
          </w:p>
        </w:tc>
        <w:tc>
          <w:tcPr>
            <w:tcW w:w="0" w:type="dxa"/>
            <w:vAlign w:val="bottom"/>
          </w:tcPr>
          <w:p>
            <w:pPr>
              <w:spacing w:after="0"/>
              <w:rPr>
                <w:sz w:val="1"/>
                <w:szCs w:val="1"/>
                <w:color w:val="auto"/>
              </w:rPr>
            </w:pPr>
          </w:p>
        </w:tc>
      </w:tr>
      <w:tr>
        <w:trPr>
          <w:trHeight w:val="168"/>
        </w:trPr>
        <w:tc>
          <w:tcPr>
            <w:tcW w:w="452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20"/>
                <w:szCs w:val="20"/>
                <w:color w:val="auto"/>
              </w:rPr>
            </w:pPr>
          </w:p>
        </w:tc>
        <w:tc>
          <w:tcPr>
            <w:tcW w:w="1200" w:type="dxa"/>
            <w:vAlign w:val="bottom"/>
          </w:tcPr>
          <w:p>
            <w:pPr>
              <w:jc w:val="right"/>
              <w:ind w:right="3"/>
              <w:spacing w:after="0"/>
              <w:rPr>
                <w:sz w:val="20"/>
                <w:szCs w:val="20"/>
                <w:color w:val="auto"/>
              </w:rPr>
            </w:pPr>
            <w:r>
              <w:rPr>
                <w:rFonts w:ascii="Arial" w:cs="Arial" w:eastAsia="Arial" w:hAnsi="Arial"/>
                <w:sz w:val="17"/>
                <w:szCs w:val="17"/>
                <w:color w:val="auto"/>
              </w:rPr>
              <w:t>(165.1)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(24.9)</w:t>
            </w:r>
          </w:p>
        </w:tc>
        <w:tc>
          <w:tcPr>
            <w:tcW w:w="220" w:type="dxa"/>
            <w:vAlign w:val="bottom"/>
          </w:tcPr>
          <w:p>
            <w:pPr>
              <w:spacing w:after="0"/>
              <w:rPr>
                <w:sz w:val="20"/>
                <w:szCs w:val="20"/>
                <w:color w:val="auto"/>
              </w:rPr>
            </w:pPr>
          </w:p>
        </w:tc>
        <w:tc>
          <w:tcPr>
            <w:tcW w:w="1140" w:type="dxa"/>
            <w:vAlign w:val="bottom"/>
          </w:tcPr>
          <w:p>
            <w:pPr>
              <w:jc w:val="right"/>
              <w:ind w:right="45"/>
              <w:spacing w:after="0"/>
              <w:rPr>
                <w:sz w:val="20"/>
                <w:szCs w:val="20"/>
                <w:color w:val="auto"/>
              </w:rPr>
            </w:pPr>
            <w:r>
              <w:rPr>
                <w:rFonts w:ascii="Arial" w:cs="Arial" w:eastAsia="Arial" w:hAnsi="Arial"/>
                <w:sz w:val="17"/>
                <w:szCs w:val="17"/>
                <w:color w:val="auto"/>
              </w:rPr>
              <w:t>47.8</w:t>
            </w:r>
          </w:p>
        </w:tc>
        <w:tc>
          <w:tcPr>
            <w:tcW w:w="2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63.0</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168"/>
        </w:trPr>
        <w:tc>
          <w:tcPr>
            <w:tcW w:w="45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7"/>
                <w:szCs w:val="17"/>
                <w:color w:val="auto"/>
              </w:rPr>
              <w:t>13.5</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rPr>
              <w:t>57.2</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0.4</w:t>
            </w: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(165.1)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color w:val="auto"/>
              </w:rPr>
              <w:t>105.0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63.4</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(2,009.3)</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91.0</w:t>
            </w:r>
          </w:p>
        </w:tc>
        <w:tc>
          <w:tcPr>
            <w:tcW w:w="4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(4,295.8)</w:t>
            </w:r>
          </w:p>
        </w:tc>
        <w:tc>
          <w:tcPr>
            <w:tcW w:w="0" w:type="dxa"/>
            <w:vAlign w:val="bottom"/>
          </w:tcPr>
          <w:p>
            <w:pPr>
              <w:spacing w:after="0"/>
              <w:rPr>
                <w:sz w:val="1"/>
                <w:szCs w:val="1"/>
                <w:color w:val="auto"/>
              </w:rPr>
            </w:pPr>
          </w:p>
        </w:tc>
      </w:tr>
      <w:tr>
        <w:trPr>
          <w:trHeight w:val="375"/>
        </w:trPr>
        <w:tc>
          <w:tcPr>
            <w:tcW w:w="11240" w:type="dxa"/>
            <w:vAlign w:val="bottom"/>
            <w:gridSpan w:val="11"/>
          </w:tcPr>
          <w:p>
            <w:pPr>
              <w:spacing w:after="0"/>
              <w:rPr>
                <w:sz w:val="20"/>
                <w:szCs w:val="20"/>
                <w:color w:val="auto"/>
              </w:rPr>
            </w:pPr>
            <w:r>
              <w:rPr>
                <w:rFonts w:ascii="Arial" w:cs="Arial" w:eastAsia="Arial" w:hAnsi="Arial"/>
                <w:sz w:val="17"/>
                <w:szCs w:val="17"/>
                <w:color w:val="auto"/>
              </w:rPr>
              <w:t>The following tables summarize the activity related to each component of other comprehensive income (loss) during the nine months ended</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7"/>
                <w:szCs w:val="17"/>
                <w:color w:val="auto"/>
              </w:rPr>
              <w:t>September 30, 2023 and 2022: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vMerge w:val="restart"/>
          </w:tcPr>
          <w:p>
            <w:pPr>
              <w:jc w:val="center"/>
              <w:ind w:right="83"/>
              <w:spacing w:after="0"/>
              <w:rPr>
                <w:sz w:val="20"/>
                <w:szCs w:val="20"/>
                <w:color w:val="auto"/>
              </w:rPr>
            </w:pPr>
            <w:r>
              <w:rPr>
                <w:rFonts w:ascii="Arial" w:cs="Arial" w:eastAsia="Arial" w:hAnsi="Arial"/>
                <w:sz w:val="12"/>
                <w:szCs w:val="12"/>
                <w:b w:val="1"/>
                <w:bCs w:val="1"/>
                <w:color w:val="auto"/>
                <w:w w:val="99"/>
              </w:rPr>
              <w:t>Foreign Currency</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Net Unrealized Gains</w:t>
            </w:r>
          </w:p>
        </w:tc>
        <w:tc>
          <w:tcPr>
            <w:tcW w:w="220" w:type="dxa"/>
            <w:vAlign w:val="bottom"/>
          </w:tcPr>
          <w:p>
            <w:pPr>
              <w:spacing w:after="0"/>
              <w:rPr>
                <w:sz w:val="21"/>
                <w:szCs w:val="21"/>
                <w:color w:val="auto"/>
              </w:rPr>
            </w:pPr>
          </w:p>
        </w:tc>
        <w:tc>
          <w:tcPr>
            <w:tcW w:w="1140" w:type="dxa"/>
            <w:vAlign w:val="bottom"/>
          </w:tcPr>
          <w:p>
            <w:pPr>
              <w:jc w:val="center"/>
              <w:ind w:right="125"/>
              <w:spacing w:after="0"/>
              <w:rPr>
                <w:sz w:val="20"/>
                <w:szCs w:val="20"/>
                <w:color w:val="auto"/>
              </w:rPr>
            </w:pPr>
            <w:r>
              <w:rPr>
                <w:rFonts w:ascii="Arial" w:cs="Arial" w:eastAsia="Arial" w:hAnsi="Arial"/>
                <w:sz w:val="12"/>
                <w:szCs w:val="12"/>
                <w:b w:val="1"/>
                <w:bCs w:val="1"/>
                <w:color w:val="auto"/>
              </w:rPr>
              <w:t>Defined Benefit</w:t>
            </w:r>
          </w:p>
        </w:tc>
        <w:tc>
          <w:tcPr>
            <w:tcW w:w="200" w:type="dxa"/>
            <w:vAlign w:val="bottom"/>
          </w:tcPr>
          <w:p>
            <w:pPr>
              <w:spacing w:after="0"/>
              <w:rPr>
                <w:sz w:val="21"/>
                <w:szCs w:val="21"/>
                <w:color w:val="auto"/>
              </w:rPr>
            </w:pPr>
          </w:p>
        </w:tc>
        <w:tc>
          <w:tcPr>
            <w:tcW w:w="1100" w:type="dxa"/>
            <w:vAlign w:val="bottom"/>
            <w:vMerge w:val="restart"/>
          </w:tcPr>
          <w:p>
            <w:pPr>
              <w:jc w:val="center"/>
              <w:ind w:right="98"/>
              <w:spacing w:after="0"/>
              <w:rPr>
                <w:sz w:val="20"/>
                <w:szCs w:val="20"/>
                <w:color w:val="auto"/>
              </w:rPr>
            </w:pPr>
            <w:r>
              <w:rPr>
                <w:rFonts w:ascii="Arial" w:cs="Arial" w:eastAsia="Arial" w:hAnsi="Arial"/>
                <w:sz w:val="12"/>
                <w:szCs w:val="12"/>
                <w:b w:val="1"/>
                <w:bCs w:val="1"/>
                <w:color w:val="auto"/>
              </w:rPr>
              <w:t>Net Unrealized</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24"/>
              <w:spacing w:after="0" w:line="124" w:lineRule="exact"/>
              <w:rPr>
                <w:sz w:val="20"/>
                <w:szCs w:val="20"/>
                <w:color w:val="auto"/>
              </w:rPr>
            </w:pPr>
            <w:r>
              <w:rPr>
                <w:rFonts w:ascii="Arial" w:cs="Arial" w:eastAsia="Arial" w:hAnsi="Arial"/>
                <w:sz w:val="12"/>
                <w:szCs w:val="12"/>
                <w:b w:val="1"/>
                <w:bCs w:val="1"/>
                <w:color w:val="auto"/>
                <w:w w:val="97"/>
              </w:rPr>
              <w:t>(Losses) on</w:t>
            </w:r>
          </w:p>
        </w:tc>
        <w:tc>
          <w:tcPr>
            <w:tcW w:w="220" w:type="dxa"/>
            <w:vAlign w:val="bottom"/>
          </w:tcPr>
          <w:p>
            <w:pPr>
              <w:spacing w:after="0"/>
              <w:rPr>
                <w:sz w:val="10"/>
                <w:szCs w:val="10"/>
                <w:color w:val="auto"/>
              </w:rPr>
            </w:pPr>
          </w:p>
        </w:tc>
        <w:tc>
          <w:tcPr>
            <w:tcW w:w="1140" w:type="dxa"/>
            <w:vAlign w:val="bottom"/>
          </w:tcPr>
          <w:p>
            <w:pPr>
              <w:jc w:val="center"/>
              <w:ind w:right="125"/>
              <w:spacing w:after="0" w:line="124" w:lineRule="exact"/>
              <w:rPr>
                <w:sz w:val="20"/>
                <w:szCs w:val="20"/>
                <w:color w:val="auto"/>
              </w:rPr>
            </w:pPr>
            <w:r>
              <w:rPr>
                <w:rFonts w:ascii="Arial" w:cs="Arial" w:eastAsia="Arial" w:hAnsi="Arial"/>
                <w:sz w:val="12"/>
                <w:szCs w:val="12"/>
                <w:b w:val="1"/>
                <w:bCs w:val="1"/>
                <w:color w:val="auto"/>
                <w:w w:val="98"/>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16"/>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200" w:type="dxa"/>
            <w:vAlign w:val="bottom"/>
          </w:tcPr>
          <w:p>
            <w:pPr>
              <w:jc w:val="center"/>
              <w:ind w:right="83"/>
              <w:spacing w:after="0" w:line="117" w:lineRule="exact"/>
              <w:rPr>
                <w:sz w:val="20"/>
                <w:szCs w:val="20"/>
                <w:color w:val="auto"/>
              </w:rPr>
            </w:pPr>
            <w:r>
              <w:rPr>
                <w:rFonts w:ascii="Arial" w:cs="Arial" w:eastAsia="Arial" w:hAnsi="Arial"/>
                <w:sz w:val="12"/>
                <w:szCs w:val="12"/>
                <w:b w:val="1"/>
                <w:bCs w:val="1"/>
                <w:color w:val="auto"/>
                <w:w w:val="98"/>
              </w:rPr>
              <w:t>Translation</w:t>
            </w:r>
          </w:p>
        </w:tc>
        <w:tc>
          <w:tcPr>
            <w:tcW w:w="220" w:type="dxa"/>
            <w:vAlign w:val="bottom"/>
          </w:tcPr>
          <w:p>
            <w:pPr>
              <w:spacing w:after="0"/>
              <w:rPr>
                <w:sz w:val="10"/>
                <w:szCs w:val="10"/>
                <w:color w:val="auto"/>
              </w:rPr>
            </w:pPr>
          </w:p>
        </w:tc>
        <w:tc>
          <w:tcPr>
            <w:tcW w:w="1140" w:type="dxa"/>
            <w:vAlign w:val="bottom"/>
          </w:tcPr>
          <w:p>
            <w:pPr>
              <w:jc w:val="center"/>
              <w:ind w:right="144"/>
              <w:spacing w:after="0" w:line="117" w:lineRule="exact"/>
              <w:rPr>
                <w:sz w:val="20"/>
                <w:szCs w:val="20"/>
                <w:color w:val="auto"/>
              </w:rPr>
            </w:pPr>
            <w:r>
              <w:rPr>
                <w:rFonts w:ascii="Arial" w:cs="Arial" w:eastAsia="Arial" w:hAnsi="Arial"/>
                <w:sz w:val="12"/>
                <w:szCs w:val="12"/>
                <w:b w:val="1"/>
                <w:bCs w:val="1"/>
                <w:color w:val="auto"/>
                <w:w w:val="99"/>
              </w:rPr>
              <w:t>Available-For-</w:t>
            </w:r>
          </w:p>
        </w:tc>
        <w:tc>
          <w:tcPr>
            <w:tcW w:w="220" w:type="dxa"/>
            <w:vAlign w:val="bottom"/>
          </w:tcPr>
          <w:p>
            <w:pPr>
              <w:spacing w:after="0"/>
              <w:rPr>
                <w:sz w:val="10"/>
                <w:szCs w:val="10"/>
                <w:color w:val="auto"/>
              </w:rPr>
            </w:pPr>
          </w:p>
        </w:tc>
        <w:tc>
          <w:tcPr>
            <w:tcW w:w="1140" w:type="dxa"/>
            <w:vAlign w:val="bottom"/>
          </w:tcPr>
          <w:p>
            <w:pPr>
              <w:jc w:val="center"/>
              <w:ind w:right="125"/>
              <w:spacing w:after="0" w:line="117" w:lineRule="exact"/>
              <w:rPr>
                <w:sz w:val="20"/>
                <w:szCs w:val="20"/>
                <w:color w:val="auto"/>
              </w:rPr>
            </w:pPr>
            <w:r>
              <w:rPr>
                <w:rFonts w:ascii="Arial" w:cs="Arial" w:eastAsia="Arial" w:hAnsi="Arial"/>
                <w:sz w:val="12"/>
                <w:szCs w:val="12"/>
                <w:b w:val="1"/>
                <w:bCs w:val="1"/>
                <w:color w:val="auto"/>
              </w:rPr>
              <w:t>Retiree Health</w:t>
            </w:r>
          </w:p>
        </w:tc>
        <w:tc>
          <w:tcPr>
            <w:tcW w:w="130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9"/>
              </w:rPr>
              <w:t>Gains (Losses) on</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b w:val="1"/>
                <w:bCs w:val="1"/>
                <w:color w:val="auto"/>
              </w:rPr>
              <w:t>Gains (Losses)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rPr>
              <w:t>Sale Securities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rPr>
              <w:t>Benefit Plans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(1,874.2)</w:t>
            </w:r>
          </w:p>
        </w:tc>
        <w:tc>
          <w:tcPr>
            <w:tcW w:w="2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(2,062.3)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129.0</w:t>
            </w:r>
          </w:p>
        </w:tc>
        <w:tc>
          <w:tcPr>
            <w:tcW w:w="420" w:type="dxa"/>
            <w:vAlign w:val="bottom"/>
            <w:shd w:val="clear" w:color="auto" w:fill="CCEEFF"/>
          </w:tcPr>
          <w:p>
            <w:pPr>
              <w:jc w:val="right"/>
              <w:ind w:right="187"/>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(3,844.6)</w:t>
            </w:r>
          </w:p>
        </w:tc>
        <w:tc>
          <w:tcPr>
            <w:tcW w:w="0" w:type="dxa"/>
            <w:vAlign w:val="bottom"/>
          </w:tcPr>
          <w:p>
            <w:pPr>
              <w:spacing w:after="0"/>
              <w:rPr>
                <w:sz w:val="1"/>
                <w:szCs w:val="1"/>
                <w:color w:val="auto"/>
              </w:rPr>
            </w:pPr>
          </w:p>
        </w:tc>
      </w:tr>
      <w:tr>
        <w:trPr>
          <w:trHeight w:val="181"/>
        </w:trPr>
        <w:tc>
          <w:tcPr>
            <w:tcW w:w="4520" w:type="dxa"/>
            <w:vAlign w:val="bottom"/>
          </w:tcPr>
          <w:p>
            <w:pPr>
              <w:ind w:left="180"/>
              <w:spacing w:after="0" w:line="181"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5"/>
                <w:szCs w:val="15"/>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7"/>
                <w:szCs w:val="17"/>
                <w:b w:val="1"/>
                <w:bCs w:val="1"/>
                <w:color w:val="auto"/>
              </w:rPr>
              <w:t>(74.6)</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(11.3)</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(11.9)</w:t>
            </w:r>
          </w:p>
        </w:tc>
        <w:tc>
          <w:tcPr>
            <w:tcW w:w="200" w:type="dxa"/>
            <w:vAlign w:val="bottom"/>
          </w:tcPr>
          <w:p>
            <w:pPr>
              <w:spacing w:after="0"/>
              <w:rPr>
                <w:sz w:val="15"/>
                <w:szCs w:val="15"/>
                <w:color w:val="auto"/>
              </w:rPr>
            </w:pPr>
          </w:p>
        </w:tc>
        <w:tc>
          <w:tcPr>
            <w:tcW w:w="1100" w:type="dxa"/>
            <w:vAlign w:val="bottom"/>
            <w:vMerge w:val="restart"/>
          </w:tcPr>
          <w:p>
            <w:pPr>
              <w:jc w:val="right"/>
              <w:ind w:right="38"/>
              <w:spacing w:after="0"/>
              <w:rPr>
                <w:sz w:val="20"/>
                <w:szCs w:val="20"/>
                <w:color w:val="auto"/>
              </w:rPr>
            </w:pPr>
            <w:r>
              <w:rPr>
                <w:rFonts w:ascii="Arial" w:cs="Arial" w:eastAsia="Arial" w:hAnsi="Arial"/>
                <w:sz w:val="17"/>
                <w:szCs w:val="17"/>
                <w:b w:val="1"/>
                <w:bCs w:val="1"/>
                <w:color w:val="auto"/>
              </w:rPr>
              <w:t>135.8</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38.0</w:t>
            </w:r>
          </w:p>
        </w:tc>
        <w:tc>
          <w:tcPr>
            <w:tcW w:w="0" w:type="dxa"/>
            <w:vAlign w:val="bottom"/>
          </w:tcPr>
          <w:p>
            <w:pPr>
              <w:spacing w:after="0"/>
              <w:rPr>
                <w:sz w:val="1"/>
                <w:szCs w:val="1"/>
                <w:color w:val="auto"/>
              </w:rPr>
            </w:pPr>
          </w:p>
        </w:tc>
      </w:tr>
      <w:tr>
        <w:trPr>
          <w:trHeight w:val="220"/>
        </w:trPr>
        <w:tc>
          <w:tcPr>
            <w:tcW w:w="452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180"/>
              <w:spacing w:after="0" w:line="181"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(25.2)</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4"/>
              <w:spacing w:after="0"/>
              <w:rPr>
                <w:sz w:val="20"/>
                <w:szCs w:val="20"/>
                <w:color w:val="auto"/>
              </w:rPr>
            </w:pPr>
            <w:r>
              <w:rPr>
                <w:rFonts w:ascii="Arial" w:cs="Arial" w:eastAsia="Arial" w:hAnsi="Arial"/>
                <w:sz w:val="17"/>
                <w:szCs w:val="17"/>
                <w:b w:val="1"/>
                <w:bCs w:val="1"/>
                <w:color w:val="auto"/>
              </w:rPr>
              <w:t>2.8</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38.9</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5.2</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21.7</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(99.8)</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b w:val="1"/>
                <w:bCs w:val="1"/>
                <w:color w:val="auto"/>
              </w:rPr>
              <w:t>27.0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141.0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59.7</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(1,974.0)</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(2,035.3)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270.0</w:t>
            </w:r>
          </w:p>
        </w:tc>
        <w:tc>
          <w:tcPr>
            <w:tcW w:w="4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(3,784.9)</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center"/>
              <w:ind w:right="83"/>
              <w:spacing w:after="0"/>
              <w:rPr>
                <w:sz w:val="20"/>
                <w:szCs w:val="20"/>
                <w:color w:val="auto"/>
              </w:rPr>
            </w:pPr>
            <w:r>
              <w:rPr>
                <w:rFonts w:ascii="Arial" w:cs="Arial" w:eastAsia="Arial" w:hAnsi="Arial"/>
                <w:sz w:val="12"/>
                <w:szCs w:val="12"/>
                <w:b w:val="1"/>
                <w:bCs w:val="1"/>
                <w:color w:val="auto"/>
                <w:w w:val="99"/>
              </w:rPr>
              <w:t>Foreign Currency</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Net Unrealized Gains</w:t>
            </w:r>
          </w:p>
        </w:tc>
        <w:tc>
          <w:tcPr>
            <w:tcW w:w="220" w:type="dxa"/>
            <w:vAlign w:val="bottom"/>
          </w:tcPr>
          <w:p>
            <w:pPr>
              <w:spacing w:after="0"/>
              <w:rPr>
                <w:sz w:val="24"/>
                <w:szCs w:val="24"/>
                <w:color w:val="auto"/>
              </w:rPr>
            </w:pPr>
          </w:p>
        </w:tc>
        <w:tc>
          <w:tcPr>
            <w:tcW w:w="1140" w:type="dxa"/>
            <w:vAlign w:val="bottom"/>
          </w:tcPr>
          <w:p>
            <w:pPr>
              <w:jc w:val="center"/>
              <w:ind w:right="125"/>
              <w:spacing w:after="0"/>
              <w:rPr>
                <w:sz w:val="20"/>
                <w:szCs w:val="20"/>
                <w:color w:val="auto"/>
              </w:rPr>
            </w:pPr>
            <w:r>
              <w:rPr>
                <w:rFonts w:ascii="Arial" w:cs="Arial" w:eastAsia="Arial" w:hAnsi="Arial"/>
                <w:sz w:val="12"/>
                <w:szCs w:val="12"/>
                <w:b w:val="1"/>
                <w:bCs w:val="1"/>
                <w:color w:val="auto"/>
              </w:rPr>
              <w:t>Defined Benefit</w:t>
            </w:r>
          </w:p>
        </w:tc>
        <w:tc>
          <w:tcPr>
            <w:tcW w:w="200" w:type="dxa"/>
            <w:vAlign w:val="bottom"/>
          </w:tcPr>
          <w:p>
            <w:pPr>
              <w:spacing w:after="0"/>
              <w:rPr>
                <w:sz w:val="24"/>
                <w:szCs w:val="24"/>
                <w:color w:val="auto"/>
              </w:rPr>
            </w:pPr>
          </w:p>
        </w:tc>
        <w:tc>
          <w:tcPr>
            <w:tcW w:w="1100" w:type="dxa"/>
            <w:vAlign w:val="bottom"/>
            <w:vMerge w:val="restart"/>
          </w:tcPr>
          <w:p>
            <w:pPr>
              <w:jc w:val="center"/>
              <w:ind w:right="98"/>
              <w:spacing w:after="0"/>
              <w:rPr>
                <w:sz w:val="20"/>
                <w:szCs w:val="20"/>
                <w:color w:val="auto"/>
              </w:rPr>
            </w:pPr>
            <w:r>
              <w:rPr>
                <w:rFonts w:ascii="Arial" w:cs="Arial" w:eastAsia="Arial" w:hAnsi="Arial"/>
                <w:sz w:val="12"/>
                <w:szCs w:val="12"/>
                <w:b w:val="1"/>
                <w:bCs w:val="1"/>
                <w:color w:val="auto"/>
              </w:rPr>
              <w:t>Net Unrealized</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24"/>
              <w:spacing w:after="0" w:line="117" w:lineRule="exact"/>
              <w:rPr>
                <w:sz w:val="20"/>
                <w:szCs w:val="20"/>
                <w:color w:val="auto"/>
              </w:rPr>
            </w:pPr>
            <w:r>
              <w:rPr>
                <w:rFonts w:ascii="Arial" w:cs="Arial" w:eastAsia="Arial" w:hAnsi="Arial"/>
                <w:sz w:val="12"/>
                <w:szCs w:val="12"/>
                <w:b w:val="1"/>
                <w:bCs w:val="1"/>
                <w:color w:val="auto"/>
                <w:w w:val="97"/>
              </w:rPr>
              <w:t>(Losses) on</w:t>
            </w:r>
          </w:p>
        </w:tc>
        <w:tc>
          <w:tcPr>
            <w:tcW w:w="220" w:type="dxa"/>
            <w:vAlign w:val="bottom"/>
          </w:tcPr>
          <w:p>
            <w:pPr>
              <w:spacing w:after="0"/>
              <w:rPr>
                <w:sz w:val="10"/>
                <w:szCs w:val="10"/>
                <w:color w:val="auto"/>
              </w:rPr>
            </w:pPr>
          </w:p>
        </w:tc>
        <w:tc>
          <w:tcPr>
            <w:tcW w:w="1140" w:type="dxa"/>
            <w:vAlign w:val="bottom"/>
          </w:tcPr>
          <w:p>
            <w:pPr>
              <w:jc w:val="center"/>
              <w:ind w:right="125"/>
              <w:spacing w:after="0" w:line="117" w:lineRule="exact"/>
              <w:rPr>
                <w:sz w:val="20"/>
                <w:szCs w:val="20"/>
                <w:color w:val="auto"/>
              </w:rPr>
            </w:pPr>
            <w:r>
              <w:rPr>
                <w:rFonts w:ascii="Arial" w:cs="Arial" w:eastAsia="Arial" w:hAnsi="Arial"/>
                <w:sz w:val="12"/>
                <w:szCs w:val="12"/>
                <w:b w:val="1"/>
                <w:bCs w:val="1"/>
                <w:color w:val="auto"/>
                <w:w w:val="98"/>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29"/>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1"/>
                <w:szCs w:val="11"/>
                <w:color w:val="auto"/>
              </w:rPr>
            </w:pPr>
          </w:p>
        </w:tc>
        <w:tc>
          <w:tcPr>
            <w:tcW w:w="1200" w:type="dxa"/>
            <w:vAlign w:val="bottom"/>
          </w:tcPr>
          <w:p>
            <w:pPr>
              <w:jc w:val="center"/>
              <w:ind w:right="83"/>
              <w:spacing w:after="0" w:line="129" w:lineRule="exact"/>
              <w:rPr>
                <w:sz w:val="20"/>
                <w:szCs w:val="20"/>
                <w:color w:val="auto"/>
              </w:rPr>
            </w:pPr>
            <w:r>
              <w:rPr>
                <w:rFonts w:ascii="Arial" w:cs="Arial" w:eastAsia="Arial" w:hAnsi="Arial"/>
                <w:sz w:val="12"/>
                <w:szCs w:val="12"/>
                <w:b w:val="1"/>
                <w:bCs w:val="1"/>
                <w:color w:val="auto"/>
                <w:w w:val="98"/>
              </w:rPr>
              <w:t>Translation</w:t>
            </w:r>
          </w:p>
        </w:tc>
        <w:tc>
          <w:tcPr>
            <w:tcW w:w="220" w:type="dxa"/>
            <w:vAlign w:val="bottom"/>
          </w:tcPr>
          <w:p>
            <w:pPr>
              <w:spacing w:after="0"/>
              <w:rPr>
                <w:sz w:val="11"/>
                <w:szCs w:val="11"/>
                <w:color w:val="auto"/>
              </w:rPr>
            </w:pPr>
          </w:p>
        </w:tc>
        <w:tc>
          <w:tcPr>
            <w:tcW w:w="1140" w:type="dxa"/>
            <w:vAlign w:val="bottom"/>
          </w:tcPr>
          <w:p>
            <w:pPr>
              <w:jc w:val="center"/>
              <w:ind w:right="144"/>
              <w:spacing w:after="0" w:line="129" w:lineRule="exact"/>
              <w:rPr>
                <w:sz w:val="20"/>
                <w:szCs w:val="20"/>
                <w:color w:val="auto"/>
              </w:rPr>
            </w:pPr>
            <w:r>
              <w:rPr>
                <w:rFonts w:ascii="Arial" w:cs="Arial" w:eastAsia="Arial" w:hAnsi="Arial"/>
                <w:sz w:val="12"/>
                <w:szCs w:val="12"/>
                <w:b w:val="1"/>
                <w:bCs w:val="1"/>
                <w:color w:val="auto"/>
                <w:w w:val="99"/>
              </w:rPr>
              <w:t>Available-For-</w:t>
            </w:r>
          </w:p>
        </w:tc>
        <w:tc>
          <w:tcPr>
            <w:tcW w:w="220" w:type="dxa"/>
            <w:vAlign w:val="bottom"/>
          </w:tcPr>
          <w:p>
            <w:pPr>
              <w:spacing w:after="0"/>
              <w:rPr>
                <w:sz w:val="11"/>
                <w:szCs w:val="11"/>
                <w:color w:val="auto"/>
              </w:rPr>
            </w:pPr>
          </w:p>
        </w:tc>
        <w:tc>
          <w:tcPr>
            <w:tcW w:w="1140" w:type="dxa"/>
            <w:vAlign w:val="bottom"/>
          </w:tcPr>
          <w:p>
            <w:pPr>
              <w:jc w:val="center"/>
              <w:ind w:right="125"/>
              <w:spacing w:after="0" w:line="129" w:lineRule="exact"/>
              <w:rPr>
                <w:sz w:val="20"/>
                <w:szCs w:val="20"/>
                <w:color w:val="auto"/>
              </w:rPr>
            </w:pPr>
            <w:r>
              <w:rPr>
                <w:rFonts w:ascii="Arial" w:cs="Arial" w:eastAsia="Arial" w:hAnsi="Arial"/>
                <w:sz w:val="12"/>
                <w:szCs w:val="12"/>
                <w:b w:val="1"/>
                <w:bCs w:val="1"/>
                <w:color w:val="auto"/>
              </w:rPr>
              <w:t>Retiree Health</w:t>
            </w:r>
          </w:p>
        </w:tc>
        <w:tc>
          <w:tcPr>
            <w:tcW w:w="13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Gains (Losses) on</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b w:val="1"/>
                <w:bCs w:val="1"/>
                <w:color w:val="auto"/>
              </w:rPr>
              <w:t>Gains (Losses)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rPr>
              <w:t>Sale Securities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rPr>
              <w:t>Benefit Plans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(1,550.2)</w:t>
            </w:r>
          </w:p>
        </w:tc>
        <w:tc>
          <w:tcPr>
            <w:tcW w:w="2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4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(4,343.1)</w:t>
            </w:r>
          </w:p>
        </w:tc>
        <w:tc>
          <w:tcPr>
            <w:tcW w:w="0" w:type="dxa"/>
            <w:vAlign w:val="bottom"/>
          </w:tcPr>
          <w:p>
            <w:pPr>
              <w:spacing w:after="0"/>
              <w:rPr>
                <w:sz w:val="1"/>
                <w:szCs w:val="1"/>
                <w:color w:val="auto"/>
              </w:rPr>
            </w:pPr>
          </w:p>
        </w:tc>
      </w:tr>
      <w:tr>
        <w:trPr>
          <w:trHeight w:val="168"/>
        </w:trPr>
        <w:tc>
          <w:tcPr>
            <w:tcW w:w="452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20"/>
                <w:szCs w:val="20"/>
                <w:color w:val="auto"/>
              </w:rPr>
            </w:pPr>
          </w:p>
        </w:tc>
        <w:tc>
          <w:tcPr>
            <w:tcW w:w="1200" w:type="dxa"/>
            <w:vAlign w:val="bottom"/>
          </w:tcPr>
          <w:p>
            <w:pPr>
              <w:jc w:val="right"/>
              <w:ind w:right="3"/>
              <w:spacing w:after="0"/>
              <w:rPr>
                <w:sz w:val="20"/>
                <w:szCs w:val="20"/>
                <w:color w:val="auto"/>
              </w:rPr>
            </w:pPr>
            <w:r>
              <w:rPr>
                <w:rFonts w:ascii="Arial" w:cs="Arial" w:eastAsia="Arial" w:hAnsi="Arial"/>
                <w:sz w:val="17"/>
                <w:szCs w:val="17"/>
                <w:color w:val="auto"/>
              </w:rPr>
              <w:t>(459.7)</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(55.5)</w:t>
            </w:r>
          </w:p>
        </w:tc>
        <w:tc>
          <w:tcPr>
            <w:tcW w:w="220" w:type="dxa"/>
            <w:vAlign w:val="bottom"/>
          </w:tcPr>
          <w:p>
            <w:pPr>
              <w:spacing w:after="0"/>
              <w:rPr>
                <w:sz w:val="20"/>
                <w:szCs w:val="20"/>
                <w:color w:val="auto"/>
              </w:rPr>
            </w:pPr>
          </w:p>
        </w:tc>
        <w:tc>
          <w:tcPr>
            <w:tcW w:w="1140" w:type="dxa"/>
            <w:vAlign w:val="bottom"/>
          </w:tcPr>
          <w:p>
            <w:pPr>
              <w:jc w:val="right"/>
              <w:ind w:right="45"/>
              <w:spacing w:after="0"/>
              <w:rPr>
                <w:sz w:val="20"/>
                <w:szCs w:val="20"/>
                <w:color w:val="auto"/>
              </w:rPr>
            </w:pPr>
            <w:r>
              <w:rPr>
                <w:rFonts w:ascii="Arial" w:cs="Arial" w:eastAsia="Arial" w:hAnsi="Arial"/>
                <w:sz w:val="17"/>
                <w:szCs w:val="17"/>
                <w:color w:val="auto"/>
              </w:rPr>
              <w:t>72.9</w:t>
            </w:r>
          </w:p>
        </w:tc>
        <w:tc>
          <w:tcPr>
            <w:tcW w:w="2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297.2</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(145.1)</w:t>
            </w:r>
          </w:p>
        </w:tc>
        <w:tc>
          <w:tcPr>
            <w:tcW w:w="0" w:type="dxa"/>
            <w:vAlign w:val="bottom"/>
          </w:tcPr>
          <w:p>
            <w:pPr>
              <w:spacing w:after="0"/>
              <w:rPr>
                <w:sz w:val="1"/>
                <w:szCs w:val="1"/>
                <w:color w:val="auto"/>
              </w:rPr>
            </w:pPr>
          </w:p>
        </w:tc>
      </w:tr>
      <w:tr>
        <w:trPr>
          <w:trHeight w:val="168"/>
        </w:trPr>
        <w:tc>
          <w:tcPr>
            <w:tcW w:w="45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0.6</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7"/>
                <w:szCs w:val="17"/>
                <w:color w:val="auto"/>
              </w:rPr>
              <w:t>12.5</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rPr>
              <w:t>172.5</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6.8</w:t>
            </w: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(459.1)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color w:val="auto"/>
              </w:rPr>
              <w:t>245.4</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304.0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(2,009.3)</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91.0</w:t>
            </w:r>
          </w:p>
        </w:tc>
        <w:tc>
          <w:tcPr>
            <w:tcW w:w="4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(4,295.8)</w:t>
            </w:r>
          </w:p>
        </w:tc>
        <w:tc>
          <w:tcPr>
            <w:tcW w:w="0" w:type="dxa"/>
            <w:vAlign w:val="bottom"/>
          </w:tcPr>
          <w:p>
            <w:pPr>
              <w:spacing w:after="0"/>
              <w:rPr>
                <w:sz w:val="1"/>
                <w:szCs w:val="1"/>
                <w:color w:val="auto"/>
              </w:rPr>
            </w:pPr>
          </w:p>
        </w:tc>
      </w:tr>
      <w:tr>
        <w:trPr>
          <w:trHeight w:val="827"/>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43"/>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The tax effects on the net activity related to each component of other comprehensive income (loss)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gains/losses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(90.3)</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(50.2)</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(234.2)</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Net unrealized gains/losses on available-for-sale securities</w:t>
            </w:r>
          </w:p>
        </w:tc>
        <w:tc>
          <w:tcPr>
            <w:tcW w:w="2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7"/>
                <w:szCs w:val="17"/>
                <w:b w:val="1"/>
                <w:bCs w:val="1"/>
                <w:color w:val="auto"/>
              </w:rPr>
              <w:t>3.5</w:t>
            </w:r>
          </w:p>
        </w:tc>
        <w:tc>
          <w:tcPr>
            <w:tcW w:w="440" w:type="dxa"/>
            <w:vAlign w:val="bottom"/>
          </w:tcPr>
          <w:p>
            <w:pPr>
              <w:spacing w:after="0"/>
              <w:rPr>
                <w:sz w:val="19"/>
                <w:szCs w:val="19"/>
                <w:color w:val="auto"/>
              </w:rPr>
            </w:pPr>
          </w:p>
        </w:tc>
        <w:tc>
          <w:tcPr>
            <w:tcW w:w="1200" w:type="dxa"/>
            <w:vAlign w:val="bottom"/>
          </w:tcPr>
          <w:p>
            <w:pPr>
              <w:jc w:val="right"/>
              <w:ind w:right="57"/>
              <w:spacing w:after="0"/>
              <w:rPr>
                <w:sz w:val="20"/>
                <w:szCs w:val="20"/>
                <w:color w:val="auto"/>
              </w:rPr>
            </w:pPr>
            <w:r>
              <w:rPr>
                <w:rFonts w:ascii="Arial" w:cs="Arial" w:eastAsia="Arial" w:hAnsi="Arial"/>
                <w:sz w:val="17"/>
                <w:szCs w:val="17"/>
                <w:color w:val="auto"/>
              </w:rPr>
              <w:t>3.4</w:t>
            </w:r>
          </w:p>
        </w:tc>
        <w:tc>
          <w:tcPr>
            <w:tcW w:w="3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7"/>
                <w:szCs w:val="17"/>
                <w:b w:val="1"/>
                <w:bCs w:val="1"/>
                <w:color w:val="auto"/>
              </w:rPr>
              <w:t>2.5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Defined benefit pension and retiree health benefit plans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(13.9)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2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unrealized gains/losses on cash flow hedges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(21.6)</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b w:val="1"/>
                <w:bCs w:val="1"/>
                <w:color w:val="auto"/>
              </w:rPr>
              <w:t>(37.5)</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rPr>
              <w:t>Benefit (expense) for income taxes allocated to other</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(115.3)</w:t>
            </w:r>
          </w:p>
        </w:tc>
        <w:tc>
          <w:tcPr>
            <w:tcW w:w="4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(169.2)</w:t>
            </w:r>
          </w:p>
        </w:tc>
        <w:tc>
          <w:tcPr>
            <w:tcW w:w="3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(99.1)</w:t>
            </w:r>
          </w:p>
        </w:tc>
        <w:tc>
          <w:tcPr>
            <w:tcW w:w="42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(375.1)</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 items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out of accumulated other comprehensive loss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vMerge w:val="restart"/>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c>
          <w:tcPr>
            <w:tcW w:w="3280" w:type="dxa"/>
            <w:vAlign w:val="bottom"/>
            <w:gridSpan w:val="7"/>
            <w:vMerge w:val="restart"/>
          </w:tcPr>
          <w:p>
            <w:pPr>
              <w:jc w:val="right"/>
              <w:ind w:right="480"/>
              <w:spacing w:after="0"/>
              <w:rPr>
                <w:sz w:val="20"/>
                <w:szCs w:val="20"/>
                <w:color w:val="auto"/>
              </w:rPr>
            </w:pPr>
            <w:r>
              <w:rPr>
                <w:rFonts w:ascii="Arial" w:cs="Arial" w:eastAsia="Arial" w:hAnsi="Arial"/>
                <w:sz w:val="14"/>
                <w:szCs w:val="14"/>
                <w:b w:val="1"/>
                <w:bCs w:val="1"/>
                <w:color w:val="auto"/>
              </w:rPr>
              <w:t>Nine Months Ended September 30,</w:t>
            </w:r>
          </w:p>
        </w:tc>
        <w:tc>
          <w:tcPr>
            <w:tcW w:w="2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8"/>
              </w:rPr>
              <w:t>Affected Line Item in the</w:t>
            </w:r>
          </w:p>
        </w:tc>
        <w:tc>
          <w:tcPr>
            <w:tcW w:w="0" w:type="dxa"/>
            <w:vAlign w:val="bottom"/>
          </w:tcPr>
          <w:p>
            <w:pPr>
              <w:spacing w:after="0"/>
              <w:rPr>
                <w:sz w:val="1"/>
                <w:szCs w:val="1"/>
                <w:color w:val="auto"/>
              </w:rPr>
            </w:pPr>
          </w:p>
        </w:tc>
      </w:tr>
      <w:tr>
        <w:trPr>
          <w:trHeight w:val="115"/>
        </w:trPr>
        <w:tc>
          <w:tcPr>
            <w:tcW w:w="2580" w:type="dxa"/>
            <w:vAlign w:val="bottom"/>
          </w:tcPr>
          <w:p>
            <w:pPr>
              <w:ind w:left="200"/>
              <w:spacing w:after="0" w:line="116" w:lineRule="exact"/>
              <w:rPr>
                <w:sz w:val="20"/>
                <w:szCs w:val="20"/>
                <w:color w:val="auto"/>
              </w:rPr>
            </w:pPr>
            <w:r>
              <w:rPr>
                <w:rFonts w:ascii="Arial" w:cs="Arial" w:eastAsia="Arial" w:hAnsi="Arial"/>
                <w:sz w:val="13"/>
                <w:szCs w:val="13"/>
                <w:b w:val="1"/>
                <w:bCs w:val="1"/>
                <w:color w:val="auto"/>
              </w:rPr>
              <w:t>Details about Accumulated Other</w:t>
            </w:r>
          </w:p>
        </w:tc>
        <w:tc>
          <w:tcPr>
            <w:tcW w:w="260" w:type="dxa"/>
            <w:vAlign w:val="bottom"/>
          </w:tcPr>
          <w:p>
            <w:pPr>
              <w:spacing w:after="0"/>
              <w:rPr>
                <w:sz w:val="10"/>
                <w:szCs w:val="10"/>
                <w:color w:val="auto"/>
              </w:rPr>
            </w:pPr>
          </w:p>
        </w:tc>
        <w:tc>
          <w:tcPr>
            <w:tcW w:w="2900" w:type="dxa"/>
            <w:vAlign w:val="bottom"/>
            <w:gridSpan w:val="4"/>
            <w:vMerge w:val="continue"/>
          </w:tcPr>
          <w:p>
            <w:pPr>
              <w:spacing w:after="0"/>
              <w:rPr>
                <w:sz w:val="10"/>
                <w:szCs w:val="10"/>
                <w:color w:val="auto"/>
              </w:rPr>
            </w:pPr>
          </w:p>
        </w:tc>
        <w:tc>
          <w:tcPr>
            <w:tcW w:w="3280" w:type="dxa"/>
            <w:vAlign w:val="bottom"/>
            <w:gridSpan w:val="7"/>
            <w:vMerge w:val="continue"/>
          </w:tcPr>
          <w:p>
            <w:pPr>
              <w:spacing w:after="0"/>
              <w:rPr>
                <w:sz w:val="10"/>
                <w:szCs w:val="10"/>
                <w:color w:val="auto"/>
              </w:rPr>
            </w:pPr>
          </w:p>
        </w:tc>
        <w:tc>
          <w:tcPr>
            <w:tcW w:w="2220" w:type="dxa"/>
            <w:vAlign w:val="bottom"/>
            <w:gridSpan w:val="4"/>
          </w:tcPr>
          <w:p>
            <w:pPr>
              <w:jc w:val="center"/>
              <w:ind w:right="80"/>
              <w:spacing w:after="0" w:line="116" w:lineRule="exact"/>
              <w:rPr>
                <w:sz w:val="20"/>
                <w:szCs w:val="20"/>
                <w:color w:val="auto"/>
              </w:rPr>
            </w:pPr>
            <w:r>
              <w:rPr>
                <w:rFonts w:ascii="Arial" w:cs="Arial" w:eastAsia="Arial" w:hAnsi="Arial"/>
                <w:sz w:val="13"/>
                <w:szCs w:val="13"/>
                <w:b w:val="1"/>
                <w:bCs w:val="1"/>
                <w:color w:val="auto"/>
              </w:rPr>
              <w:t>Consolidated Condensed</w:t>
            </w:r>
          </w:p>
        </w:tc>
        <w:tc>
          <w:tcPr>
            <w:tcW w:w="0" w:type="dxa"/>
            <w:vAlign w:val="bottom"/>
          </w:tcPr>
          <w:p>
            <w:pPr>
              <w:spacing w:after="0"/>
              <w:rPr>
                <w:sz w:val="1"/>
                <w:szCs w:val="1"/>
                <w:color w:val="auto"/>
              </w:rPr>
            </w:pPr>
          </w:p>
        </w:tc>
      </w:tr>
      <w:tr>
        <w:trPr>
          <w:trHeight w:val="188"/>
        </w:trPr>
        <w:tc>
          <w:tcPr>
            <w:tcW w:w="2580" w:type="dxa"/>
            <w:vAlign w:val="bottom"/>
          </w:tcPr>
          <w:p>
            <w:pPr>
              <w:ind w:left="160"/>
              <w:spacing w:after="0"/>
              <w:rPr>
                <w:sz w:val="20"/>
                <w:szCs w:val="20"/>
                <w:color w:val="auto"/>
              </w:rPr>
            </w:pPr>
            <w:r>
              <w:rPr>
                <w:rFonts w:ascii="Arial" w:cs="Arial" w:eastAsia="Arial" w:hAnsi="Arial"/>
                <w:sz w:val="14"/>
                <w:szCs w:val="14"/>
                <w:b w:val="1"/>
                <w:bCs w:val="1"/>
                <w:color w:val="auto"/>
              </w:rPr>
              <w:t>Comprehensive Loss Components</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8"/>
              </w:rPr>
              <w:t>Statements of Operations</w:t>
            </w:r>
          </w:p>
        </w:tc>
        <w:tc>
          <w:tcPr>
            <w:tcW w:w="0" w:type="dxa"/>
            <w:vAlign w:val="bottom"/>
          </w:tcPr>
          <w:p>
            <w:pPr>
              <w:spacing w:after="0"/>
              <w:rPr>
                <w:sz w:val="1"/>
                <w:szCs w:val="1"/>
                <w:color w:val="auto"/>
              </w:rPr>
            </w:pPr>
          </w:p>
        </w:tc>
      </w:tr>
      <w:tr>
        <w:trPr>
          <w:trHeight w:val="161"/>
        </w:trPr>
        <w:tc>
          <w:tcPr>
            <w:tcW w:w="258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Amortization of retirement benefit</w:t>
            </w: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1300" w:type="dxa"/>
            <w:vAlign w:val="bottom"/>
            <w:vMerge w:val="restart"/>
          </w:tcPr>
          <w:p>
            <w:pPr>
              <w:jc w:val="right"/>
              <w:ind w:right="18"/>
              <w:spacing w:after="0"/>
              <w:rPr>
                <w:sz w:val="20"/>
                <w:szCs w:val="20"/>
                <w:color w:val="auto"/>
              </w:rPr>
            </w:pPr>
            <w:r>
              <w:rPr>
                <w:rFonts w:ascii="Arial" w:cs="Arial" w:eastAsia="Arial" w:hAnsi="Arial"/>
                <w:sz w:val="17"/>
                <w:szCs w:val="17"/>
                <w:b w:val="1"/>
                <w:bCs w:val="1"/>
                <w:color w:val="auto"/>
              </w:rPr>
              <w:t>(12.7)</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vMerge w:val="restart"/>
          </w:tcPr>
          <w:p>
            <w:pPr>
              <w:jc w:val="right"/>
              <w:ind w:right="316"/>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(37.9)</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4"/>
          </w:tcPr>
          <w:p>
            <w:pPr>
              <w:ind w:left="60"/>
              <w:spacing w:after="0" w:line="168" w:lineRule="exact"/>
              <w:rPr>
                <w:sz w:val="20"/>
                <w:szCs w:val="20"/>
                <w:color w:val="auto"/>
              </w:rPr>
            </w:pPr>
            <w:r>
              <w:rPr>
                <w:rFonts w:ascii="Arial" w:cs="Arial" w:eastAsia="Arial" w:hAnsi="Arial"/>
                <w:sz w:val="17"/>
                <w:szCs w:val="17"/>
                <w:color w:val="auto"/>
              </w:rPr>
              <w:t>Other–net, (income)</w:t>
            </w:r>
          </w:p>
        </w:tc>
        <w:tc>
          <w:tcPr>
            <w:tcW w:w="0" w:type="dxa"/>
            <w:vAlign w:val="bottom"/>
          </w:tcPr>
          <w:p>
            <w:pPr>
              <w:spacing w:after="0"/>
              <w:rPr>
                <w:sz w:val="1"/>
                <w:szCs w:val="1"/>
                <w:color w:val="auto"/>
              </w:rPr>
            </w:pPr>
          </w:p>
        </w:tc>
      </w:tr>
      <w:tr>
        <w:trPr>
          <w:trHeight w:val="232"/>
        </w:trPr>
        <w:tc>
          <w:tcPr>
            <w:tcW w:w="2580" w:type="dxa"/>
            <w:vAlign w:val="bottom"/>
          </w:tcPr>
          <w:p>
            <w:pPr>
              <w:ind w:left="180"/>
              <w:spacing w:after="0"/>
              <w:rPr>
                <w:sz w:val="20"/>
                <w:szCs w:val="20"/>
                <w:color w:val="auto"/>
              </w:rPr>
            </w:pPr>
            <w:r>
              <w:rPr>
                <w:rFonts w:ascii="Arial" w:cs="Arial" w:eastAsia="Arial" w:hAnsi="Arial"/>
                <w:sz w:val="17"/>
                <w:szCs w:val="17"/>
                <w:color w:val="auto"/>
              </w:rPr>
              <w:t>Prior service benefits, net</w:t>
            </w:r>
          </w:p>
        </w:tc>
        <w:tc>
          <w:tcPr>
            <w:tcW w:w="2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center"/>
              <w:ind w:left="517"/>
              <w:spacing w:after="0"/>
              <w:rPr>
                <w:sz w:val="20"/>
                <w:szCs w:val="20"/>
                <w:color w:val="auto"/>
              </w:rPr>
            </w:pPr>
            <w:r>
              <w:rPr>
                <w:rFonts w:ascii="Arial" w:cs="Arial" w:eastAsia="Arial" w:hAnsi="Arial"/>
                <w:sz w:val="17"/>
                <w:szCs w:val="17"/>
                <w:color w:val="auto"/>
              </w:rPr>
              <w:t>(13.1)</w:t>
            </w:r>
          </w:p>
        </w:tc>
        <w:tc>
          <w:tcPr>
            <w:tcW w:w="6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(39.2)</w:t>
            </w:r>
          </w:p>
        </w:tc>
        <w:tc>
          <w:tcPr>
            <w:tcW w:w="4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7"/>
                <w:szCs w:val="17"/>
                <w:color w:val="auto"/>
                <w:w w:val="99"/>
              </w:rPr>
              <w:t>expense</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29.1</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87.1</w:t>
            </w: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180" w:type="dxa"/>
            <w:vAlign w:val="bottom"/>
            <w:gridSpan w:val="3"/>
            <w:shd w:val="clear" w:color="auto" w:fill="CCEEFF"/>
          </w:tcPr>
          <w:p>
            <w:pPr>
              <w:ind w:left="60"/>
              <w:spacing w:after="0" w:line="168" w:lineRule="exact"/>
              <w:rPr>
                <w:sz w:val="20"/>
                <w:szCs w:val="20"/>
                <w:color w:val="auto"/>
              </w:rPr>
            </w:pPr>
            <w:r>
              <w:rPr>
                <w:rFonts w:ascii="Arial" w:cs="Arial" w:eastAsia="Arial" w:hAnsi="Arial"/>
                <w:sz w:val="17"/>
                <w:szCs w:val="17"/>
                <w:color w:val="auto"/>
              </w:rPr>
              <w:t>Other–net, (income)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losses, net</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center"/>
              <w:ind w:left="537"/>
              <w:spacing w:after="0"/>
              <w:rPr>
                <w:sz w:val="20"/>
                <w:szCs w:val="20"/>
                <w:color w:val="auto"/>
              </w:rPr>
            </w:pPr>
            <w:r>
              <w:rPr>
                <w:rFonts w:ascii="Arial" w:cs="Arial" w:eastAsia="Arial" w:hAnsi="Arial"/>
                <w:sz w:val="17"/>
                <w:szCs w:val="17"/>
                <w:color w:val="auto"/>
                <w:w w:val="96"/>
              </w:rPr>
              <w:t>85.5</w:t>
            </w:r>
          </w:p>
        </w:tc>
        <w:tc>
          <w:tcPr>
            <w:tcW w:w="6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257.5</w:t>
            </w: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7"/>
                <w:szCs w:val="17"/>
                <w:color w:val="auto"/>
                <w:w w:val="99"/>
              </w:rPr>
              <w:t>expense</w:t>
            </w: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Arial" w:cs="Arial" w:eastAsia="Arial" w:hAnsi="Arial"/>
                <w:sz w:val="17"/>
                <w:szCs w:val="17"/>
                <w:color w:val="auto"/>
              </w:rPr>
              <w:t>Total before tax</w:t>
            </w:r>
          </w:p>
        </w:tc>
        <w:tc>
          <w:tcPr>
            <w:tcW w:w="260" w:type="dxa"/>
            <w:vAlign w:val="bottom"/>
          </w:tcPr>
          <w:p>
            <w:pPr>
              <w:spacing w:after="0"/>
              <w:rPr>
                <w:sz w:val="18"/>
                <w:szCs w:val="18"/>
                <w:color w:val="auto"/>
              </w:rPr>
            </w:pPr>
          </w:p>
        </w:tc>
        <w:tc>
          <w:tcPr>
            <w:tcW w:w="1300" w:type="dxa"/>
            <w:vAlign w:val="bottom"/>
          </w:tcPr>
          <w:p>
            <w:pPr>
              <w:jc w:val="right"/>
              <w:ind w:right="58"/>
              <w:spacing w:after="0"/>
              <w:rPr>
                <w:sz w:val="20"/>
                <w:szCs w:val="20"/>
                <w:color w:val="auto"/>
              </w:rPr>
            </w:pPr>
            <w:r>
              <w:rPr>
                <w:rFonts w:ascii="Arial" w:cs="Arial" w:eastAsia="Arial" w:hAnsi="Arial"/>
                <w:sz w:val="17"/>
                <w:szCs w:val="17"/>
                <w:b w:val="1"/>
                <w:bCs w:val="1"/>
                <w:color w:val="auto"/>
              </w:rPr>
              <w:t>16.4</w:t>
            </w:r>
          </w:p>
        </w:tc>
        <w:tc>
          <w:tcPr>
            <w:tcW w:w="420" w:type="dxa"/>
            <w:vAlign w:val="bottom"/>
          </w:tcPr>
          <w:p>
            <w:pPr>
              <w:spacing w:after="0"/>
              <w:rPr>
                <w:sz w:val="18"/>
                <w:szCs w:val="18"/>
                <w:color w:val="auto"/>
              </w:rPr>
            </w:pPr>
          </w:p>
        </w:tc>
        <w:tc>
          <w:tcPr>
            <w:tcW w:w="1180" w:type="dxa"/>
            <w:vAlign w:val="bottom"/>
            <w:gridSpan w:val="2"/>
          </w:tcPr>
          <w:p>
            <w:pPr>
              <w:jc w:val="center"/>
              <w:ind w:left="537"/>
              <w:spacing w:after="0"/>
              <w:rPr>
                <w:sz w:val="20"/>
                <w:szCs w:val="20"/>
                <w:color w:val="auto"/>
              </w:rPr>
            </w:pPr>
            <w:r>
              <w:rPr>
                <w:rFonts w:ascii="Arial" w:cs="Arial" w:eastAsia="Arial" w:hAnsi="Arial"/>
                <w:sz w:val="17"/>
                <w:szCs w:val="17"/>
                <w:color w:val="auto"/>
                <w:w w:val="96"/>
              </w:rPr>
              <w:t>72.4</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w w:val="96"/>
              </w:rPr>
              <w:t>49.2</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218.3</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 benefit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(3.4)</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center"/>
              <w:ind w:left="517"/>
              <w:spacing w:after="0"/>
              <w:rPr>
                <w:sz w:val="20"/>
                <w:szCs w:val="20"/>
                <w:color w:val="auto"/>
              </w:rPr>
            </w:pPr>
            <w:r>
              <w:rPr>
                <w:rFonts w:ascii="Arial" w:cs="Arial" w:eastAsia="Arial" w:hAnsi="Arial"/>
                <w:sz w:val="17"/>
                <w:szCs w:val="17"/>
                <w:color w:val="auto"/>
              </w:rPr>
              <w:t>(15.2)</w:t>
            </w:r>
          </w:p>
        </w:tc>
        <w:tc>
          <w:tcPr>
            <w:tcW w:w="6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(10.3)</w:t>
            </w:r>
          </w:p>
        </w:tc>
        <w:tc>
          <w:tcPr>
            <w:tcW w:w="5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Income taxes</w:t>
            </w:r>
          </w:p>
        </w:tc>
        <w:tc>
          <w:tcPr>
            <w:tcW w:w="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Arial" w:cs="Arial" w:eastAsia="Arial" w:hAnsi="Arial"/>
                <w:sz w:val="17"/>
                <w:szCs w:val="17"/>
                <w:color w:val="auto"/>
              </w:rPr>
              <w:t>Net of tax</w:t>
            </w:r>
          </w:p>
        </w:tc>
        <w:tc>
          <w:tcPr>
            <w:tcW w:w="260" w:type="dxa"/>
            <w:vAlign w:val="bottom"/>
          </w:tcPr>
          <w:p>
            <w:pPr>
              <w:spacing w:after="0"/>
              <w:rPr>
                <w:sz w:val="18"/>
                <w:szCs w:val="18"/>
                <w:color w:val="auto"/>
              </w:rPr>
            </w:pPr>
          </w:p>
        </w:tc>
        <w:tc>
          <w:tcPr>
            <w:tcW w:w="1300" w:type="dxa"/>
            <w:vAlign w:val="bottom"/>
          </w:tcPr>
          <w:p>
            <w:pPr>
              <w:jc w:val="right"/>
              <w:ind w:right="58"/>
              <w:spacing w:after="0"/>
              <w:rPr>
                <w:sz w:val="20"/>
                <w:szCs w:val="20"/>
                <w:color w:val="auto"/>
              </w:rPr>
            </w:pPr>
            <w:r>
              <w:rPr>
                <w:rFonts w:ascii="Arial" w:cs="Arial" w:eastAsia="Arial" w:hAnsi="Arial"/>
                <w:sz w:val="17"/>
                <w:szCs w:val="17"/>
                <w:b w:val="1"/>
                <w:bCs w:val="1"/>
                <w:color w:val="auto"/>
              </w:rPr>
              <w:t>13.0</w:t>
            </w:r>
          </w:p>
        </w:tc>
        <w:tc>
          <w:tcPr>
            <w:tcW w:w="420" w:type="dxa"/>
            <w:vAlign w:val="bottom"/>
          </w:tcPr>
          <w:p>
            <w:pPr>
              <w:spacing w:after="0"/>
              <w:rPr>
                <w:sz w:val="18"/>
                <w:szCs w:val="18"/>
                <w:color w:val="auto"/>
              </w:rPr>
            </w:pPr>
          </w:p>
        </w:tc>
        <w:tc>
          <w:tcPr>
            <w:tcW w:w="1180" w:type="dxa"/>
            <w:vAlign w:val="bottom"/>
            <w:gridSpan w:val="2"/>
          </w:tcPr>
          <w:p>
            <w:pPr>
              <w:jc w:val="center"/>
              <w:ind w:left="537"/>
              <w:spacing w:after="0"/>
              <w:rPr>
                <w:sz w:val="20"/>
                <w:szCs w:val="20"/>
                <w:color w:val="auto"/>
              </w:rPr>
            </w:pPr>
            <w:r>
              <w:rPr>
                <w:rFonts w:ascii="Arial" w:cs="Arial" w:eastAsia="Arial" w:hAnsi="Arial"/>
                <w:sz w:val="17"/>
                <w:szCs w:val="17"/>
                <w:color w:val="auto"/>
                <w:w w:val="96"/>
              </w:rPr>
              <w:t>57.2</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w w:val="96"/>
              </w:rPr>
              <w:t>38.9</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172.5</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ind w:right="58"/>
              <w:spacing w:after="0"/>
              <w:rPr>
                <w:sz w:val="20"/>
                <w:szCs w:val="20"/>
                <w:color w:val="auto"/>
              </w:rPr>
            </w:pPr>
            <w:r>
              <w:rPr>
                <w:rFonts w:ascii="Arial" w:cs="Arial" w:eastAsia="Arial" w:hAnsi="Arial"/>
                <w:sz w:val="17"/>
                <w:szCs w:val="17"/>
                <w:b w:val="1"/>
                <w:bCs w:val="1"/>
                <w:color w:val="auto"/>
              </w:rPr>
              <w:t>2.9</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(17.2)</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4"/>
          </w:tcPr>
          <w:p>
            <w:pPr>
              <w:ind w:left="60"/>
              <w:spacing w:after="0" w:line="168" w:lineRule="exact"/>
              <w:rPr>
                <w:sz w:val="20"/>
                <w:szCs w:val="20"/>
                <w:color w:val="auto"/>
              </w:rPr>
            </w:pPr>
            <w:r>
              <w:rPr>
                <w:rFonts w:ascii="Arial" w:cs="Arial" w:eastAsia="Arial" w:hAnsi="Arial"/>
                <w:sz w:val="17"/>
                <w:szCs w:val="17"/>
                <w:color w:val="auto"/>
              </w:rPr>
              <w:t>Other–net, (income)</w:t>
            </w:r>
          </w:p>
        </w:tc>
        <w:tc>
          <w:tcPr>
            <w:tcW w:w="0" w:type="dxa"/>
            <w:vAlign w:val="bottom"/>
          </w:tcPr>
          <w:p>
            <w:pPr>
              <w:spacing w:after="0"/>
              <w:rPr>
                <w:sz w:val="1"/>
                <w:szCs w:val="1"/>
                <w:color w:val="auto"/>
              </w:rPr>
            </w:pPr>
          </w:p>
        </w:tc>
      </w:tr>
      <w:tr>
        <w:trPr>
          <w:trHeight w:val="232"/>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net of tax</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left="537"/>
              <w:spacing w:after="0"/>
              <w:rPr>
                <w:sz w:val="20"/>
                <w:szCs w:val="20"/>
                <w:color w:val="auto"/>
              </w:rPr>
            </w:pPr>
            <w:r>
              <w:rPr>
                <w:rFonts w:ascii="Arial" w:cs="Arial" w:eastAsia="Arial" w:hAnsi="Arial"/>
                <w:sz w:val="17"/>
                <w:szCs w:val="17"/>
                <w:color w:val="auto"/>
                <w:w w:val="96"/>
              </w:rPr>
              <w:t>13.9</w:t>
            </w: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w w:val="99"/>
              </w:rPr>
              <w:t>expense</w:t>
            </w:r>
          </w:p>
        </w:tc>
        <w:tc>
          <w:tcPr>
            <w:tcW w:w="4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reclassifications, net of tax</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15.9</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2"/>
            <w:shd w:val="clear" w:color="auto" w:fill="CCEEFF"/>
          </w:tcPr>
          <w:p>
            <w:pPr>
              <w:jc w:val="center"/>
              <w:ind w:left="537"/>
              <w:spacing w:after="0"/>
              <w:rPr>
                <w:sz w:val="20"/>
                <w:szCs w:val="20"/>
                <w:color w:val="auto"/>
              </w:rPr>
            </w:pPr>
            <w:r>
              <w:rPr>
                <w:rFonts w:ascii="Arial" w:cs="Arial" w:eastAsia="Arial" w:hAnsi="Arial"/>
                <w:sz w:val="17"/>
                <w:szCs w:val="17"/>
                <w:color w:val="auto"/>
                <w:w w:val="96"/>
              </w:rPr>
              <w:t>71.1</w:t>
            </w:r>
          </w:p>
        </w:tc>
        <w:tc>
          <w:tcPr>
            <w:tcW w:w="6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21.7</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w:t>
            </w: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6"/>
        </w:trPr>
        <w:tc>
          <w:tcPr>
            <w:tcW w:w="4140" w:type="dxa"/>
            <w:vAlign w:val="bottom"/>
            <w:gridSpan w:val="3"/>
          </w:tcPr>
          <w:p>
            <w:pPr>
              <w:spacing w:after="0"/>
              <w:rPr>
                <w:sz w:val="20"/>
                <w:szCs w:val="20"/>
                <w:color w:val="auto"/>
              </w:rPr>
            </w:pPr>
            <w:r>
              <w:rPr>
                <w:rFonts w:ascii="Arial" w:cs="Arial" w:eastAsia="Arial" w:hAnsi="Arial"/>
                <w:sz w:val="17"/>
                <w:szCs w:val="17"/>
                <w:b w:val="1"/>
                <w:bCs w:val="1"/>
                <w:color w:val="auto"/>
              </w:rPr>
              <w:t>Note 11: Other–Net, (Income) Expense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560" w:type="dxa"/>
            <w:vAlign w:val="bottom"/>
            <w:gridSpan w:val="4"/>
          </w:tcPr>
          <w:p>
            <w:pPr>
              <w:spacing w:after="0"/>
              <w:rPr>
                <w:sz w:val="20"/>
                <w:szCs w:val="20"/>
                <w:color w:val="auto"/>
              </w:rPr>
            </w:pPr>
            <w:r>
              <w:rPr>
                <w:rFonts w:ascii="Arial" w:cs="Arial" w:eastAsia="Arial" w:hAnsi="Arial"/>
                <w:sz w:val="17"/>
                <w:szCs w:val="17"/>
                <w:color w:val="auto"/>
              </w:rPr>
              <w:t>Other–net, (income) expense consisted of the following: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0"/>
        </w:trPr>
        <w:tc>
          <w:tcPr>
            <w:tcW w:w="2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3"/>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124.6</w:t>
            </w:r>
          </w:p>
        </w:tc>
        <w:tc>
          <w:tcPr>
            <w:tcW w:w="44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81.5</w:t>
            </w:r>
          </w:p>
        </w:tc>
        <w:tc>
          <w:tcPr>
            <w:tcW w:w="440" w:type="dxa"/>
            <w:vAlign w:val="bottom"/>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347.7</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(48.9)</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Arial" w:cs="Arial" w:eastAsia="Arial" w:hAnsi="Arial"/>
                <w:sz w:val="17"/>
                <w:szCs w:val="17"/>
                <w:color w:val="auto"/>
              </w:rPr>
              <w:t>(20.1)</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77"/>
              <w:spacing w:after="0"/>
              <w:rPr>
                <w:sz w:val="20"/>
                <w:szCs w:val="20"/>
                <w:color w:val="auto"/>
              </w:rPr>
            </w:pPr>
            <w:r>
              <w:rPr>
                <w:rFonts w:ascii="Arial" w:cs="Arial" w:eastAsia="Arial" w:hAnsi="Arial"/>
                <w:sz w:val="17"/>
                <w:szCs w:val="17"/>
                <w:b w:val="1"/>
                <w:bCs w:val="1"/>
                <w:color w:val="auto"/>
              </w:rPr>
              <w:t>(129.1)</w:t>
            </w: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20"/>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investment losses on equity securities (Note 6)</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62.9</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123.3</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141.5</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20"/>
              <w:spacing w:after="0"/>
              <w:rPr>
                <w:sz w:val="20"/>
                <w:szCs w:val="20"/>
                <w:color w:val="auto"/>
              </w:rPr>
            </w:pPr>
            <w:r>
              <w:rPr>
                <w:rFonts w:ascii="Arial" w:cs="Arial" w:eastAsia="Arial" w:hAnsi="Arial"/>
                <w:sz w:val="17"/>
                <w:szCs w:val="17"/>
                <w:color w:val="auto"/>
              </w:rPr>
              <w:t>Retirement benefit plans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(115.5)</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Arial" w:cs="Arial" w:eastAsia="Arial" w:hAnsi="Arial"/>
                <w:sz w:val="17"/>
                <w:szCs w:val="17"/>
                <w:color w:val="auto"/>
              </w:rPr>
              <w:t>(92.4)</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77"/>
              <w:spacing w:after="0"/>
              <w:rPr>
                <w:sz w:val="20"/>
                <w:szCs w:val="20"/>
                <w:color w:val="auto"/>
              </w:rPr>
            </w:pPr>
            <w:r>
              <w:rPr>
                <w:rFonts w:ascii="Arial" w:cs="Arial" w:eastAsia="Arial" w:hAnsi="Arial"/>
                <w:sz w:val="17"/>
                <w:szCs w:val="17"/>
                <w:b w:val="1"/>
                <w:bCs w:val="1"/>
                <w:color w:val="auto"/>
              </w:rPr>
              <w:t>(346.9)</w:t>
            </w: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(280.0)</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0.1</w:t>
            </w: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18.7</w:t>
            </w: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11.1</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8"/>
        </w:trPr>
        <w:tc>
          <w:tcPr>
            <w:tcW w:w="2580" w:type="dxa"/>
            <w:vAlign w:val="bottom"/>
          </w:tcPr>
          <w:p>
            <w:pPr>
              <w:ind w:left="20"/>
              <w:spacing w:after="0"/>
              <w:rPr>
                <w:sz w:val="20"/>
                <w:szCs w:val="20"/>
                <w:color w:val="auto"/>
              </w:rPr>
            </w:pPr>
            <w:r>
              <w:rPr>
                <w:rFonts w:ascii="Arial" w:cs="Arial" w:eastAsia="Arial" w:hAnsi="Arial"/>
                <w:sz w:val="17"/>
                <w:szCs w:val="17"/>
                <w:color w:val="auto"/>
              </w:rPr>
              <w:t>Other–net, (income) expense</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ind w:right="723"/>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23.2</w:t>
            </w:r>
          </w:p>
        </w:tc>
        <w:tc>
          <w:tcPr>
            <w:tcW w:w="44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111.0</w:t>
            </w:r>
          </w:p>
        </w:tc>
        <w:tc>
          <w:tcPr>
            <w:tcW w:w="44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24.3</w:t>
            </w: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7"/>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5"/>
          <w:szCs w:val="15"/>
          <w:b w:val="1"/>
          <w:bCs w:val="1"/>
          <w:color w:val="auto"/>
        </w:rPr>
        <w:t>Tables present dollars in millions, except per-share data)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5" w:lineRule="exact"/>
        <w:rPr>
          <w:sz w:val="20"/>
          <w:szCs w:val="20"/>
          <w:color w:val="auto"/>
        </w:rPr>
      </w:pPr>
    </w:p>
    <w:p>
      <w:pPr>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may cause our actual results, financial position, and cash generated from operations to differ materially from these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OVERVIEW</w:t>
      </w:r>
    </w:p>
    <w:p>
      <w:pPr>
        <w:spacing w:after="0" w:line="125"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color w:val="auto"/>
        </w:rPr>
        <w:t>This section provides an overview of our financial results, late-stage pipeline developments, and other matters affecting our company and the pharmaceutical industry.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Results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financial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6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4"/>
                <w:szCs w:val="14"/>
                <w:b w:val="1"/>
                <w:bCs w:val="1"/>
                <w:color w:val="auto"/>
              </w:rPr>
              <w:t>Three Months Ended September 30,</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Percent</w:t>
            </w: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rPr>
              <w:t>Nine Months Ended September 30,</w:t>
            </w: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rPr>
              <w:t>Percent</w:t>
            </w:r>
          </w:p>
        </w:tc>
      </w:tr>
      <w:tr>
        <w:trPr>
          <w:trHeight w:val="188"/>
        </w:trPr>
        <w:tc>
          <w:tcPr>
            <w:tcW w:w="2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Change</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Change</w:t>
            </w:r>
          </w:p>
        </w:tc>
      </w:tr>
      <w:tr>
        <w:trPr>
          <w:trHeight w:val="213"/>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7"/>
                <w:szCs w:val="17"/>
                <w:b w:val="1"/>
                <w:bCs w:val="1"/>
                <w:color w:val="auto"/>
                <w:w w:val="84"/>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98"/>
              </w:rPr>
              <w:t>9,498.6</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6,941.6</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37</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24,770.7</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21,239.6</w:t>
            </w:r>
          </w:p>
        </w:tc>
        <w:tc>
          <w:tcPr>
            <w:tcW w:w="8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rPr>
              <w:t>17</w:t>
            </w:r>
          </w:p>
        </w:tc>
      </w:tr>
      <w:tr>
        <w:trPr>
          <w:trHeight w:val="220"/>
        </w:trPr>
        <w:tc>
          <w:tcPr>
            <w:tcW w:w="27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(57.4)</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1,451.7</w:t>
            </w:r>
          </w:p>
        </w:tc>
        <w:tc>
          <w:tcPr>
            <w:tcW w:w="980" w:type="dxa"/>
            <w:vAlign w:val="bottom"/>
          </w:tcPr>
          <w:p>
            <w:pPr>
              <w:jc w:val="center"/>
              <w:spacing w:after="0"/>
              <w:rPr>
                <w:sz w:val="20"/>
                <w:szCs w:val="20"/>
                <w:color w:val="auto"/>
              </w:rPr>
            </w:pPr>
            <w:r>
              <w:rPr>
                <w:rFonts w:ascii="Arial" w:cs="Arial" w:eastAsia="Arial" w:hAnsi="Arial"/>
                <w:sz w:val="17"/>
                <w:szCs w:val="17"/>
                <w:color w:val="auto"/>
                <w:w w:val="98"/>
              </w:rPr>
              <w:t>NM</w:t>
            </w:r>
          </w:p>
        </w:tc>
        <w:tc>
          <w:tcPr>
            <w:tcW w:w="32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7"/>
                <w:szCs w:val="17"/>
                <w:b w:val="1"/>
                <w:bCs w:val="1"/>
                <w:color w:val="auto"/>
              </w:rPr>
              <w:t>3,050.7</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4,307.1</w:t>
            </w:r>
          </w:p>
        </w:tc>
        <w:tc>
          <w:tcPr>
            <w:tcW w:w="880" w:type="dxa"/>
            <w:vAlign w:val="bottom"/>
          </w:tcPr>
          <w:p>
            <w:pPr>
              <w:jc w:val="right"/>
              <w:ind w:right="141"/>
              <w:spacing w:after="0"/>
              <w:rPr>
                <w:sz w:val="20"/>
                <w:szCs w:val="20"/>
                <w:color w:val="auto"/>
              </w:rPr>
            </w:pPr>
            <w:r>
              <w:rPr>
                <w:rFonts w:ascii="Arial" w:cs="Arial" w:eastAsia="Arial" w:hAnsi="Arial"/>
                <w:sz w:val="17"/>
                <w:szCs w:val="17"/>
                <w:color w:val="auto"/>
              </w:rPr>
              <w:t>(29)</w:t>
            </w:r>
          </w:p>
        </w:tc>
      </w:tr>
      <w:tr>
        <w:trPr>
          <w:trHeight w:val="220"/>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 diluted</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(0.06)</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NM</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3.38</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(29)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0"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Revenue increased for the three months ended September 30, 2023 driven by increased volume, higher realized prices and the favorable impact of foreign exchange rates. Revenue increased for the nine months ended September 30, 2023 primarily driven by increased volume. The increase in revenue during the three and nine months ended September 30, 2023 was primarily driven by sales of Mounjaro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Verzenio</w:t>
      </w:r>
      <w:r>
        <w:rPr>
          <w:rFonts w:ascii="Arial" w:cs="Arial" w:eastAsia="Arial" w:hAnsi="Arial"/>
          <w:sz w:val="22"/>
          <w:szCs w:val="22"/>
          <w:color w:val="auto"/>
          <w:vertAlign w:val="superscript"/>
        </w:rPr>
        <w:t>®</w:t>
      </w:r>
      <w:r>
        <w:rPr>
          <w:rFonts w:ascii="Arial" w:cs="Arial" w:eastAsia="Arial" w:hAnsi="Arial"/>
          <w:sz w:val="17"/>
          <w:szCs w:val="17"/>
          <w:color w:val="auto"/>
        </w:rPr>
        <w:t>, as well as from the sale of the rights for the olanzapine portfolio, including Zyprexa</w:t>
      </w:r>
      <w:r>
        <w:rPr>
          <w:rFonts w:ascii="Arial" w:cs="Arial" w:eastAsia="Arial" w:hAnsi="Arial"/>
          <w:sz w:val="22"/>
          <w:szCs w:val="22"/>
          <w:color w:val="auto"/>
          <w:vertAlign w:val="superscript"/>
        </w:rPr>
        <w:t>®</w:t>
      </w:r>
      <w:r>
        <w:rPr>
          <w:rFonts w:ascii="Arial" w:cs="Arial" w:eastAsia="Arial" w:hAnsi="Arial"/>
          <w:sz w:val="17"/>
          <w:szCs w:val="17"/>
          <w:color w:val="auto"/>
        </w:rPr>
        <w:t>, partially offset by the absence of COVID-19 antibodies revenue. Revenue for the nine months ended September 30, 2023 was also driven by the sale of rights for Baqsimi</w:t>
      </w:r>
      <w:r>
        <w:rPr>
          <w:rFonts w:ascii="Arial" w:cs="Arial" w:eastAsia="Arial" w:hAnsi="Arial"/>
          <w:sz w:val="22"/>
          <w:szCs w:val="22"/>
          <w:color w:val="auto"/>
          <w:vertAlign w:val="superscript"/>
        </w:rPr>
        <w:t>®</w:t>
      </w:r>
      <w:r>
        <w:rPr>
          <w:rFonts w:ascii="Arial" w:cs="Arial" w:eastAsia="Arial" w:hAnsi="Arial"/>
          <w:sz w:val="17"/>
          <w:szCs w:val="17"/>
          <w:color w:val="auto"/>
        </w:rPr>
        <w:t>, largely offset by lower sales of Alimta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following the entry of multiple generics in the first half of 2022.</w:t>
      </w:r>
    </w:p>
    <w:p>
      <w:pPr>
        <w:spacing w:after="0" w:line="94" w:lineRule="exact"/>
        <w:rPr>
          <w:sz w:val="20"/>
          <w:szCs w:val="20"/>
          <w:color w:val="auto"/>
        </w:rPr>
      </w:pPr>
    </w:p>
    <w:p>
      <w:pPr>
        <w:ind w:right="580"/>
        <w:spacing w:after="0" w:line="268" w:lineRule="auto"/>
        <w:rPr>
          <w:sz w:val="20"/>
          <w:szCs w:val="20"/>
          <w:color w:val="auto"/>
        </w:rPr>
      </w:pPr>
      <w:r>
        <w:rPr>
          <w:rFonts w:ascii="Arial" w:cs="Arial" w:eastAsia="Arial" w:hAnsi="Arial"/>
          <w:sz w:val="17"/>
          <w:szCs w:val="17"/>
          <w:color w:val="auto"/>
        </w:rPr>
        <w:t>Net income (loss) and earnings (loss) per share for the three and nine months ended September 30, 2023 decreased primarily due to higher acquired in-process research and development (IPR&amp;D) charges and increased research and development and marketing, selling, and administrative expenses, partially offset by increased revenue.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See "Results of Operations" for additional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Late-Stage Pipeline</w:t>
      </w:r>
    </w:p>
    <w:p>
      <w:pPr>
        <w:spacing w:after="0" w:line="1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long-term success depends on our ability to continually discover or acquire, develop, and commercialize innovative new medicines. We currently have approximately 45 new medicine candidates in clinical development or under regulatory review, and a larger number of projects in the discovery phase.</w:t>
      </w:r>
    </w:p>
    <w:p>
      <w:pPr>
        <w:spacing w:after="0" w:line="69" w:lineRule="exact"/>
        <w:rPr>
          <w:sz w:val="20"/>
          <w:szCs w:val="20"/>
          <w:color w:val="auto"/>
        </w:rPr>
      </w:pPr>
    </w:p>
    <w:p>
      <w:pPr>
        <w:ind w:right="60"/>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The following select new molecular entities (NMEs) and new indication line extension (NILEX) products are currently in Phase II or Phase III clinical trials or have been submitted for regulatory review or have received regulatory approval in the United States (U.S.), European Union (EU), or Japan. The table reflects the status of these NMEs and NILEX products, including relevant developments since our Annual Report on </w:t>
      </w:r>
      <w:hyperlink r:id="rId15">
        <w:r>
          <w:rPr>
            <w:rFonts w:ascii="Arial" w:cs="Arial" w:eastAsia="Arial" w:hAnsi="Arial"/>
            <w:sz w:val="17"/>
            <w:szCs w:val="17"/>
            <w:u w:val="single" w:color="auto"/>
            <w:color w:val="0000FF"/>
          </w:rPr>
          <w:t>Form 10-K</w:t>
        </w:r>
      </w:hyperlink>
      <w:r>
        <w:rPr>
          <w:rFonts w:ascii="Arial" w:cs="Arial" w:eastAsia="Arial" w:hAnsi="Arial"/>
          <w:sz w:val="17"/>
          <w:szCs w:val="17"/>
          <w:color w:val="auto"/>
        </w:rPr>
        <w:t xml:space="preserve"> for the year ended December 31, 2022.</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20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7"/>
                <w:szCs w:val="17"/>
                <w:b w:val="1"/>
                <w:bCs w:val="1"/>
                <w:color w:val="auto"/>
              </w:rPr>
              <w:t>Indication/Study</w:t>
            </w:r>
          </w:p>
        </w:tc>
        <w:tc>
          <w:tcPr>
            <w:tcW w:w="96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Status</w:t>
            </w:r>
          </w:p>
        </w:tc>
        <w:tc>
          <w:tcPr>
            <w:tcW w:w="660" w:type="dxa"/>
            <w:vAlign w:val="bottom"/>
            <w:tcBorders>
              <w:top w:val="single" w:sz="8" w:color="auto"/>
              <w:bottom w:val="single" w:sz="8" w:color="auto"/>
              <w:right w:val="single" w:sz="8" w:color="auto"/>
            </w:tcBorders>
            <w:shd w:val="clear" w:color="auto" w:fill="D8D8D8"/>
          </w:tcPr>
          <w:p>
            <w:pPr>
              <w:spacing w:after="0"/>
              <w:rPr>
                <w:sz w:val="20"/>
                <w:szCs w:val="20"/>
                <w:color w:val="auto"/>
              </w:rPr>
            </w:pPr>
          </w:p>
        </w:tc>
        <w:tc>
          <w:tcPr>
            <w:tcW w:w="524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Diabetes and Obesity</w:t>
            </w:r>
          </w:p>
        </w:tc>
        <w:tc>
          <w:tcPr>
            <w:tcW w:w="2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6"/>
                <w:szCs w:val="16"/>
                <w:color w:val="auto"/>
              </w:rPr>
              <w:t>Empagliflozin (Jardiance</w:t>
            </w:r>
            <w:r>
              <w:rPr>
                <w:rFonts w:ascii="Arial" w:cs="Arial" w:eastAsia="Arial" w:hAnsi="Arial"/>
                <w:sz w:val="21"/>
                <w:szCs w:val="21"/>
                <w:color w:val="auto"/>
                <w:vertAlign w:val="superscript"/>
              </w:rPr>
              <w:t>®</w:t>
            </w:r>
            <w:r>
              <w:rPr>
                <w:rFonts w:ascii="Arial" w:cs="Arial" w:eastAsia="Arial" w:hAnsi="Arial"/>
                <w:sz w:val="16"/>
                <w:szCs w:val="16"/>
                <w:color w:val="auto"/>
              </w:rPr>
              <w:t>)</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Chronic kidney disease</w:t>
            </w:r>
          </w:p>
        </w:tc>
        <w:tc>
          <w:tcPr>
            <w:tcW w:w="960" w:type="dxa"/>
            <w:vAlign w:val="bottom"/>
            <w:vMerge w:val="restart"/>
          </w:tcPr>
          <w:p>
            <w:pPr>
              <w:spacing w:after="0"/>
              <w:rPr>
                <w:sz w:val="20"/>
                <w:szCs w:val="20"/>
                <w:color w:val="auto"/>
              </w:rPr>
            </w:pPr>
            <w:r>
              <w:rPr>
                <w:rFonts w:ascii="Arial" w:cs="Arial" w:eastAsia="Arial" w:hAnsi="Arial"/>
                <w:sz w:val="17"/>
                <w:szCs w:val="17"/>
                <w:color w:val="auto"/>
              </w:rPr>
              <w:t>Approved</w:t>
            </w:r>
          </w:p>
        </w:tc>
        <w:tc>
          <w:tcPr>
            <w:tcW w:w="66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tcPr>
          <w:p>
            <w:pPr>
              <w:spacing w:after="0" w:line="187" w:lineRule="exact"/>
              <w:rPr>
                <w:sz w:val="20"/>
                <w:szCs w:val="20"/>
                <w:color w:val="auto"/>
              </w:rPr>
            </w:pPr>
            <w:r>
              <w:rPr>
                <w:rFonts w:ascii="Arial" w:cs="Arial" w:eastAsia="Arial" w:hAnsi="Arial"/>
                <w:sz w:val="17"/>
                <w:szCs w:val="17"/>
                <w:color w:val="auto"/>
              </w:rPr>
              <w:t>Approved in the U.S. and in the EU in the third quarter of 2023.</w:t>
            </w:r>
          </w:p>
        </w:tc>
        <w:tc>
          <w:tcPr>
            <w:tcW w:w="0" w:type="dxa"/>
            <w:vAlign w:val="bottom"/>
          </w:tcPr>
          <w:p>
            <w:pPr>
              <w:spacing w:after="0"/>
              <w:rPr>
                <w:sz w:val="1"/>
                <w:szCs w:val="1"/>
                <w:color w:val="auto"/>
              </w:rPr>
            </w:pPr>
          </w:p>
        </w:tc>
      </w:tr>
      <w:tr>
        <w:trPr>
          <w:trHeight w:val="141"/>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(1)</w:t>
            </w:r>
          </w:p>
        </w:tc>
        <w:tc>
          <w:tcPr>
            <w:tcW w:w="2200" w:type="dxa"/>
            <w:vAlign w:val="bottom"/>
            <w:tcBorders>
              <w:right w:val="single" w:sz="8" w:color="auto"/>
            </w:tcBorders>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Submitted in Japan in 2022.</w:t>
            </w:r>
          </w:p>
        </w:tc>
        <w:tc>
          <w:tcPr>
            <w:tcW w:w="0" w:type="dxa"/>
            <w:vAlign w:val="bottom"/>
          </w:tcPr>
          <w:p>
            <w:pPr>
              <w:spacing w:after="0"/>
              <w:rPr>
                <w:sz w:val="1"/>
                <w:szCs w:val="1"/>
                <w:color w:val="auto"/>
              </w:rPr>
            </w:pPr>
          </w:p>
        </w:tc>
      </w:tr>
      <w:tr>
        <w:trPr>
          <w:trHeight w:val="65"/>
        </w:trPr>
        <w:tc>
          <w:tcPr>
            <w:tcW w:w="2200" w:type="dxa"/>
            <w:vAlign w:val="bottom"/>
            <w:tcBorders>
              <w:left w:val="single" w:sz="8" w:color="auto"/>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2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220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Submitted in the EU in the first quarter of 2023 and in the U.S. in the</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second quarter of 2023. Received Priority Review designation from</w:t>
            </w: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7"/>
                <w:szCs w:val="17"/>
                <w:color w:val="auto"/>
              </w:rPr>
              <w:t>Obesity</w:t>
            </w:r>
          </w:p>
        </w:tc>
        <w:tc>
          <w:tcPr>
            <w:tcW w:w="960" w:type="dxa"/>
            <w:vAlign w:val="bottom"/>
          </w:tcPr>
          <w:p>
            <w:pPr>
              <w:spacing w:after="0" w:line="181" w:lineRule="exact"/>
              <w:rPr>
                <w:sz w:val="20"/>
                <w:szCs w:val="20"/>
                <w:color w:val="auto"/>
              </w:rPr>
            </w:pPr>
            <w:r>
              <w:rPr>
                <w:rFonts w:ascii="Arial" w:cs="Arial" w:eastAsia="Arial" w:hAnsi="Arial"/>
                <w:sz w:val="17"/>
                <w:szCs w:val="17"/>
                <w:color w:val="auto"/>
              </w:rPr>
              <w:t>Submitted</w:t>
            </w: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the U.S. Food and Drug Administration (FDA). Announced in the</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second and third quarters of 2023 that Phase III trials met all</w:t>
            </w: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primary and key secondary endpoints. Phase III trials are ongoing.</w:t>
            </w: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20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Cardiovascular outcomes in</w:t>
            </w:r>
          </w:p>
        </w:tc>
        <w:tc>
          <w:tcPr>
            <w:tcW w:w="960" w:type="dxa"/>
            <w:vAlign w:val="bottom"/>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type 2 diabetes</w:t>
            </w:r>
          </w:p>
        </w:tc>
        <w:tc>
          <w:tcPr>
            <w:tcW w:w="9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Tirzepatide</w:t>
            </w:r>
          </w:p>
        </w:tc>
        <w:tc>
          <w:tcPr>
            <w:tcW w:w="2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00" w:type="dxa"/>
            <w:vAlign w:val="bottom"/>
            <w:tcBorders>
              <w:left w:val="single" w:sz="8" w:color="auto"/>
              <w:right w:val="single" w:sz="8" w:color="auto"/>
            </w:tcBorders>
            <w:vMerge w:val="continue"/>
          </w:tcPr>
          <w:p>
            <w:pPr>
              <w:spacing w:after="0"/>
              <w:rPr>
                <w:sz w:val="24"/>
                <w:szCs w:val="24"/>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Heart failure with preserved</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64"/>
        </w:trPr>
        <w:tc>
          <w:tcPr>
            <w:tcW w:w="220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ejection fraction</w:t>
            </w:r>
          </w:p>
        </w:tc>
        <w:tc>
          <w:tcPr>
            <w:tcW w:w="9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00" w:type="dxa"/>
            <w:vAlign w:val="bottom"/>
            <w:tcBorders>
              <w:left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Morbidity and mortality in</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obesity</w:t>
            </w: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200" w:type="dxa"/>
            <w:vAlign w:val="bottom"/>
            <w:tcBorders>
              <w:left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200" w:type="dxa"/>
            <w:vAlign w:val="bottom"/>
            <w:tcBorders>
              <w:left w:val="single" w:sz="8" w:color="auto"/>
              <w:right w:val="single" w:sz="8" w:color="auto"/>
            </w:tcBorders>
          </w:tcPr>
          <w:p>
            <w:pPr>
              <w:spacing w:after="0"/>
              <w:rPr>
                <w:sz w:val="22"/>
                <w:szCs w:val="22"/>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Obstructive sleep apnea</w:t>
            </w:r>
          </w:p>
        </w:tc>
        <w:tc>
          <w:tcPr>
            <w:tcW w:w="960" w:type="dxa"/>
            <w:vAlign w:val="bottom"/>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Phase III trial is ongoing.</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ind w:left="20"/>
              <w:spacing w:after="0" w:line="142" w:lineRule="exact"/>
              <w:rPr>
                <w:sz w:val="20"/>
                <w:szCs w:val="20"/>
                <w:color w:val="auto"/>
              </w:rPr>
            </w:pPr>
            <w:r>
              <w:rPr>
                <w:rFonts w:ascii="Arial" w:cs="Arial" w:eastAsia="Arial" w:hAnsi="Arial"/>
                <w:sz w:val="16"/>
                <w:szCs w:val="16"/>
                <w:color w:val="auto"/>
              </w:rPr>
              <w:t>(OSA)</w:t>
            </w:r>
          </w:p>
        </w:tc>
        <w:tc>
          <w:tcPr>
            <w:tcW w:w="96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20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Higher doses</w:t>
            </w:r>
          </w:p>
        </w:tc>
        <w:tc>
          <w:tcPr>
            <w:tcW w:w="960" w:type="dxa"/>
            <w:vAlign w:val="bottom"/>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 trial initiated in the third quarter of 2023.</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Nonalcoholic</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steatohepatitis</w:t>
            </w: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Insulin Efsitora Alfa</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Type 1 and 2 diabetes</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303"/>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Orforglipron</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Obesity</w:t>
            </w:r>
          </w:p>
        </w:tc>
        <w:tc>
          <w:tcPr>
            <w:tcW w:w="960" w:type="dxa"/>
            <w:vAlign w:val="bottom"/>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III trials initiated in the second quarter of 2023.</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200" w:type="dxa"/>
            <w:vAlign w:val="bottom"/>
            <w:tcBorders>
              <w:left w:val="single" w:sz="8" w:color="auto"/>
              <w:right w:val="single" w:sz="8" w:color="auto"/>
            </w:tcBorders>
            <w:vMerge w:val="continue"/>
          </w:tcPr>
          <w:p>
            <w:pPr>
              <w:spacing w:after="0"/>
              <w:rPr>
                <w:sz w:val="8"/>
                <w:szCs w:val="8"/>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Type 2 diabetes</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8"/>
                <w:szCs w:val="8"/>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trials initiated in the second and third quarters of 2023.</w:t>
            </w:r>
          </w:p>
        </w:tc>
        <w:tc>
          <w:tcPr>
            <w:tcW w:w="0" w:type="dxa"/>
            <w:vAlign w:val="bottom"/>
          </w:tcPr>
          <w:p>
            <w:pPr>
              <w:spacing w:after="0"/>
              <w:rPr>
                <w:sz w:val="1"/>
                <w:szCs w:val="1"/>
                <w:color w:val="auto"/>
              </w:rPr>
            </w:pPr>
          </w:p>
        </w:tc>
      </w:tr>
      <w:tr>
        <w:trPr>
          <w:trHeight w:val="207"/>
        </w:trPr>
        <w:tc>
          <w:tcPr>
            <w:tcW w:w="220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220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Obesity, osteoarthritis, OSA</w:t>
            </w:r>
          </w:p>
        </w:tc>
        <w:tc>
          <w:tcPr>
            <w:tcW w:w="960" w:type="dxa"/>
            <w:vAlign w:val="bottom"/>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III trials initiated in the second and third quarters of 2023.</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Retatrutide</w:t>
            </w:r>
          </w:p>
        </w:tc>
        <w:tc>
          <w:tcPr>
            <w:tcW w:w="22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200" w:type="dxa"/>
            <w:vAlign w:val="bottom"/>
            <w:tcBorders>
              <w:left w:val="single" w:sz="8" w:color="auto"/>
              <w:right w:val="single" w:sz="8" w:color="auto"/>
            </w:tcBorders>
            <w:vMerge w:val="continue"/>
          </w:tcPr>
          <w:p>
            <w:pPr>
              <w:spacing w:after="0"/>
              <w:rPr>
                <w:sz w:val="8"/>
                <w:szCs w:val="8"/>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Type 2 diabetes</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8"/>
                <w:szCs w:val="8"/>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 was completed.</w:t>
            </w:r>
          </w:p>
        </w:tc>
        <w:tc>
          <w:tcPr>
            <w:tcW w:w="0" w:type="dxa"/>
            <w:vAlign w:val="bottom"/>
          </w:tcPr>
          <w:p>
            <w:pPr>
              <w:spacing w:after="0"/>
              <w:rPr>
                <w:sz w:val="1"/>
                <w:szCs w:val="1"/>
                <w:color w:val="auto"/>
              </w:rPr>
            </w:pPr>
          </w:p>
        </w:tc>
      </w:tr>
      <w:tr>
        <w:trPr>
          <w:trHeight w:val="258"/>
        </w:trPr>
        <w:tc>
          <w:tcPr>
            <w:tcW w:w="2200" w:type="dxa"/>
            <w:vAlign w:val="bottom"/>
            <w:tcBorders>
              <w:left w:val="single" w:sz="8" w:color="auto"/>
              <w:right w:val="single" w:sz="8" w:color="auto"/>
            </w:tcBorders>
          </w:tcPr>
          <w:p>
            <w:pPr>
              <w:spacing w:after="0"/>
              <w:rPr>
                <w:sz w:val="22"/>
                <w:szCs w:val="22"/>
                <w:color w:val="auto"/>
              </w:rPr>
            </w:pPr>
          </w:p>
        </w:tc>
        <w:tc>
          <w:tcPr>
            <w:tcW w:w="2200" w:type="dxa"/>
            <w:vAlign w:val="bottom"/>
            <w:tcBorders>
              <w:right w:val="single" w:sz="8" w:color="auto"/>
            </w:tcBorders>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Bimagrumab</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Obesity</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Acquired in the acquisition of Versanis Bio, Inc. (Versanis) in the</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vMerge w:val="continue"/>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third quarter of 2023. Phase II trial is ongoing.</w:t>
            </w:r>
          </w:p>
        </w:tc>
        <w:tc>
          <w:tcPr>
            <w:tcW w:w="0" w:type="dxa"/>
            <w:vAlign w:val="bottom"/>
          </w:tcPr>
          <w:p>
            <w:pPr>
              <w:spacing w:after="0"/>
              <w:rPr>
                <w:sz w:val="1"/>
                <w:szCs w:val="1"/>
                <w:color w:val="auto"/>
              </w:rPr>
            </w:pPr>
          </w:p>
        </w:tc>
      </w:tr>
      <w:tr>
        <w:trPr>
          <w:trHeight w:val="84"/>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Lepodisiran</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Cardiovascular disease</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Muvalaplin</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Cardiovascular disease</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Solbinsiran</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Cardiovascular disease</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Volenrelaxin (Relaxin-LA)</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Heart failure</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initiated in the first quarter of 2023.</w:t>
            </w:r>
          </w:p>
        </w:tc>
        <w:tc>
          <w:tcPr>
            <w:tcW w:w="0" w:type="dxa"/>
            <w:vAlign w:val="bottom"/>
          </w:tcPr>
          <w:p>
            <w:pPr>
              <w:spacing w:after="0"/>
              <w:rPr>
                <w:sz w:val="1"/>
                <w:szCs w:val="1"/>
                <w:color w:val="auto"/>
              </w:rPr>
            </w:pPr>
          </w:p>
        </w:tc>
      </w:tr>
      <w:tr>
        <w:trPr>
          <w:trHeight w:val="807"/>
        </w:trPr>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jc w:val="right"/>
              <w:ind w:right="214"/>
              <w:spacing w:after="0"/>
              <w:rPr>
                <w:sz w:val="20"/>
                <w:szCs w:val="20"/>
                <w:color w:val="auto"/>
              </w:rPr>
            </w:pPr>
            <w:r>
              <w:rPr>
                <w:rFonts w:ascii="Arial" w:cs="Arial" w:eastAsia="Arial" w:hAnsi="Arial"/>
                <w:sz w:val="17"/>
                <w:szCs w:val="17"/>
                <w:color w:val="auto"/>
              </w:rPr>
              <w:t>36</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20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853" w:right="31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3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20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7"/>
                <w:szCs w:val="17"/>
                <w:b w:val="1"/>
                <w:bCs w:val="1"/>
                <w:color w:val="auto"/>
              </w:rPr>
              <w:t>Indication/Study</w:t>
            </w:r>
          </w:p>
        </w:tc>
        <w:tc>
          <w:tcPr>
            <w:tcW w:w="106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Status</w:t>
            </w:r>
          </w:p>
        </w:tc>
        <w:tc>
          <w:tcPr>
            <w:tcW w:w="560" w:type="dxa"/>
            <w:vAlign w:val="bottom"/>
            <w:tcBorders>
              <w:top w:val="single" w:sz="8" w:color="auto"/>
              <w:bottom w:val="single" w:sz="8" w:color="auto"/>
              <w:right w:val="single" w:sz="8" w:color="auto"/>
            </w:tcBorders>
            <w:shd w:val="clear" w:color="auto" w:fill="D8D8D8"/>
          </w:tcPr>
          <w:p>
            <w:pPr>
              <w:spacing w:after="0"/>
              <w:rPr>
                <w:sz w:val="20"/>
                <w:szCs w:val="20"/>
                <w:color w:val="auto"/>
              </w:rPr>
            </w:pPr>
          </w:p>
        </w:tc>
        <w:tc>
          <w:tcPr>
            <w:tcW w:w="524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Immunology</w:t>
            </w:r>
          </w:p>
        </w:tc>
        <w:tc>
          <w:tcPr>
            <w:tcW w:w="2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Ulcerative colitis</w:t>
            </w:r>
          </w:p>
        </w:tc>
        <w:tc>
          <w:tcPr>
            <w:tcW w:w="1060" w:type="dxa"/>
            <w:vAlign w:val="bottom"/>
            <w:vMerge w:val="restart"/>
          </w:tcPr>
          <w:p>
            <w:pPr>
              <w:spacing w:after="0"/>
              <w:rPr>
                <w:sz w:val="20"/>
                <w:szCs w:val="20"/>
                <w:color w:val="auto"/>
              </w:rPr>
            </w:pPr>
            <w:r>
              <w:rPr>
                <w:rFonts w:ascii="Arial" w:cs="Arial" w:eastAsia="Arial" w:hAnsi="Arial"/>
                <w:sz w:val="17"/>
                <w:szCs w:val="17"/>
                <w:color w:val="auto"/>
              </w:rPr>
              <w:t>Approved</w:t>
            </w:r>
          </w:p>
        </w:tc>
        <w:tc>
          <w:tcPr>
            <w:tcW w:w="560" w:type="dxa"/>
            <w:vAlign w:val="bottom"/>
            <w:tcBorders>
              <w:right w:val="single" w:sz="8" w:color="auto"/>
            </w:tcBorders>
          </w:tcPr>
          <w:p>
            <w:pPr>
              <w:spacing w:after="0"/>
              <w:rPr>
                <w:sz w:val="21"/>
                <w:szCs w:val="21"/>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Approved in Japan in the first quarter of 2023, in the EU in the</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Mirikizumab</w:t>
            </w:r>
          </w:p>
        </w:tc>
        <w:tc>
          <w:tcPr>
            <w:tcW w:w="2200" w:type="dxa"/>
            <w:vAlign w:val="bottom"/>
            <w:tcBorders>
              <w:right w:val="single" w:sz="8" w:color="auto"/>
            </w:tcBorders>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second quarter of 2023, and in the U.S. in October 2023.</w:t>
            </w:r>
          </w:p>
        </w:tc>
        <w:tc>
          <w:tcPr>
            <w:tcW w:w="0" w:type="dxa"/>
            <w:vAlign w:val="bottom"/>
          </w:tcPr>
          <w:p>
            <w:pPr>
              <w:spacing w:after="0"/>
              <w:rPr>
                <w:sz w:val="1"/>
                <w:szCs w:val="1"/>
                <w:color w:val="auto"/>
              </w:rPr>
            </w:pPr>
          </w:p>
        </w:tc>
      </w:tr>
      <w:tr>
        <w:trPr>
          <w:trHeight w:val="78"/>
        </w:trPr>
        <w:tc>
          <w:tcPr>
            <w:tcW w:w="2200" w:type="dxa"/>
            <w:vAlign w:val="bottom"/>
            <w:tcBorders>
              <w:left w:val="single" w:sz="8" w:color="auto"/>
              <w:right w:val="single" w:sz="8" w:color="auto"/>
            </w:tcBorders>
            <w:vMerge w:val="continue"/>
          </w:tcPr>
          <w:p>
            <w:pPr>
              <w:spacing w:after="0"/>
              <w:rPr>
                <w:sz w:val="6"/>
                <w:szCs w:val="6"/>
                <w:color w:val="auto"/>
              </w:rPr>
            </w:pPr>
          </w:p>
        </w:tc>
        <w:tc>
          <w:tcPr>
            <w:tcW w:w="220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5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200" w:type="dxa"/>
            <w:vAlign w:val="bottom"/>
            <w:tcBorders>
              <w:left w:val="single" w:sz="8" w:color="auto"/>
              <w:right w:val="single" w:sz="8" w:color="auto"/>
            </w:tcBorders>
            <w:vMerge w:val="restart"/>
          </w:tcPr>
          <w:p>
            <w:pPr>
              <w:ind w:left="40"/>
              <w:spacing w:after="0" w:line="220" w:lineRule="exact"/>
              <w:rPr>
                <w:sz w:val="20"/>
                <w:szCs w:val="20"/>
                <w:color w:val="auto"/>
              </w:rPr>
            </w:pPr>
            <w:r>
              <w:rPr>
                <w:rFonts w:ascii="Arial" w:cs="Arial" w:eastAsia="Arial" w:hAnsi="Arial"/>
                <w:sz w:val="17"/>
                <w:szCs w:val="17"/>
                <w:color w:val="auto"/>
              </w:rPr>
              <w:t>(Omvoh</w:t>
            </w:r>
            <w:r>
              <w:rPr>
                <w:rFonts w:ascii="Arial" w:cs="Arial" w:eastAsia="Arial" w:hAnsi="Arial"/>
                <w:sz w:val="22"/>
                <w:szCs w:val="22"/>
                <w:color w:val="auto"/>
                <w:vertAlign w:val="superscript"/>
              </w:rPr>
              <w:t>TM</w:t>
            </w:r>
            <w:r>
              <w:rPr>
                <w:rFonts w:ascii="Arial" w:cs="Arial" w:eastAsia="Arial" w:hAnsi="Arial"/>
                <w:sz w:val="17"/>
                <w:szCs w:val="17"/>
                <w:color w:val="auto"/>
              </w:rPr>
              <w:t>)</w:t>
            </w:r>
          </w:p>
        </w:tc>
        <w:tc>
          <w:tcPr>
            <w:tcW w:w="2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200" w:type="dxa"/>
            <w:vAlign w:val="bottom"/>
            <w:tcBorders>
              <w:left w:val="single" w:sz="8" w:color="auto"/>
              <w:right w:val="single" w:sz="8" w:color="auto"/>
            </w:tcBorders>
            <w:vMerge w:val="continue"/>
          </w:tcPr>
          <w:p>
            <w:pPr>
              <w:spacing w:after="0"/>
              <w:rPr>
                <w:sz w:val="15"/>
                <w:szCs w:val="15"/>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Crohn's Disease</w:t>
            </w:r>
          </w:p>
        </w:tc>
        <w:tc>
          <w:tcPr>
            <w:tcW w:w="106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5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spacing w:after="0" w:line="174" w:lineRule="exact"/>
              <w:rPr>
                <w:sz w:val="20"/>
                <w:szCs w:val="20"/>
                <w:color w:val="auto"/>
              </w:rPr>
            </w:pPr>
            <w:r>
              <w:rPr>
                <w:rFonts w:ascii="Arial" w:cs="Arial" w:eastAsia="Arial" w:hAnsi="Arial"/>
                <w:sz w:val="17"/>
                <w:szCs w:val="17"/>
                <w:color w:val="auto"/>
              </w:rPr>
              <w:t>Announced in October 2023 that a Phase III trial met the co-primary</w:t>
            </w: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and all major secondary endpoints versus placebo. Phase III trials</w:t>
            </w:r>
          </w:p>
        </w:tc>
        <w:tc>
          <w:tcPr>
            <w:tcW w:w="0" w:type="dxa"/>
            <w:vAlign w:val="bottom"/>
          </w:tcPr>
          <w:p>
            <w:pPr>
              <w:spacing w:after="0"/>
              <w:rPr>
                <w:sz w:val="1"/>
                <w:szCs w:val="1"/>
                <w:color w:val="auto"/>
              </w:rPr>
            </w:pPr>
          </w:p>
        </w:tc>
      </w:tr>
      <w:tr>
        <w:trPr>
          <w:trHeight w:val="226"/>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are ongoing.</w:t>
            </w:r>
          </w:p>
        </w:tc>
        <w:tc>
          <w:tcPr>
            <w:tcW w:w="0" w:type="dxa"/>
            <w:vAlign w:val="bottom"/>
          </w:tcPr>
          <w:p>
            <w:pPr>
              <w:spacing w:after="0"/>
              <w:rPr>
                <w:sz w:val="1"/>
                <w:szCs w:val="1"/>
                <w:color w:val="auto"/>
              </w:rPr>
            </w:pPr>
          </w:p>
        </w:tc>
      </w:tr>
      <w:tr>
        <w:trPr>
          <w:trHeight w:val="167"/>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rPr>
              <w:t>Submitted in the U.S. and the EU in 2022 and in Japan in the first</w:t>
            </w: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Lebrikizumab</w:t>
            </w:r>
            <w:r>
              <w:rPr>
                <w:rFonts w:ascii="Arial" w:cs="Arial" w:eastAsia="Arial" w:hAnsi="Arial"/>
                <w:sz w:val="22"/>
                <w:szCs w:val="22"/>
                <w:color w:val="auto"/>
                <w:vertAlign w:val="superscript"/>
              </w:rPr>
              <w:t>(3)</w:t>
            </w:r>
          </w:p>
        </w:tc>
        <w:tc>
          <w:tcPr>
            <w:tcW w:w="220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quarter of 2023. Announced in October 2023 we received a</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vMerge w:val="continue"/>
          </w:tcPr>
          <w:p>
            <w:pPr>
              <w:spacing w:after="0"/>
              <w:rPr>
                <w:sz w:val="14"/>
                <w:szCs w:val="14"/>
                <w:color w:val="auto"/>
              </w:rPr>
            </w:pPr>
          </w:p>
        </w:tc>
        <w:tc>
          <w:tcPr>
            <w:tcW w:w="220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color w:val="auto"/>
              </w:rPr>
              <w:t>Atopic dermatitis</w:t>
            </w:r>
          </w:p>
        </w:tc>
        <w:tc>
          <w:tcPr>
            <w:tcW w:w="1060" w:type="dxa"/>
            <w:vAlign w:val="bottom"/>
          </w:tcPr>
          <w:p>
            <w:pPr>
              <w:spacing w:after="0" w:line="168" w:lineRule="exact"/>
              <w:rPr>
                <w:sz w:val="20"/>
                <w:szCs w:val="20"/>
                <w:color w:val="auto"/>
              </w:rPr>
            </w:pPr>
            <w:r>
              <w:rPr>
                <w:rFonts w:ascii="Arial" w:cs="Arial" w:eastAsia="Arial" w:hAnsi="Arial"/>
                <w:sz w:val="17"/>
                <w:szCs w:val="17"/>
                <w:color w:val="auto"/>
              </w:rPr>
              <w:t>Submitted</w:t>
            </w:r>
          </w:p>
        </w:tc>
        <w:tc>
          <w:tcPr>
            <w:tcW w:w="5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complete response letter from the FDA based on inspection findings</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at a third-party manufacturer with no stated concerns about the</w:t>
            </w:r>
          </w:p>
        </w:tc>
        <w:tc>
          <w:tcPr>
            <w:tcW w:w="0" w:type="dxa"/>
            <w:vAlign w:val="bottom"/>
          </w:tcPr>
          <w:p>
            <w:pPr>
              <w:spacing w:after="0"/>
              <w:rPr>
                <w:sz w:val="1"/>
                <w:szCs w:val="1"/>
                <w:color w:val="auto"/>
              </w:rPr>
            </w:pPr>
          </w:p>
        </w:tc>
      </w:tr>
      <w:tr>
        <w:trPr>
          <w:trHeight w:val="226"/>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clinical data package, safety, or label. Phase III trials are ongoing.</w:t>
            </w:r>
          </w:p>
        </w:tc>
        <w:tc>
          <w:tcPr>
            <w:tcW w:w="0" w:type="dxa"/>
            <w:vAlign w:val="bottom"/>
          </w:tcPr>
          <w:p>
            <w:pPr>
              <w:spacing w:after="0"/>
              <w:rPr>
                <w:sz w:val="1"/>
                <w:szCs w:val="1"/>
                <w:color w:val="auto"/>
              </w:rPr>
            </w:pPr>
          </w:p>
        </w:tc>
      </w:tr>
      <w:tr>
        <w:trPr>
          <w:trHeight w:val="167"/>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DC-806</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Psoriasis</w:t>
            </w:r>
          </w:p>
        </w:tc>
        <w:tc>
          <w:tcPr>
            <w:tcW w:w="10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rPr>
              <w:t>Acquired in the acquisition of DICE Therapeutics, Inc. (DICE) in the</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vMerge w:val="continue"/>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third quarter of 2023. Phase II trial is ongoing.</w:t>
            </w:r>
          </w:p>
        </w:tc>
        <w:tc>
          <w:tcPr>
            <w:tcW w:w="0" w:type="dxa"/>
            <w:vAlign w:val="bottom"/>
          </w:tcPr>
          <w:p>
            <w:pPr>
              <w:spacing w:after="0"/>
              <w:rPr>
                <w:sz w:val="1"/>
                <w:szCs w:val="1"/>
                <w:color w:val="auto"/>
              </w:rPr>
            </w:pPr>
          </w:p>
        </w:tc>
      </w:tr>
      <w:tr>
        <w:trPr>
          <w:trHeight w:val="84"/>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Eltrekibart</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Hidradenitis suppurativa</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32"/>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Peresolimab</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Rheumatoid arthritis</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3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RIPK1 inhibitor</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Rheumatoid arthritis</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initiated in the second quarter of 2023.</w:t>
            </w:r>
          </w:p>
        </w:tc>
        <w:tc>
          <w:tcPr>
            <w:tcW w:w="0" w:type="dxa"/>
            <w:vAlign w:val="bottom"/>
          </w:tcPr>
          <w:p>
            <w:pPr>
              <w:spacing w:after="0"/>
              <w:rPr>
                <w:sz w:val="1"/>
                <w:szCs w:val="1"/>
                <w:color w:val="auto"/>
              </w:rPr>
            </w:pPr>
          </w:p>
        </w:tc>
      </w:tr>
      <w:tr>
        <w:trPr>
          <w:trHeight w:val="23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Ucenprubart</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Atopic dermatitis</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initiated in the second quarter of 2023.</w:t>
            </w:r>
          </w:p>
        </w:tc>
        <w:tc>
          <w:tcPr>
            <w:tcW w:w="0" w:type="dxa"/>
            <w:vAlign w:val="bottom"/>
          </w:tcPr>
          <w:p>
            <w:pPr>
              <w:spacing w:after="0"/>
              <w:rPr>
                <w:sz w:val="1"/>
                <w:szCs w:val="1"/>
                <w:color w:val="auto"/>
              </w:rPr>
            </w:pPr>
          </w:p>
        </w:tc>
      </w:tr>
      <w:tr>
        <w:trPr>
          <w:trHeight w:val="167"/>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BTLA MAB Agonist</w:t>
            </w:r>
          </w:p>
        </w:tc>
        <w:tc>
          <w:tcPr>
            <w:tcW w:w="22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rPr>
              <w:t>Systemic lupus</w:t>
            </w:r>
          </w:p>
        </w:tc>
        <w:tc>
          <w:tcPr>
            <w:tcW w:w="1060" w:type="dxa"/>
            <w:vAlign w:val="bottom"/>
            <w:vMerge w:val="restart"/>
          </w:tcPr>
          <w:p>
            <w:pPr>
              <w:spacing w:after="0"/>
              <w:rPr>
                <w:sz w:val="20"/>
                <w:szCs w:val="20"/>
                <w:color w:val="auto"/>
              </w:rPr>
            </w:pPr>
            <w:r>
              <w:rPr>
                <w:rFonts w:ascii="Arial" w:cs="Arial" w:eastAsia="Arial" w:hAnsi="Arial"/>
                <w:sz w:val="17"/>
                <w:szCs w:val="17"/>
                <w:color w:val="auto"/>
              </w:rPr>
              <w:t>Discontinued</w:t>
            </w:r>
          </w:p>
        </w:tc>
        <w:tc>
          <w:tcPr>
            <w:tcW w:w="5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rPr>
              <w:t>Phase II trial failed to demonstrate efficacy in the third quarter of</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vMerge w:val="continue"/>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erythematosus</w:t>
            </w:r>
          </w:p>
        </w:tc>
        <w:tc>
          <w:tcPr>
            <w:tcW w:w="1060" w:type="dxa"/>
            <w:vAlign w:val="bottom"/>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84"/>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Neuroscience</w:t>
            </w:r>
          </w:p>
        </w:tc>
        <w:tc>
          <w:tcPr>
            <w:tcW w:w="2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2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Submitted for traditional approval in the U.S. in the second quarter</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spacing w:after="0" w:line="175" w:lineRule="exact"/>
              <w:rPr>
                <w:sz w:val="20"/>
                <w:szCs w:val="20"/>
                <w:color w:val="auto"/>
              </w:rPr>
            </w:pPr>
            <w:r>
              <w:rPr>
                <w:rFonts w:ascii="Arial" w:cs="Arial" w:eastAsia="Arial" w:hAnsi="Arial"/>
                <w:sz w:val="17"/>
                <w:szCs w:val="17"/>
                <w:color w:val="auto"/>
              </w:rPr>
              <w:t>of 2023 and in the EU and Japan in the third quarter of 2023.</w:t>
            </w:r>
          </w:p>
        </w:tc>
        <w:tc>
          <w:tcPr>
            <w:tcW w:w="0" w:type="dxa"/>
            <w:vAlign w:val="bottom"/>
          </w:tcPr>
          <w:p>
            <w:pPr>
              <w:spacing w:after="0"/>
              <w:rPr>
                <w:sz w:val="1"/>
                <w:szCs w:val="1"/>
                <w:color w:val="auto"/>
              </w:rPr>
            </w:pPr>
          </w:p>
        </w:tc>
      </w:tr>
      <w:tr>
        <w:trPr>
          <w:trHeight w:val="174"/>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Early Alzheimer's disease</w:t>
            </w:r>
          </w:p>
        </w:tc>
        <w:tc>
          <w:tcPr>
            <w:tcW w:w="1060" w:type="dxa"/>
            <w:vAlign w:val="bottom"/>
          </w:tcPr>
          <w:p>
            <w:pPr>
              <w:spacing w:after="0" w:line="174" w:lineRule="exact"/>
              <w:rPr>
                <w:sz w:val="20"/>
                <w:szCs w:val="20"/>
                <w:color w:val="auto"/>
              </w:rPr>
            </w:pPr>
            <w:r>
              <w:rPr>
                <w:rFonts w:ascii="Arial" w:cs="Arial" w:eastAsia="Arial" w:hAnsi="Arial"/>
                <w:sz w:val="17"/>
                <w:szCs w:val="17"/>
                <w:color w:val="auto"/>
              </w:rPr>
              <w:t>Submitted</w:t>
            </w:r>
          </w:p>
        </w:tc>
        <w:tc>
          <w:tcPr>
            <w:tcW w:w="5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spacing w:after="0" w:line="174" w:lineRule="exact"/>
              <w:rPr>
                <w:sz w:val="20"/>
                <w:szCs w:val="20"/>
                <w:color w:val="auto"/>
              </w:rPr>
            </w:pPr>
            <w:r>
              <w:rPr>
                <w:rFonts w:ascii="Arial" w:cs="Arial" w:eastAsia="Arial" w:hAnsi="Arial"/>
                <w:sz w:val="16"/>
                <w:szCs w:val="16"/>
                <w:color w:val="auto"/>
              </w:rPr>
              <w:t>Granted FDA Breakthrough Therapy designation</w:t>
            </w:r>
            <w:r>
              <w:rPr>
                <w:rFonts w:ascii="Arial" w:cs="Arial" w:eastAsia="Arial" w:hAnsi="Arial"/>
                <w:sz w:val="20"/>
                <w:szCs w:val="20"/>
                <w:color w:val="auto"/>
                <w:vertAlign w:val="superscript"/>
              </w:rPr>
              <w:t>(4)</w:t>
            </w:r>
            <w:r>
              <w:rPr>
                <w:rFonts w:ascii="Arial" w:cs="Arial" w:eastAsia="Arial" w:hAnsi="Arial"/>
                <w:sz w:val="16"/>
                <w:szCs w:val="16"/>
                <w:color w:val="auto"/>
              </w:rPr>
              <w:t>. Announced in</w:t>
            </w:r>
          </w:p>
        </w:tc>
        <w:tc>
          <w:tcPr>
            <w:tcW w:w="0" w:type="dxa"/>
            <w:vAlign w:val="bottom"/>
          </w:tcPr>
          <w:p>
            <w:pPr>
              <w:spacing w:after="0"/>
              <w:rPr>
                <w:sz w:val="1"/>
                <w:szCs w:val="1"/>
                <w:color w:val="auto"/>
              </w:rPr>
            </w:pPr>
          </w:p>
        </w:tc>
      </w:tr>
      <w:tr>
        <w:trPr>
          <w:trHeight w:val="20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Donanemab</w:t>
            </w:r>
          </w:p>
        </w:tc>
        <w:tc>
          <w:tcPr>
            <w:tcW w:w="220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the second quarter of 2023 that a Phase III trial met primary and all</w:t>
            </w: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secondary endpoints. Phase III trials are ongoing.</w:t>
            </w:r>
          </w:p>
        </w:tc>
        <w:tc>
          <w:tcPr>
            <w:tcW w:w="0" w:type="dxa"/>
            <w:vAlign w:val="bottom"/>
          </w:tcPr>
          <w:p>
            <w:pPr>
              <w:spacing w:after="0"/>
              <w:rPr>
                <w:sz w:val="1"/>
                <w:szCs w:val="1"/>
                <w:color w:val="auto"/>
              </w:rPr>
            </w:pPr>
          </w:p>
        </w:tc>
      </w:tr>
      <w:tr>
        <w:trPr>
          <w:trHeight w:val="77"/>
        </w:trPr>
        <w:tc>
          <w:tcPr>
            <w:tcW w:w="2200" w:type="dxa"/>
            <w:vAlign w:val="bottom"/>
            <w:tcBorders>
              <w:left w:val="single" w:sz="8" w:color="auto"/>
              <w:right w:val="single" w:sz="8" w:color="auto"/>
            </w:tcBorders>
          </w:tcPr>
          <w:p>
            <w:pPr>
              <w:spacing w:after="0"/>
              <w:rPr>
                <w:sz w:val="6"/>
                <w:szCs w:val="6"/>
                <w:color w:val="auto"/>
              </w:rPr>
            </w:pPr>
          </w:p>
        </w:tc>
        <w:tc>
          <w:tcPr>
            <w:tcW w:w="22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Preclinical Alzheimer's</w:t>
            </w:r>
          </w:p>
        </w:tc>
        <w:tc>
          <w:tcPr>
            <w:tcW w:w="106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5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disease</w:t>
            </w:r>
          </w:p>
        </w:tc>
        <w:tc>
          <w:tcPr>
            <w:tcW w:w="1060" w:type="dxa"/>
            <w:vAlign w:val="bottom"/>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Remternetug</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Early Alzheimer's disease</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III</w:t>
            </w:r>
          </w:p>
        </w:tc>
        <w:tc>
          <w:tcPr>
            <w:tcW w:w="5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303"/>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GBA1 Gene Therapy</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Gaucher disease Type 1</w:t>
            </w:r>
          </w:p>
        </w:tc>
        <w:tc>
          <w:tcPr>
            <w:tcW w:w="1060" w:type="dxa"/>
            <w:vAlign w:val="bottom"/>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 trial initiated in the second quarter of 2023.</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200" w:type="dxa"/>
            <w:vAlign w:val="bottom"/>
            <w:tcBorders>
              <w:left w:val="single" w:sz="8" w:color="auto"/>
              <w:right w:val="single" w:sz="8" w:color="auto"/>
            </w:tcBorders>
            <w:vMerge w:val="continue"/>
          </w:tcPr>
          <w:p>
            <w:pPr>
              <w:spacing w:after="0"/>
              <w:rPr>
                <w:sz w:val="8"/>
                <w:szCs w:val="8"/>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Parkinson's disease</w:t>
            </w:r>
          </w:p>
        </w:tc>
        <w:tc>
          <w:tcPr>
            <w:tcW w:w="10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right w:val="single" w:sz="8" w:color="auto"/>
            </w:tcBorders>
          </w:tcPr>
          <w:p>
            <w:pPr>
              <w:spacing w:after="0"/>
              <w:rPr>
                <w:sz w:val="8"/>
                <w:szCs w:val="8"/>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Phase II trial is ongoing.</w:t>
            </w:r>
          </w:p>
        </w:tc>
        <w:tc>
          <w:tcPr>
            <w:tcW w:w="0" w:type="dxa"/>
            <w:vAlign w:val="bottom"/>
          </w:tcPr>
          <w:p>
            <w:pPr>
              <w:spacing w:after="0"/>
              <w:rPr>
                <w:sz w:val="1"/>
                <w:szCs w:val="1"/>
                <w:color w:val="auto"/>
              </w:rPr>
            </w:pPr>
          </w:p>
        </w:tc>
      </w:tr>
      <w:tr>
        <w:trPr>
          <w:trHeight w:val="274"/>
        </w:trPr>
        <w:tc>
          <w:tcPr>
            <w:tcW w:w="2200" w:type="dxa"/>
            <w:vAlign w:val="bottom"/>
            <w:tcBorders>
              <w:left w:val="single" w:sz="8" w:color="auto"/>
              <w:right w:val="single" w:sz="8" w:color="auto"/>
            </w:tcBorders>
          </w:tcPr>
          <w:p>
            <w:pPr>
              <w:spacing w:after="0"/>
              <w:rPr>
                <w:sz w:val="23"/>
                <w:szCs w:val="23"/>
                <w:color w:val="auto"/>
              </w:rPr>
            </w:pPr>
          </w:p>
        </w:tc>
        <w:tc>
          <w:tcPr>
            <w:tcW w:w="2200" w:type="dxa"/>
            <w:vAlign w:val="bottom"/>
            <w:tcBorders>
              <w:right w:val="single" w:sz="8" w:color="auto"/>
            </w:tcBorders>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GRN Gene Therapy</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Frontotemporal dementia</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line="212"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Phase II trial is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O-GlcNAcase Inh</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Alzheimer's disease</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P2X7 Inhibitor</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Pain</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trials were recently completed.</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SSTR4 Agonist</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Pain</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560" w:type="dxa"/>
            <w:vAlign w:val="bottom"/>
            <w:tcBorders>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trials are ongoing.</w:t>
            </w:r>
          </w:p>
        </w:tc>
        <w:tc>
          <w:tcPr>
            <w:tcW w:w="0" w:type="dxa"/>
            <w:vAlign w:val="bottom"/>
          </w:tcPr>
          <w:p>
            <w:pPr>
              <w:spacing w:after="0"/>
              <w:rPr>
                <w:sz w:val="1"/>
                <w:szCs w:val="1"/>
                <w:color w:val="auto"/>
              </w:rPr>
            </w:pPr>
          </w:p>
        </w:tc>
      </w:tr>
      <w:tr>
        <w:trPr>
          <w:trHeight w:val="820"/>
        </w:trPr>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jc w:val="right"/>
              <w:ind w:right="214"/>
              <w:spacing w:after="0"/>
              <w:rPr>
                <w:sz w:val="20"/>
                <w:szCs w:val="20"/>
                <w:color w:val="auto"/>
              </w:rPr>
            </w:pPr>
            <w:r>
              <w:rPr>
                <w:rFonts w:ascii="Arial" w:cs="Arial" w:eastAsia="Arial" w:hAnsi="Arial"/>
                <w:sz w:val="17"/>
                <w:szCs w:val="17"/>
                <w:color w:val="auto"/>
              </w:rPr>
              <w:t>37</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20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3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20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7"/>
                <w:szCs w:val="17"/>
                <w:b w:val="1"/>
                <w:bCs w:val="1"/>
                <w:color w:val="auto"/>
              </w:rPr>
              <w:t>Indication/Study</w:t>
            </w:r>
          </w:p>
        </w:tc>
        <w:tc>
          <w:tcPr>
            <w:tcW w:w="16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Status</w:t>
            </w:r>
          </w:p>
        </w:tc>
        <w:tc>
          <w:tcPr>
            <w:tcW w:w="524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Oncology</w:t>
            </w:r>
          </w:p>
        </w:tc>
        <w:tc>
          <w:tcPr>
            <w:tcW w:w="2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240" w:type="dxa"/>
            <w:vAlign w:val="bottom"/>
            <w:tcBorders>
              <w:right w:val="single" w:sz="8" w:color="auto"/>
            </w:tcBorders>
          </w:tcPr>
          <w:p>
            <w:pPr>
              <w:spacing w:after="0" w:line="251" w:lineRule="exact"/>
              <w:rPr>
                <w:sz w:val="20"/>
                <w:szCs w:val="20"/>
                <w:color w:val="auto"/>
              </w:rPr>
            </w:pPr>
            <w:r>
              <w:rPr>
                <w:rFonts w:ascii="Arial" w:cs="Arial" w:eastAsia="Arial" w:hAnsi="Arial"/>
                <w:sz w:val="17"/>
                <w:szCs w:val="17"/>
                <w:color w:val="auto"/>
              </w:rPr>
              <w:t>FDA granted accelerated approval</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in the U.S. in the first quarter of</w:t>
            </w: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Approved</w:t>
            </w:r>
            <w:r>
              <w:rPr>
                <w:rFonts w:ascii="Arial" w:cs="Arial" w:eastAsia="Arial" w:hAnsi="Arial"/>
                <w:sz w:val="22"/>
                <w:szCs w:val="22"/>
                <w:color w:val="auto"/>
                <w:vertAlign w:val="superscript"/>
              </w:rPr>
              <w:t>(5)</w:t>
            </w:r>
          </w:p>
        </w:tc>
        <w:tc>
          <w:tcPr>
            <w:tcW w:w="524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2023. Submitted in the EU in 2022 and in Japan in the second</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color w:val="auto"/>
              </w:rPr>
              <w:t>Mantle cell lymphoma</w:t>
            </w:r>
          </w:p>
        </w:tc>
        <w:tc>
          <w:tcPr>
            <w:tcW w:w="1620" w:type="dxa"/>
            <w:vAlign w:val="bottom"/>
            <w:tcBorders>
              <w:right w:val="single" w:sz="8" w:color="auto"/>
            </w:tcBorders>
            <w:vMerge w:val="continue"/>
          </w:tcPr>
          <w:p>
            <w:pPr>
              <w:spacing w:after="0"/>
              <w:rPr>
                <w:sz w:val="14"/>
                <w:szCs w:val="14"/>
                <w:color w:val="auto"/>
              </w:rPr>
            </w:pP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quarter of 2023. Received a positive opinion from the Committee for</w:t>
            </w: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Pirtobrutinib</w:t>
            </w:r>
          </w:p>
        </w:tc>
        <w:tc>
          <w:tcPr>
            <w:tcW w:w="22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Medicinal Products for Human Use in the EU in the second quarter</w:t>
            </w: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(Jaypirca</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2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of 2023. Phase III trial is ongoing.</w:t>
            </w:r>
          </w:p>
        </w:tc>
        <w:tc>
          <w:tcPr>
            <w:tcW w:w="0" w:type="dxa"/>
            <w:vAlign w:val="bottom"/>
          </w:tcPr>
          <w:p>
            <w:pPr>
              <w:spacing w:after="0"/>
              <w:rPr>
                <w:sz w:val="1"/>
                <w:szCs w:val="1"/>
                <w:color w:val="auto"/>
              </w:rPr>
            </w:pPr>
          </w:p>
        </w:tc>
      </w:tr>
      <w:tr>
        <w:trPr>
          <w:trHeight w:val="251"/>
        </w:trPr>
        <w:tc>
          <w:tcPr>
            <w:tcW w:w="22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Chronic lymphocytic</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Submitted</w:t>
            </w: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Submitted in the U.S. in the third quarter of 2023 under the</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leukemia</w:t>
            </w: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accelerated approval pathway. Phase III trials are ongoing.</w:t>
            </w:r>
          </w:p>
        </w:tc>
        <w:tc>
          <w:tcPr>
            <w:tcW w:w="0" w:type="dxa"/>
            <w:vAlign w:val="bottom"/>
          </w:tcPr>
          <w:p>
            <w:pPr>
              <w:spacing w:after="0"/>
              <w:rPr>
                <w:sz w:val="1"/>
                <w:szCs w:val="1"/>
                <w:color w:val="auto"/>
              </w:rPr>
            </w:pPr>
          </w:p>
        </w:tc>
      </w:tr>
      <w:tr>
        <w:trPr>
          <w:trHeight w:val="78"/>
        </w:trPr>
        <w:tc>
          <w:tcPr>
            <w:tcW w:w="2200" w:type="dxa"/>
            <w:vAlign w:val="bottom"/>
            <w:tcBorders>
              <w:left w:val="single" w:sz="8" w:color="auto"/>
              <w:right w:val="single" w:sz="8" w:color="auto"/>
            </w:tcBorders>
          </w:tcPr>
          <w:p>
            <w:pPr>
              <w:spacing w:after="0"/>
              <w:rPr>
                <w:sz w:val="6"/>
                <w:szCs w:val="6"/>
                <w:color w:val="auto"/>
              </w:rPr>
            </w:pPr>
          </w:p>
        </w:tc>
        <w:tc>
          <w:tcPr>
            <w:tcW w:w="220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5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200" w:type="dxa"/>
            <w:vAlign w:val="bottom"/>
            <w:tcBorders>
              <w:left w:val="single" w:sz="8" w:color="auto"/>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5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2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Lung cancer</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Approved</w:t>
            </w: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Announced in the third quarter of 2023 that a Phase III trial met its</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Selpercatinib (Retevmo</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2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primary endpoint. Phase III trial is ongoing.</w:t>
            </w:r>
          </w:p>
        </w:tc>
        <w:tc>
          <w:tcPr>
            <w:tcW w:w="0" w:type="dxa"/>
            <w:vAlign w:val="bottom"/>
          </w:tcPr>
          <w:p>
            <w:pPr>
              <w:spacing w:after="0"/>
              <w:rPr>
                <w:sz w:val="1"/>
                <w:szCs w:val="1"/>
                <w:color w:val="auto"/>
              </w:rPr>
            </w:pPr>
          </w:p>
        </w:tc>
      </w:tr>
      <w:tr>
        <w:trPr>
          <w:trHeight w:val="78"/>
        </w:trPr>
        <w:tc>
          <w:tcPr>
            <w:tcW w:w="2200" w:type="dxa"/>
            <w:vAlign w:val="bottom"/>
            <w:tcBorders>
              <w:left w:val="single" w:sz="8" w:color="auto"/>
              <w:right w:val="single" w:sz="8" w:color="auto"/>
            </w:tcBorders>
            <w:vMerge w:val="continue"/>
          </w:tcPr>
          <w:p>
            <w:pPr>
              <w:spacing w:after="0"/>
              <w:rPr>
                <w:sz w:val="6"/>
                <w:szCs w:val="6"/>
                <w:color w:val="auto"/>
              </w:rPr>
            </w:pPr>
          </w:p>
        </w:tc>
        <w:tc>
          <w:tcPr>
            <w:tcW w:w="220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5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200" w:type="dxa"/>
            <w:vAlign w:val="bottom"/>
            <w:tcBorders>
              <w:left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5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Thyroid cancer</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Approved</w:t>
            </w:r>
          </w:p>
        </w:tc>
        <w:tc>
          <w:tcPr>
            <w:tcW w:w="524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Announced in the third quarter of 2023 that a Phase III trial met its</w:t>
            </w: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primary endpoint.</w:t>
            </w:r>
          </w:p>
        </w:tc>
        <w:tc>
          <w:tcPr>
            <w:tcW w:w="0" w:type="dxa"/>
            <w:vAlign w:val="bottom"/>
          </w:tcPr>
          <w:p>
            <w:pPr>
              <w:spacing w:after="0"/>
              <w:rPr>
                <w:sz w:val="1"/>
                <w:szCs w:val="1"/>
                <w:color w:val="auto"/>
              </w:rPr>
            </w:pPr>
          </w:p>
        </w:tc>
      </w:tr>
      <w:tr>
        <w:trPr>
          <w:trHeight w:val="84"/>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Abemaciclib</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Prostate cancer</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III</w:t>
            </w: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323"/>
        </w:trPr>
        <w:tc>
          <w:tcPr>
            <w:tcW w:w="220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Adjuvant breast cancer</w:t>
            </w:r>
          </w:p>
        </w:tc>
        <w:tc>
          <w:tcPr>
            <w:tcW w:w="16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III</w:t>
            </w: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11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Imlunestrant</w:t>
            </w:r>
          </w:p>
        </w:tc>
        <w:tc>
          <w:tcPr>
            <w:tcW w:w="22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5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200" w:type="dxa"/>
            <w:vAlign w:val="bottom"/>
            <w:tcBorders>
              <w:left w:val="single" w:sz="8" w:color="auto"/>
              <w:right w:val="single" w:sz="8" w:color="auto"/>
            </w:tcBorders>
            <w:vMerge w:val="continue"/>
          </w:tcPr>
          <w:p>
            <w:pPr>
              <w:spacing w:after="0"/>
              <w:rPr>
                <w:sz w:val="15"/>
                <w:szCs w:val="15"/>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ER+HER2- metastatic</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w:t>
            </w: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breast cancer</w:t>
            </w: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200" w:type="dxa"/>
            <w:vAlign w:val="bottom"/>
            <w:tcBorders>
              <w:left w:val="single" w:sz="8" w:color="auto"/>
              <w:right w:val="single" w:sz="8" w:color="auto"/>
            </w:tcBorders>
          </w:tcPr>
          <w:p>
            <w:pPr>
              <w:spacing w:after="0"/>
              <w:rPr>
                <w:sz w:val="6"/>
                <w:szCs w:val="6"/>
                <w:color w:val="auto"/>
              </w:rPr>
            </w:pPr>
          </w:p>
        </w:tc>
        <w:tc>
          <w:tcPr>
            <w:tcW w:w="220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5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200" w:type="dxa"/>
            <w:vAlign w:val="bottom"/>
            <w:tcBorders>
              <w:left w:val="single" w:sz="8" w:color="auto"/>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5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40" w:hanging="137"/>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Fast Track designation is designed to facilitate the development and expedite the review of medicines to treat serious conditions and fill an unmet medical need.</w:t>
      </w:r>
    </w:p>
    <w:p>
      <w:pPr>
        <w:spacing w:after="0" w:line="3" w:lineRule="exact"/>
        <w:rPr>
          <w:rFonts w:ascii="Arial" w:cs="Arial" w:eastAsia="Arial" w:hAnsi="Arial"/>
          <w:sz w:val="9"/>
          <w:szCs w:val="9"/>
          <w:color w:val="auto"/>
        </w:rPr>
      </w:pPr>
    </w:p>
    <w:p>
      <w:pPr>
        <w:ind w:left="140" w:hanging="137"/>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In collaboration with Almirall, S.A. in Europe.</w:t>
      </w:r>
    </w:p>
    <w:p>
      <w:pPr>
        <w:spacing w:after="0" w:line="6" w:lineRule="exact"/>
        <w:rPr>
          <w:rFonts w:ascii="Arial" w:cs="Arial" w:eastAsia="Arial" w:hAnsi="Arial"/>
          <w:sz w:val="9"/>
          <w:szCs w:val="9"/>
          <w:color w:val="auto"/>
        </w:rPr>
      </w:pPr>
    </w:p>
    <w:p>
      <w:pPr>
        <w:ind w:left="160" w:right="120" w:hanging="157"/>
        <w:spacing w:after="0" w:line="219" w:lineRule="auto"/>
        <w:tabs>
          <w:tab w:leader="none" w:pos="152"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ind w:left="160" w:hanging="157"/>
        <w:spacing w:after="0" w:line="194"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Patent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depend on patents or other forms of intellectual property protection for most of our revenue, cash flows, and earnings.</w:t>
      </w:r>
    </w:p>
    <w:p>
      <w:pPr>
        <w:spacing w:after="0" w:line="115"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See Note 9 to the consolidated condensed financial statements for a description of legal proceedings currently pending regarding certain of our patents.</w:t>
      </w:r>
    </w:p>
    <w:p>
      <w:pPr>
        <w:spacing w:after="0" w:line="5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compound patents for Humalog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(insulin lispro) have expired in the U.S. and major international markets, and we have also introduced lower-priced versions of Humalog as part of our insulin access and affordability solutions. On March 1, 2023, we announced price reductions for Humalog and an expansion of our Insulin Value Program that caps patient out-of-pocket costs at $35 or less per month. A competitor has a similar version of insulin lispro in the U.S. and in certain European markets. Due to the expansion of our insulin access and affordability solutions in the U.S. and the impact of competition and pricing pressure in the U.S. and certain international markets, we expect that lower revenue for Humalog due to realized price decline will continue over time.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Trends Affecting Pharmaceutical Pricing, Reimbursement, and Access</w:t>
      </w:r>
    </w:p>
    <w:p>
      <w:pPr>
        <w:spacing w:after="0" w:line="121"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color w:val="auto"/>
        </w:rPr>
        <w:t>Reforms, including those that may stem from periods of economic downturn or uncertainty, or as a result of high inflation, emergence or escalation of, and responses to, war or unrest, or government budgeting priorities, may continue to result in added pressure on pricing and reimbursement for our products.</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38" w:name="page39"/>
    <w:bookmarkEnd w:id="38"/>
    <w:p>
      <w:pPr>
        <w:spacing w:after="0" w:line="256" w:lineRule="auto"/>
        <w:rPr>
          <w:sz w:val="20"/>
          <w:szCs w:val="20"/>
          <w:color w:val="auto"/>
        </w:rPr>
      </w:pPr>
      <w:r>
        <w:rPr>
          <w:rFonts w:ascii="Arial" w:cs="Arial" w:eastAsia="Arial" w:hAnsi="Arial"/>
          <w:sz w:val="17"/>
          <w:szCs w:val="17"/>
          <w:color w:val="auto"/>
        </w:rPr>
        <w:t>Global concern over access to and affordability of pharmaceutical products continues to drive regulatory and legislative debate and action, as well as worldwide cost containment efforts by governmental authorities. Such measures include the use of mandated discounts, price reporting requirements, mandated reference prices, restrictive formularies, changes to available intellectual property protections, as well as other efforts. In August 2022, the U.S. government enacted the Inflation Reduction Act of 2022 (IRA). Among other measures, the IRA requires the U.S. Department of Health and Human Services (HHS) to effectively set prices for certain single-source drugs and biologics reimbursed under Medicare Part B and Part D. Generally, these government prices apply nine (medicines approved under a New Drug Application) or thirteen (medicines approved under a Biologics License Application) years following initial FDA approval and will be capped at a statutory ceiling price that is likely to represent a significant discount from average prices to wholesalers and direct purchasers. While the law specifies a ceiling price, it does not set a minimum or floor price. In August 2023, HHS selected Jardiance, which is part of our collaboration with Boehringer Ingelheim, as one of the first ten medicines subject to government-set prices effective in 2026. Given our product portfolio, we expect additional of our significant products will be selected in future years, which would have the effect of accelerating revenue erosion prior to patent expiry. The effect of reducing prices and reimbursement for certain of our products would significantly impact our business and consolidated results of operations. The establishment of payment limits or other restrictions by drug affordability review boards and other state level actors would similarly impact us.</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Other IRA provisions provide for rebate obligations on drug manufacturers that increase prices of Medicare Part B and Part D medicines at a rate greater than the rate of inflation and Part D benefit redesign that includes replacing the Part D coverage gap discount program with a new manufacturer discounting program. Manufacturers that fail to comply with the IRA may be subject to various penalties, including civil monetary penalties, which could be significant.</w:t>
      </w:r>
    </w:p>
    <w:p>
      <w:pPr>
        <w:spacing w:after="0" w:line="7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IRA takes effect progressively with the first government-set prices effective in 2026. The IRA has and will meaningfully influence our business strategies and those of our competitors. In particular, the nine-year timeline to set prices for medicines approved under a new drug application reduces the attractiveness of investment in small molecule innovation. The IRA can cause changes to development approach and timing and investments at-risk. The full impact of the IRA on our business and the pharmaceutical industry, including the implications to us of competitors' products being selected for price setting, remains uncertain.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Additional policies, regulations, legislation, or enforcement, including those proposed and/or pursued by the U.S. Congress, the current U.S.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presidential administration, and regulatory authorities worldwide, could adversely impact our business and consolidated results of operations.</w:t>
      </w:r>
    </w:p>
    <w:p>
      <w:pPr>
        <w:spacing w:after="0" w:line="10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Consolidation and integration of private payors and pharmacy benefit managers in the U.S. has also significantly impacted the market for pharmaceuticals by increasing payor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may adversely impact our business and consolidated results of operations. We expect that these actions may intensify and could particularly affect certain products which could adversely affect our business. In addition, we are engaged in litigation related to our 340B limited distribution program, access to insulin,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6"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can lead to regulatory and legal actions, product recalls and seizures, fines and penalties, interruption of production leading to product shortages, import bans or denials of import certifications, contractual and manufacturing costs or penalties, inability to realize the benefit of capital expenditures, or delays or denials in new product approvals, line extensions or supplemental approvals of current products pending resolution of the issues, any of which could result in reputational harm or adversely affect our business. Moreover, increased focus on business combinations across industries and jurisdictions can lead to impediments to the completion of business combinations.</w:t>
      </w:r>
    </w:p>
    <w:p>
      <w:pPr>
        <w:spacing w:after="0" w:line="76" w:lineRule="exact"/>
        <w:rPr>
          <w:sz w:val="20"/>
          <w:szCs w:val="20"/>
          <w:color w:val="auto"/>
        </w:rPr>
      </w:pPr>
    </w:p>
    <w:p>
      <w:pPr>
        <w:ind w:right="12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See "Business—Regulations and Private Payer Actions Affecting Pharmaceutical Pricing, Reimbursement, and Access" in Part I, Item 1 and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See also Note 9 to the consolidated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i w:val="1"/>
          <w:iCs w:val="1"/>
          <w:u w:val="single" w:color="auto"/>
          <w:color w:val="auto"/>
        </w:rPr>
        <w:t>Product Supply</w:t>
      </w:r>
    </w:p>
    <w:p>
      <w:pPr>
        <w:spacing w:after="0" w:line="12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have faced challenges, and expect to continue to face challenges, meeting strong demand for our incretin products. In the U.S., given very strong uptake of Mounjaro following its launch for type 2 diabetes in the second quarter of 2022, and as demand for Trulicity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has remained strong, we have experienced intermittent delays in fulfilling certain orders for these products. Outside the U.S., we have implemented actions to manage strong demand amid tight supply, including measures to minimize impact to existing Trulicity patients. We have also progressed efforts to bring tirzepatide to patients via different delivery presentations outside the U.S., such as single-use vials and multi-use pens. We expect to continue to experience disruptions in our supply of Trulicity in international markets and for demand and supply considerations to influence the timing of tirzepatide launches in new markets.</w:t>
      </w:r>
    </w:p>
    <w:p>
      <w:pPr>
        <w:spacing w:after="0" w:line="8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anticipate tight supplies of our incretin products will persist while additional manufacturing capacity is operationalized. We expect additional internal and contracted manufacturing capacity will become fully operational around the world in the next several years as part of our ongoing efforts to meet the significant demand for our incretin medicines. For example, we recently began production at our Research Triangle Park site in North Carolina and expect to continue significant capacity expansion over time as we increase production at this site and others.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Tax Matters</w:t>
      </w:r>
    </w:p>
    <w:p>
      <w:pPr>
        <w:spacing w:after="0" w:line="12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and the European Commission could influence tax laws in countries in which we operate. Tax authorities in the U.S. and other jurisdictions in which we do business routinely examine our tax returns and are intensifying their scrutiny and examinations of profit allocations among jurisdictions. Changes to existing U.S. and foreign tax laws and increased scrutiny by tax authorities in the U.S. and other jurisdictions could adversely impact our future consolidated results of operations and cash flows.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European Commission published its Pillar Two Directive (Directive), a legislative proposal that would provide a global minimum level of taxation for multinational companies with operations in the EU, in 2021. In 2022, the EU Member States adopted the Directive which requires them to enact initial legislation effective for years beginning on or after December 31, 2023. Currently, both EU and non-EU countries are drafting or have enacted legislation in order to implement the Pillar Two rules by the effective date. We are continuing to follow Pillar Two legislative developments in order to evaluate the potential future impact it could have on our consolidated results of operations, financial position, and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Foreign Currency Exchange Rates and Other Impacts</w:t>
      </w:r>
    </w:p>
    <w:p>
      <w:pPr>
        <w:spacing w:after="0" w:line="12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exchange rates, and fluctuations in these rates could adversely impact our consolidated results of operations and cash flows.</w:t>
      </w:r>
    </w:p>
    <w:p>
      <w:pPr>
        <w:spacing w:after="0" w:line="74"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Other factors have had, and may continue to have, an impact on our consolidated results of operations. These factors include cost and wage inflation, availability of adequate capacity in global transportation, supply chain and labor market complexities, international tension and conflicts, global economic downturns or uncertainty, and an increase in overall demand in our industry for certain products and materials.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Acquisitions</w:t>
      </w:r>
    </w:p>
    <w:p>
      <w:pPr>
        <w:spacing w:after="0" w:line="121"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We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our pipeline and strengthen our business.</w:t>
      </w:r>
    </w:p>
    <w:p>
      <w:pPr>
        <w:spacing w:after="0" w:line="69"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In the third quarter, we completed acquisitions of DICE, Versanis, and Emergence Therapeutics AG (Emergence) for an aggregate $2.98 billion, net of cash acquired.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40" w:name="page41"/>
    <w:bookmarkEnd w:id="40"/>
    <w:p>
      <w:pPr>
        <w:jc w:val="both"/>
        <w:ind w:right="160"/>
        <w:spacing w:after="0" w:line="263" w:lineRule="auto"/>
        <w:rPr>
          <w:sz w:val="20"/>
          <w:szCs w:val="20"/>
          <w:color w:val="auto"/>
        </w:rPr>
      </w:pPr>
      <w:r>
        <w:rPr>
          <w:rFonts w:ascii="Arial" w:cs="Arial" w:eastAsia="Arial" w:hAnsi="Arial"/>
          <w:sz w:val="17"/>
          <w:szCs w:val="17"/>
          <w:color w:val="auto"/>
        </w:rPr>
        <w:t>In October 2023, we announced an agreement to acquire POINT Biopharma Global Inc. (POINT) for a purchase price of $12.50 per share in cash (an aggregate of approximately $1.4 billion) payable at closing. The proposed acquisition is subject to customary closing conditions, including the tender of a majority of the outstanding shares of POINT's common stock, the receipt of required antitrust clearance, and license transfer approval from the U.S. Nuclear Regulatory Commission.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See Note 3 to the consolidated condensed financial statements for further discussion regarding our recent and proposed acquisitions.</w:t>
      </w:r>
    </w:p>
    <w:p>
      <w:pPr>
        <w:spacing w:after="0" w:line="115" w:lineRule="exact"/>
        <w:rPr>
          <w:sz w:val="20"/>
          <w:szCs w:val="20"/>
          <w:color w:val="auto"/>
        </w:rPr>
      </w:pPr>
    </w:p>
    <w:p>
      <w:pPr>
        <w:ind w:right="240"/>
        <w:spacing w:after="0" w:line="283" w:lineRule="auto"/>
        <w:rPr>
          <w:rFonts w:ascii="Arial" w:cs="Arial" w:eastAsia="Arial" w:hAnsi="Arial"/>
          <w:sz w:val="17"/>
          <w:szCs w:val="17"/>
          <w:color w:val="auto"/>
        </w:rPr>
      </w:pPr>
      <w:r>
        <w:rPr>
          <w:rFonts w:ascii="Arial" w:cs="Arial" w:eastAsia="Arial" w:hAnsi="Arial"/>
          <w:sz w:val="17"/>
          <w:szCs w:val="17"/>
          <w:color w:val="auto"/>
        </w:rPr>
        <w:t xml:space="preserve">See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for additional information on risk factors that could impact our business and operations.</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activity by region: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Pr>
          <w:p>
            <w:pPr>
              <w:jc w:val="center"/>
              <w:ind w:left="21"/>
              <w:spacing w:after="0"/>
              <w:rPr>
                <w:sz w:val="20"/>
                <w:szCs w:val="20"/>
                <w:color w:val="auto"/>
              </w:rPr>
            </w:pPr>
            <w:r>
              <w:rPr>
                <w:rFonts w:ascii="Arial" w:cs="Arial" w:eastAsia="Arial" w:hAnsi="Arial"/>
                <w:sz w:val="14"/>
                <w:szCs w:val="14"/>
                <w:b w:val="1"/>
                <w:bCs w:val="1"/>
                <w:color w:val="auto"/>
                <w:w w:val="97"/>
              </w:rPr>
              <w:t>Percent</w:t>
            </w: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4"/>
                <w:szCs w:val="14"/>
                <w:b w:val="1"/>
                <w:bCs w:val="1"/>
                <w:color w:val="auto"/>
              </w:rPr>
              <w:t>Nine Months Ended September 30,</w:t>
            </w:r>
          </w:p>
        </w:tc>
        <w:tc>
          <w:tcPr>
            <w:tcW w:w="880" w:type="dxa"/>
            <w:vAlign w:val="bottom"/>
          </w:tcPr>
          <w:p>
            <w:pPr>
              <w:jc w:val="center"/>
              <w:ind w:left="21"/>
              <w:spacing w:after="0"/>
              <w:rPr>
                <w:sz w:val="20"/>
                <w:szCs w:val="20"/>
                <w:color w:val="auto"/>
              </w:rPr>
            </w:pPr>
            <w:r>
              <w:rPr>
                <w:rFonts w:ascii="Arial" w:cs="Arial" w:eastAsia="Arial" w:hAnsi="Arial"/>
                <w:sz w:val="14"/>
                <w:szCs w:val="14"/>
                <w:b w:val="1"/>
                <w:bCs w:val="1"/>
                <w:color w:val="auto"/>
                <w:w w:val="97"/>
              </w:rPr>
              <w:t>Percent</w:t>
            </w:r>
          </w:p>
        </w:tc>
      </w:tr>
      <w:tr>
        <w:trPr>
          <w:trHeight w:val="188"/>
        </w:trPr>
        <w:tc>
          <w:tcPr>
            <w:tcW w:w="2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7"/>
              </w:rPr>
              <w:t>Change</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7"/>
              </w:rPr>
              <w:t>Change</w:t>
            </w:r>
          </w:p>
        </w:tc>
      </w:tr>
      <w:tr>
        <w:trPr>
          <w:trHeight w:val="213"/>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5,368.1</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4,422.1</w:t>
            </w:r>
          </w:p>
        </w:tc>
        <w:tc>
          <w:tcPr>
            <w:tcW w:w="880" w:type="dxa"/>
            <w:vAlign w:val="bottom"/>
            <w:shd w:val="clear" w:color="auto" w:fill="CCEEFF"/>
          </w:tcPr>
          <w:p>
            <w:pPr>
              <w:jc w:val="center"/>
              <w:ind w:left="1"/>
              <w:spacing w:after="0"/>
              <w:rPr>
                <w:sz w:val="20"/>
                <w:szCs w:val="20"/>
                <w:color w:val="auto"/>
              </w:rPr>
            </w:pPr>
            <w:r>
              <w:rPr>
                <w:rFonts w:ascii="Arial" w:cs="Arial" w:eastAsia="Arial" w:hAnsi="Arial"/>
                <w:sz w:val="17"/>
                <w:szCs w:val="17"/>
                <w:color w:val="auto"/>
              </w:rPr>
              <w:t>21</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15,335.6</w:t>
            </w:r>
          </w:p>
        </w:tc>
        <w:tc>
          <w:tcPr>
            <w:tcW w:w="4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13,531.5</w:t>
            </w:r>
          </w:p>
        </w:tc>
        <w:tc>
          <w:tcPr>
            <w:tcW w:w="880" w:type="dxa"/>
            <w:vAlign w:val="bottom"/>
            <w:shd w:val="clear" w:color="auto" w:fill="CCEEFF"/>
          </w:tcPr>
          <w:p>
            <w:pPr>
              <w:jc w:val="center"/>
              <w:ind w:left="41"/>
              <w:spacing w:after="0"/>
              <w:rPr>
                <w:sz w:val="20"/>
                <w:szCs w:val="20"/>
                <w:color w:val="auto"/>
              </w:rPr>
            </w:pPr>
            <w:r>
              <w:rPr>
                <w:rFonts w:ascii="Arial" w:cs="Arial" w:eastAsia="Arial" w:hAnsi="Arial"/>
                <w:sz w:val="17"/>
                <w:szCs w:val="17"/>
                <w:color w:val="auto"/>
              </w:rPr>
              <w:t>13</w:t>
            </w:r>
          </w:p>
        </w:tc>
      </w:tr>
      <w:tr>
        <w:trPr>
          <w:trHeight w:val="22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Outside U.S.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4,130.5</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2,519.4</w:t>
            </w:r>
          </w:p>
        </w:tc>
        <w:tc>
          <w:tcPr>
            <w:tcW w:w="880" w:type="dxa"/>
            <w:vAlign w:val="bottom"/>
            <w:tcBorders>
              <w:bottom w:val="single" w:sz="8" w:color="CCEEFF"/>
            </w:tcBorders>
          </w:tcPr>
          <w:p>
            <w:pPr>
              <w:jc w:val="center"/>
              <w:ind w:left="1"/>
              <w:spacing w:after="0"/>
              <w:rPr>
                <w:sz w:val="20"/>
                <w:szCs w:val="20"/>
                <w:color w:val="auto"/>
              </w:rPr>
            </w:pPr>
            <w:r>
              <w:rPr>
                <w:rFonts w:ascii="Arial" w:cs="Arial" w:eastAsia="Arial" w:hAnsi="Arial"/>
                <w:sz w:val="17"/>
                <w:szCs w:val="17"/>
                <w:color w:val="auto"/>
              </w:rPr>
              <w:t>64</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9,435.0</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7,708.1</w:t>
            </w:r>
          </w:p>
        </w:tc>
        <w:tc>
          <w:tcPr>
            <w:tcW w:w="880" w:type="dxa"/>
            <w:vAlign w:val="bottom"/>
            <w:tcBorders>
              <w:bottom w:val="single" w:sz="8" w:color="CCEEFF"/>
            </w:tcBorders>
          </w:tcPr>
          <w:p>
            <w:pPr>
              <w:jc w:val="center"/>
              <w:ind w:left="41"/>
              <w:spacing w:after="0"/>
              <w:rPr>
                <w:sz w:val="20"/>
                <w:szCs w:val="20"/>
                <w:color w:val="auto"/>
              </w:rPr>
            </w:pPr>
            <w:r>
              <w:rPr>
                <w:rFonts w:ascii="Arial" w:cs="Arial" w:eastAsia="Arial" w:hAnsi="Arial"/>
                <w:sz w:val="17"/>
                <w:szCs w:val="17"/>
                <w:color w:val="auto"/>
              </w:rPr>
              <w:t>22</w:t>
            </w:r>
          </w:p>
        </w:tc>
      </w:tr>
      <w:tr>
        <w:trPr>
          <w:trHeight w:val="21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9,498.6</w:t>
            </w:r>
          </w:p>
        </w:tc>
        <w:tc>
          <w:tcPr>
            <w:tcW w:w="4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6,941.6</w:t>
            </w:r>
          </w:p>
        </w:tc>
        <w:tc>
          <w:tcPr>
            <w:tcW w:w="880" w:type="dxa"/>
            <w:vAlign w:val="bottom"/>
            <w:tcBorders>
              <w:bottom w:val="single" w:sz="8" w:color="CCEEFF"/>
            </w:tcBorders>
            <w:shd w:val="clear" w:color="auto" w:fill="CCEEFF"/>
          </w:tcPr>
          <w:p>
            <w:pPr>
              <w:jc w:val="center"/>
              <w:ind w:left="1"/>
              <w:spacing w:after="0"/>
              <w:rPr>
                <w:sz w:val="20"/>
                <w:szCs w:val="20"/>
                <w:color w:val="auto"/>
              </w:rPr>
            </w:pPr>
            <w:r>
              <w:rPr>
                <w:rFonts w:ascii="Arial" w:cs="Arial" w:eastAsia="Arial" w:hAnsi="Arial"/>
                <w:sz w:val="17"/>
                <w:szCs w:val="17"/>
                <w:color w:val="auto"/>
              </w:rPr>
              <w:t>37</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24,770.7</w:t>
            </w:r>
          </w:p>
        </w:tc>
        <w:tc>
          <w:tcPr>
            <w:tcW w:w="4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21,239.6</w:t>
            </w:r>
          </w:p>
        </w:tc>
        <w:tc>
          <w:tcPr>
            <w:tcW w:w="88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7"/>
                <w:szCs w:val="17"/>
                <w:color w:val="auto"/>
              </w:rPr>
              <w:t>17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components of the change in revenue compared with the prior year: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40" w:type="dxa"/>
            <w:vAlign w:val="bottom"/>
            <w:gridSpan w:val="3"/>
          </w:tcPr>
          <w:p>
            <w:pPr>
              <w:jc w:val="right"/>
              <w:ind w:right="997"/>
              <w:spacing w:after="0"/>
              <w:rPr>
                <w:sz w:val="20"/>
                <w:szCs w:val="20"/>
                <w:color w:val="auto"/>
              </w:rPr>
            </w:pPr>
            <w:r>
              <w:rPr>
                <w:rFonts w:ascii="Arial" w:cs="Arial" w:eastAsia="Arial" w:hAnsi="Arial"/>
                <w:sz w:val="14"/>
                <w:szCs w:val="14"/>
                <w:b w:val="1"/>
                <w:bCs w:val="1"/>
                <w:color w:val="auto"/>
                <w:w w:val="98"/>
              </w:rPr>
              <w:t>Three Months Ended September 30,</w:t>
            </w:r>
          </w:p>
        </w:tc>
        <w:tc>
          <w:tcPr>
            <w:tcW w:w="3760" w:type="dxa"/>
            <w:vAlign w:val="bottom"/>
            <w:gridSpan w:val="3"/>
          </w:tcPr>
          <w:p>
            <w:pPr>
              <w:jc w:val="right"/>
              <w:ind w:right="737"/>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32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2023 vs. 2022</w:t>
            </w:r>
          </w:p>
        </w:tc>
        <w:tc>
          <w:tcPr>
            <w:tcW w:w="1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2023 vs. 2022</w:t>
            </w:r>
          </w:p>
        </w:tc>
        <w:tc>
          <w:tcPr>
            <w:tcW w:w="1240" w:type="dxa"/>
            <w:vAlign w:val="bottom"/>
            <w:tcBorders>
              <w:bottom w:val="single" w:sz="8" w:color="auto"/>
            </w:tcBorders>
          </w:tcPr>
          <w:p>
            <w:pPr>
              <w:spacing w:after="0"/>
              <w:rPr>
                <w:sz w:val="16"/>
                <w:szCs w:val="16"/>
                <w:color w:val="auto"/>
              </w:rPr>
            </w:pPr>
          </w:p>
        </w:tc>
      </w:tr>
      <w:tr>
        <w:trPr>
          <w:trHeight w:val="187"/>
        </w:trPr>
        <w:tc>
          <w:tcPr>
            <w:tcW w:w="3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5"/>
              </w:rPr>
              <w:t>U.S.</w:t>
            </w: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Outside U.S.</w:t>
            </w:r>
          </w:p>
        </w:tc>
        <w:tc>
          <w:tcPr>
            <w:tcW w:w="15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Consolidated</w:t>
            </w: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U.S.</w:t>
            </w:r>
          </w:p>
        </w:tc>
        <w:tc>
          <w:tcPr>
            <w:tcW w:w="13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Outside U.S.</w:t>
            </w: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Consolidated</w:t>
            </w:r>
          </w:p>
        </w:tc>
      </w:tr>
      <w:tr>
        <w:trPr>
          <w:trHeight w:val="21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Volume</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9 %</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69 %</w:t>
            </w:r>
          </w:p>
        </w:tc>
        <w:tc>
          <w:tcPr>
            <w:tcW w:w="154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31 %</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10 %</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30 %</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20"/>
        </w:trPr>
        <w:tc>
          <w:tcPr>
            <w:tcW w:w="4040" w:type="dxa"/>
            <w:vAlign w:val="bottom"/>
            <w:gridSpan w:val="2"/>
          </w:tcPr>
          <w:p>
            <w:pPr>
              <w:ind w:left="20"/>
              <w:spacing w:after="0"/>
              <w:rPr>
                <w:sz w:val="20"/>
                <w:szCs w:val="20"/>
                <w:color w:val="auto"/>
              </w:rPr>
            </w:pPr>
            <w:r>
              <w:rPr>
                <w:rFonts w:ascii="Arial" w:cs="Arial" w:eastAsia="Arial" w:hAnsi="Arial"/>
                <w:sz w:val="17"/>
                <w:szCs w:val="17"/>
                <w:color w:val="auto"/>
              </w:rPr>
              <w:t>Price</w:t>
            </w:r>
          </w:p>
        </w:tc>
        <w:tc>
          <w:tcPr>
            <w:tcW w:w="600" w:type="dxa"/>
            <w:vAlign w:val="bottom"/>
          </w:tcPr>
          <w:p>
            <w:pPr>
              <w:jc w:val="right"/>
              <w:ind w:right="257"/>
              <w:spacing w:after="0"/>
              <w:rPr>
                <w:sz w:val="20"/>
                <w:szCs w:val="20"/>
                <w:color w:val="auto"/>
              </w:rPr>
            </w:pPr>
            <w:r>
              <w:rPr>
                <w:rFonts w:ascii="Arial" w:cs="Arial" w:eastAsia="Arial" w:hAnsi="Arial"/>
                <w:sz w:val="17"/>
                <w:szCs w:val="17"/>
                <w:color w:val="auto"/>
              </w:rPr>
              <w:t>13</w:t>
            </w:r>
          </w:p>
        </w:tc>
        <w:tc>
          <w:tcPr>
            <w:tcW w:w="1300" w:type="dxa"/>
            <w:vAlign w:val="bottom"/>
          </w:tcPr>
          <w:p>
            <w:pPr>
              <w:jc w:val="right"/>
              <w:ind w:right="200"/>
              <w:spacing w:after="0"/>
              <w:rPr>
                <w:sz w:val="20"/>
                <w:szCs w:val="20"/>
                <w:color w:val="auto"/>
              </w:rPr>
            </w:pPr>
            <w:r>
              <w:rPr>
                <w:rFonts w:ascii="Arial" w:cs="Arial" w:eastAsia="Arial" w:hAnsi="Arial"/>
                <w:sz w:val="17"/>
                <w:szCs w:val="17"/>
                <w:color w:val="auto"/>
              </w:rPr>
              <w:t>(7)</w:t>
            </w:r>
          </w:p>
        </w:tc>
        <w:tc>
          <w:tcPr>
            <w:tcW w:w="1540" w:type="dxa"/>
            <w:vAlign w:val="bottom"/>
          </w:tcPr>
          <w:p>
            <w:pPr>
              <w:jc w:val="right"/>
              <w:ind w:right="457"/>
              <w:spacing w:after="0"/>
              <w:rPr>
                <w:sz w:val="20"/>
                <w:szCs w:val="20"/>
                <w:color w:val="auto"/>
              </w:rPr>
            </w:pPr>
            <w:r>
              <w:rPr>
                <w:rFonts w:ascii="Arial" w:cs="Arial" w:eastAsia="Arial" w:hAnsi="Arial"/>
                <w:sz w:val="17"/>
                <w:szCs w:val="17"/>
                <w:color w:val="auto"/>
              </w:rPr>
              <w:t>6</w:t>
            </w:r>
          </w:p>
        </w:tc>
        <w:tc>
          <w:tcPr>
            <w:tcW w:w="1220" w:type="dxa"/>
            <w:vAlign w:val="bottom"/>
          </w:tcPr>
          <w:p>
            <w:pPr>
              <w:jc w:val="right"/>
              <w:ind w:right="260"/>
              <w:spacing w:after="0"/>
              <w:rPr>
                <w:sz w:val="20"/>
                <w:szCs w:val="20"/>
                <w:color w:val="auto"/>
              </w:rPr>
            </w:pPr>
            <w:r>
              <w:rPr>
                <w:rFonts w:ascii="Arial" w:cs="Arial" w:eastAsia="Arial" w:hAnsi="Arial"/>
                <w:sz w:val="17"/>
                <w:szCs w:val="17"/>
                <w:color w:val="auto"/>
              </w:rPr>
              <w:t>3</w:t>
            </w:r>
          </w:p>
        </w:tc>
        <w:tc>
          <w:tcPr>
            <w:tcW w:w="1300" w:type="dxa"/>
            <w:vAlign w:val="bottom"/>
          </w:tcPr>
          <w:p>
            <w:pPr>
              <w:jc w:val="right"/>
              <w:ind w:right="220"/>
              <w:spacing w:after="0"/>
              <w:rPr>
                <w:sz w:val="20"/>
                <w:szCs w:val="20"/>
                <w:color w:val="auto"/>
              </w:rPr>
            </w:pPr>
            <w:r>
              <w:rPr>
                <w:rFonts w:ascii="Arial" w:cs="Arial" w:eastAsia="Arial" w:hAnsi="Arial"/>
                <w:sz w:val="17"/>
                <w:szCs w:val="17"/>
                <w:color w:val="auto"/>
              </w:rPr>
              <w:t>(5)</w:t>
            </w: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rates</w:t>
            </w:r>
          </w:p>
        </w:tc>
        <w:tc>
          <w:tcPr>
            <w:tcW w:w="7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154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7"/>
                <w:szCs w:val="17"/>
                <w:color w:val="auto"/>
              </w:rPr>
              <w:t>1</w:t>
            </w:r>
          </w:p>
        </w:tc>
        <w:tc>
          <w:tcPr>
            <w:tcW w:w="12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w:t>
            </w:r>
          </w:p>
        </w:tc>
      </w:tr>
      <w:tr>
        <w:trPr>
          <w:trHeight w:val="218"/>
        </w:trPr>
        <w:tc>
          <w:tcPr>
            <w:tcW w:w="3280" w:type="dxa"/>
            <w:vAlign w:val="bottom"/>
          </w:tcPr>
          <w:p>
            <w:pPr>
              <w:ind w:left="20"/>
              <w:spacing w:after="0"/>
              <w:rPr>
                <w:sz w:val="20"/>
                <w:szCs w:val="20"/>
                <w:color w:val="auto"/>
              </w:rPr>
            </w:pPr>
            <w:r>
              <w:rPr>
                <w:rFonts w:ascii="Arial" w:cs="Arial" w:eastAsia="Arial" w:hAnsi="Arial"/>
                <w:sz w:val="17"/>
                <w:szCs w:val="17"/>
                <w:color w:val="auto"/>
              </w:rPr>
              <w:t>Percent change</w:t>
            </w:r>
          </w:p>
        </w:tc>
        <w:tc>
          <w:tcPr>
            <w:tcW w:w="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21 %</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64 %</w:t>
            </w:r>
          </w:p>
        </w:tc>
        <w:tc>
          <w:tcPr>
            <w:tcW w:w="154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37 %</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13 %</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22 %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In the U.S. for the three and nine months ended September 30, 2023, the increase in volume was primarily driven by Mounjaro, Verzenio, Trulicity, Jardiance, and Taltz</w:t>
      </w:r>
      <w:r>
        <w:rPr>
          <w:rFonts w:ascii="Arial" w:cs="Arial" w:eastAsia="Arial" w:hAnsi="Arial"/>
          <w:sz w:val="22"/>
          <w:szCs w:val="22"/>
          <w:color w:val="auto"/>
          <w:vertAlign w:val="superscript"/>
        </w:rPr>
        <w:t>®</w:t>
      </w:r>
      <w:r>
        <w:rPr>
          <w:rFonts w:ascii="Arial" w:cs="Arial" w:eastAsia="Arial" w:hAnsi="Arial"/>
          <w:sz w:val="17"/>
          <w:szCs w:val="17"/>
          <w:color w:val="auto"/>
        </w:rPr>
        <w:t>, partially offset by the absence of revenue from COVID-19 antibodies. In the U.S. for the nine months ended September 30, 2023, the increase in volume was also driven by $579.0 million from the sale of the rights for Baqsimi during the second quarter of 2023, partially offset by decreased volume from Alimta following the entry of multiple generics in the first half of 2022. In the U.S. for the three and nine months ended September 30, 2023, the higher realized prices were primarily driven by Mounjaro, partially offset by lower realized prices for Trulicity and Humalog. For the three and nine months ended September 30, 2023, the higher realized prices for Mounjaro were due to decreased utilization of savings card programs as access continues to expand. For the three and nine months ended September 30, 2023, the lower realized prices were due to unfavorable segment mix and higher contracted rebates, as well as changes to estimates for rebates and discount</w:t>
      </w:r>
      <w:r>
        <w:rPr>
          <w:rFonts w:ascii="Arial" w:cs="Arial" w:eastAsia="Arial" w:hAnsi="Arial"/>
          <w:sz w:val="18"/>
          <w:szCs w:val="18"/>
          <w:color w:val="auto"/>
        </w:rPr>
        <w:t>s</w:t>
      </w:r>
      <w:r>
        <w:rPr>
          <w:rFonts w:ascii="Arial" w:cs="Arial" w:eastAsia="Arial" w:hAnsi="Arial"/>
          <w:sz w:val="17"/>
          <w:szCs w:val="17"/>
          <w:color w:val="auto"/>
        </w:rPr>
        <w:t xml:space="preserve"> for Trulicity and due to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unfavorable segment mix for Humalog.</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Outside the U.S. for the three and nine months ended September 30, 2023, the increase in volume was largely driven by $1.42 billion from the sale of the rights for the olanzapine portfolio, including Zyprexa, as well as increased volume for Verzenio. Outside the U.S. for the three and nine months ended September 30, 2023, the lower realized prices were primarily driven by a new supply arrangement associated with the sale of the rights for the olanzapine portfolio, and to a lesser extent, lower realized prices from Verzenio and Trulicity. Outside the U.S. for the nine months ended September 30, 2023, the lower realized prices were also driven by the impact of government pricing in China from volume-based procurement for Humalog.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1" w:name="page42"/>
    <w:bookmarkEnd w:id="41"/>
    <w:p>
      <w:pPr>
        <w:ind w:right="160"/>
        <w:spacing w:after="0" w:line="283" w:lineRule="auto"/>
        <w:rPr>
          <w:sz w:val="20"/>
          <w:szCs w:val="20"/>
          <w:color w:val="auto"/>
        </w:rPr>
      </w:pPr>
      <w:r>
        <w:rPr>
          <w:rFonts w:ascii="Arial" w:cs="Arial" w:eastAsia="Arial" w:hAnsi="Arial"/>
          <w:sz w:val="17"/>
          <w:szCs w:val="17"/>
          <w:color w:val="auto"/>
        </w:rPr>
        <w:t>The following table summarizes our revenue, including net product revenue and collaboration and other revenue, by product for the three months ended September 30, 2023 and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86"/>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20" w:type="dxa"/>
            <w:vAlign w:val="bottom"/>
          </w:tcPr>
          <w:p>
            <w:pPr>
              <w:spacing w:after="0"/>
              <w:rPr>
                <w:sz w:val="16"/>
                <w:szCs w:val="16"/>
                <w:color w:val="auto"/>
              </w:rPr>
            </w:pPr>
          </w:p>
        </w:tc>
      </w:tr>
      <w:tr>
        <w:trPr>
          <w:trHeight w:val="188"/>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7"/>
              </w:rPr>
              <w:t>Percent Change</w:t>
            </w:r>
          </w:p>
        </w:tc>
      </w:tr>
      <w:tr>
        <w:trPr>
          <w:trHeight w:val="213"/>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Trulicity</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1,259.0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414.6</w:t>
            </w:r>
          </w:p>
        </w:tc>
        <w:tc>
          <w:tcPr>
            <w:tcW w:w="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1,850.4</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(10)</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Zyprexa</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49.9</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1,431.5</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1,481.4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81.4</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NM</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Mounjaro</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1,277.0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132.4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NM</w:t>
            </w: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Verzenio</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684.6</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355.7</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617.7</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68</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Taltz</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509.3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234.9</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679.9</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84"/>
              </w:rPr>
              <w:t>9</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Jardiance</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415.9</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284.8</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573.3</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22</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Humalog</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194.2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201.2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447.0</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(12)</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Olumiant</w:t>
            </w:r>
            <w:r>
              <w:rPr>
                <w:rFonts w:ascii="Arial" w:cs="Arial" w:eastAsia="Arial" w:hAnsi="Arial"/>
                <w:sz w:val="22"/>
                <w:szCs w:val="22"/>
                <w:color w:val="auto"/>
                <w:vertAlign w:val="superscript"/>
              </w:rPr>
              <w:t>®(4)</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65.7</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165.7</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182.9</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27</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Cyramza</w:t>
            </w:r>
            <w:r>
              <w:rPr>
                <w:rFonts w:ascii="Arial" w:cs="Arial" w:eastAsia="Arial" w:hAnsi="Arial"/>
                <w:sz w:val="22"/>
                <w:szCs w:val="22"/>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88.0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136.1</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6"/>
              </w:rPr>
              <w:t>(3)</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Humulin</w:t>
            </w:r>
            <w:r>
              <w:rPr>
                <w:rFonts w:ascii="Arial" w:cs="Arial" w:eastAsia="Arial" w:hAnsi="Arial"/>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145.5</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61.2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238.2</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(13)</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Basaglar</w:t>
            </w:r>
            <w:r>
              <w:rPr>
                <w:rFonts w:ascii="Arial" w:cs="Arial" w:eastAsia="Arial" w:hAnsi="Arial"/>
                <w:sz w:val="22"/>
                <w:szCs w:val="22"/>
                <w:color w:val="auto"/>
                <w:vertAlign w:val="superscript"/>
              </w:rPr>
              <w:t>® (5)</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111.4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68.2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6"/>
              </w:rPr>
              <w:t>(7)</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Emgality</w:t>
            </w:r>
            <w:r>
              <w:rPr>
                <w:rFonts w:ascii="Arial" w:cs="Arial" w:eastAsia="Arial" w:hAnsi="Arial"/>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126.5</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42.1</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168.5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168.5</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w w:val="93"/>
              </w:rPr>
              <w:t>—</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Erbitux</w:t>
            </w:r>
            <w:r>
              <w:rPr>
                <w:rFonts w:ascii="Arial" w:cs="Arial" w:eastAsia="Arial" w:hAnsi="Arial"/>
                <w:sz w:val="22"/>
                <w:szCs w:val="22"/>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134.0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19.9</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84"/>
              </w:rPr>
              <w:t>6</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Forteo</w:t>
            </w:r>
            <w:r>
              <w:rPr>
                <w:rFonts w:ascii="Arial" w:cs="Arial" w:eastAsia="Arial" w:hAnsi="Arial"/>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101.2</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45.2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146.4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177.1</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(17)</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Cialis</w:t>
            </w:r>
            <w:r>
              <w:rPr>
                <w:rFonts w:ascii="Arial" w:cs="Arial" w:eastAsia="Arial" w:hAnsi="Arial"/>
                <w:sz w:val="22"/>
                <w:szCs w:val="22"/>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82.0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(25)</w:t>
            </w: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Alimta</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21.2</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32.3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119.4</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(55)</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Baqsimi</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(70)</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COVID-19 antibodies</w:t>
            </w:r>
            <w:r>
              <w:rPr>
                <w:rFonts w:ascii="Arial" w:cs="Arial" w:eastAsia="Arial" w:hAnsi="Arial"/>
                <w:sz w:val="22"/>
                <w:szCs w:val="22"/>
                <w:color w:val="auto"/>
                <w:vertAlign w:val="superscript"/>
              </w:rPr>
              <w:t>(6)</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386.6</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(100)</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176.0</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413.4</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503.2</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17</w:t>
            </w:r>
          </w:p>
        </w:tc>
      </w:tr>
      <w:tr>
        <w:trPr>
          <w:trHeight w:val="218"/>
        </w:trPr>
        <w:tc>
          <w:tcPr>
            <w:tcW w:w="4200" w:type="dxa"/>
            <w:vAlign w:val="bottom"/>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5,368.1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4,130.5</w:t>
            </w:r>
          </w:p>
        </w:tc>
        <w:tc>
          <w:tcPr>
            <w:tcW w:w="4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9,498.6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6,941.6</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37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 w:lineRule="exact"/>
        <w:rPr>
          <w:sz w:val="20"/>
          <w:szCs w:val="20"/>
          <w:color w:val="auto"/>
        </w:rPr>
      </w:pPr>
    </w:p>
    <w:p>
      <w:pPr>
        <w:ind w:left="140" w:hanging="137"/>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Zyprexa revenue includes sale of rights for the olanzapine portfolio.</w:t>
      </w:r>
    </w:p>
    <w:p>
      <w:pPr>
        <w:spacing w:after="0" w:line="6" w:lineRule="exact"/>
        <w:rPr>
          <w:rFonts w:ascii="Arial" w:cs="Arial" w:eastAsia="Arial" w:hAnsi="Arial"/>
          <w:sz w:val="9"/>
          <w:szCs w:val="9"/>
          <w:color w:val="auto"/>
        </w:rPr>
      </w:pPr>
    </w:p>
    <w:p>
      <w:pPr>
        <w:ind w:left="140" w:hanging="137"/>
        <w:spacing w:after="0" w:line="223"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ind w:left="140" w:hanging="137"/>
        <w:spacing w:after="0" w:line="214"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3" w:lineRule="exact"/>
        <w:rPr>
          <w:rFonts w:ascii="Arial" w:cs="Arial" w:eastAsia="Arial" w:hAnsi="Arial"/>
          <w:sz w:val="16"/>
          <w:szCs w:val="16"/>
          <w:color w:val="auto"/>
          <w:vertAlign w:val="superscript"/>
        </w:rPr>
      </w:pPr>
    </w:p>
    <w:p>
      <w:pPr>
        <w:ind w:left="140" w:hanging="137"/>
        <w:spacing w:after="0" w:line="202"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Emergency Use Authorization (EUA) or similar regulatory authorizations.</w:t>
      </w:r>
    </w:p>
    <w:p>
      <w:pPr>
        <w:ind w:left="140" w:hanging="137"/>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Basaglar revenue includes Rezvoglar</w:t>
      </w:r>
      <w:r>
        <w:rPr>
          <w:rFonts w:ascii="Arial" w:cs="Arial" w:eastAsia="Arial" w:hAnsi="Arial"/>
          <w:sz w:val="8"/>
          <w:szCs w:val="8"/>
          <w:color w:val="auto"/>
        </w:rPr>
        <w:t>®</w:t>
      </w:r>
      <w:r>
        <w:rPr>
          <w:rFonts w:ascii="Arial" w:cs="Arial" w:eastAsia="Arial" w:hAnsi="Arial"/>
          <w:sz w:val="14"/>
          <w:szCs w:val="14"/>
          <w:color w:val="auto"/>
        </w:rPr>
        <w:t>.</w:t>
      </w:r>
    </w:p>
    <w:p>
      <w:pPr>
        <w:spacing w:after="0" w:line="3" w:lineRule="exact"/>
        <w:rPr>
          <w:rFonts w:ascii="Arial" w:cs="Arial" w:eastAsia="Arial" w:hAnsi="Arial"/>
          <w:sz w:val="9"/>
          <w:szCs w:val="9"/>
          <w:color w:val="auto"/>
        </w:rPr>
      </w:pPr>
    </w:p>
    <w:p>
      <w:pPr>
        <w:ind w:left="160" w:right="60" w:hanging="157"/>
        <w:spacing w:after="0" w:line="260" w:lineRule="auto"/>
        <w:tabs>
          <w:tab w:leader="none" w:pos="139" w:val="left"/>
        </w:tabs>
        <w:numPr>
          <w:ilvl w:val="0"/>
          <w:numId w:val="15"/>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42" w:name="page43"/>
    <w:bookmarkEnd w:id="42"/>
    <w:p>
      <w:pPr>
        <w:ind w:right="280"/>
        <w:spacing w:after="0" w:line="283" w:lineRule="auto"/>
        <w:rPr>
          <w:sz w:val="20"/>
          <w:szCs w:val="20"/>
          <w:color w:val="auto"/>
        </w:rPr>
      </w:pPr>
      <w:r>
        <w:rPr>
          <w:rFonts w:ascii="Arial" w:cs="Arial" w:eastAsia="Arial" w:hAnsi="Arial"/>
          <w:sz w:val="17"/>
          <w:szCs w:val="17"/>
          <w:color w:val="auto"/>
        </w:rPr>
        <w:t>The following table summarizes our revenue, including net product revenue and collaboration and other revenue, by product for the nine months ended September 30, 2023 and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20" w:type="dxa"/>
            <w:vAlign w:val="bottom"/>
          </w:tcPr>
          <w:p>
            <w:pPr>
              <w:spacing w:after="0"/>
              <w:rPr>
                <w:sz w:val="16"/>
                <w:szCs w:val="16"/>
                <w:color w:val="auto"/>
              </w:rPr>
            </w:pPr>
          </w:p>
        </w:tc>
      </w:tr>
      <w:tr>
        <w:trPr>
          <w:trHeight w:val="3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7"/>
              </w:rPr>
              <w:t>Percent Change</w:t>
            </w:r>
          </w:p>
        </w:tc>
      </w:tr>
      <w:tr>
        <w:trPr>
          <w:trHeight w:val="213"/>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Trulicity</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4,177.7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1,285.6</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5,463.2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5,503.5</w:t>
            </w:r>
          </w:p>
        </w:tc>
        <w:tc>
          <w:tcPr>
            <w:tcW w:w="1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rPr>
              <w:t>(1)</w:t>
            </w: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Mounjaro</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2,729.1</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228.4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2,957.5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203.2</w:t>
            </w:r>
          </w:p>
        </w:tc>
        <w:tc>
          <w:tcPr>
            <w:tcW w:w="1420" w:type="dxa"/>
            <w:vAlign w:val="bottom"/>
          </w:tcPr>
          <w:p>
            <w:pPr>
              <w:jc w:val="center"/>
              <w:ind w:left="35"/>
              <w:spacing w:after="0"/>
              <w:rPr>
                <w:sz w:val="20"/>
                <w:szCs w:val="20"/>
                <w:color w:val="auto"/>
              </w:rPr>
            </w:pPr>
            <w:r>
              <w:rPr>
                <w:rFonts w:ascii="Arial" w:cs="Arial" w:eastAsia="Arial" w:hAnsi="Arial"/>
                <w:sz w:val="17"/>
                <w:szCs w:val="17"/>
                <w:color w:val="auto"/>
                <w:w w:val="98"/>
              </w:rPr>
              <w:t>NM</w:t>
            </w: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Verzenio</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1,734.2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983.7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1,675.6</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62</w:t>
            </w: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Taltz</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1,293.8</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681.2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1,975.0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1,774.2</w:t>
            </w:r>
          </w:p>
        </w:tc>
        <w:tc>
          <w:tcPr>
            <w:tcW w:w="1420" w:type="dxa"/>
            <w:vAlign w:val="bottom"/>
          </w:tcPr>
          <w:p>
            <w:pPr>
              <w:jc w:val="center"/>
              <w:ind w:left="35"/>
              <w:spacing w:after="0"/>
              <w:rPr>
                <w:sz w:val="20"/>
                <w:szCs w:val="20"/>
                <w:color w:val="auto"/>
              </w:rPr>
            </w:pPr>
            <w:r>
              <w:rPr>
                <w:rFonts w:ascii="Arial" w:cs="Arial" w:eastAsia="Arial" w:hAnsi="Arial"/>
                <w:sz w:val="17"/>
                <w:szCs w:val="17"/>
                <w:color w:val="auto"/>
                <w:w w:val="94"/>
              </w:rPr>
              <w:t>11</w:t>
            </w:r>
          </w:p>
        </w:tc>
      </w:tr>
      <w:tr>
        <w:trPr>
          <w:trHeight w:val="220"/>
        </w:trPr>
        <w:tc>
          <w:tcPr>
            <w:tcW w:w="40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Jardiance</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1,131.5</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815.1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1,453.7</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34</w:t>
            </w:r>
          </w:p>
        </w:tc>
      </w:tr>
      <w:tr>
        <w:trPr>
          <w:trHeight w:val="220"/>
        </w:trPr>
        <w:tc>
          <w:tcPr>
            <w:tcW w:w="4060" w:type="dxa"/>
            <w:vAlign w:val="bottom"/>
          </w:tcPr>
          <w:p>
            <w:pPr>
              <w:ind w:left="20"/>
              <w:spacing w:after="0" w:line="220" w:lineRule="exact"/>
              <w:rPr>
                <w:sz w:val="20"/>
                <w:szCs w:val="20"/>
                <w:color w:val="auto"/>
              </w:rPr>
            </w:pPr>
            <w:r>
              <w:rPr>
                <w:rFonts w:ascii="Arial" w:cs="Arial" w:eastAsia="Arial" w:hAnsi="Arial"/>
                <w:sz w:val="17"/>
                <w:szCs w:val="17"/>
                <w:color w:val="auto"/>
              </w:rPr>
              <w:t>Zyprexa</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69.1</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1,581.9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261.7</w:t>
            </w:r>
          </w:p>
        </w:tc>
        <w:tc>
          <w:tcPr>
            <w:tcW w:w="1420" w:type="dxa"/>
            <w:vAlign w:val="bottom"/>
          </w:tcPr>
          <w:p>
            <w:pPr>
              <w:jc w:val="center"/>
              <w:ind w:left="35"/>
              <w:spacing w:after="0"/>
              <w:rPr>
                <w:sz w:val="20"/>
                <w:szCs w:val="20"/>
                <w:color w:val="auto"/>
              </w:rPr>
            </w:pPr>
            <w:r>
              <w:rPr>
                <w:rFonts w:ascii="Arial" w:cs="Arial" w:eastAsia="Arial" w:hAnsi="Arial"/>
                <w:sz w:val="17"/>
                <w:szCs w:val="17"/>
                <w:color w:val="auto"/>
                <w:w w:val="98"/>
              </w:rPr>
              <w:t>NM</w:t>
            </w:r>
          </w:p>
        </w:tc>
      </w:tr>
      <w:tr>
        <w:trPr>
          <w:trHeight w:val="220"/>
        </w:trPr>
        <w:tc>
          <w:tcPr>
            <w:tcW w:w="40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Humalog</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695.6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601.2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1,512.3</w:t>
            </w:r>
          </w:p>
        </w:tc>
        <w:tc>
          <w:tcPr>
            <w:tcW w:w="1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9"/>
              </w:rPr>
              <w:t>(14)</w:t>
            </w: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Cyramza</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303.6</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417.5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693.6</w:t>
            </w:r>
          </w:p>
        </w:tc>
        <w:tc>
          <w:tcPr>
            <w:tcW w:w="1420" w:type="dxa"/>
            <w:vAlign w:val="bottom"/>
          </w:tcPr>
          <w:p>
            <w:pPr>
              <w:jc w:val="center"/>
              <w:ind w:left="35"/>
              <w:spacing w:after="0"/>
              <w:rPr>
                <w:sz w:val="20"/>
                <w:szCs w:val="20"/>
                <w:color w:val="auto"/>
              </w:rPr>
            </w:pPr>
            <w:r>
              <w:rPr>
                <w:rFonts w:ascii="Arial" w:cs="Arial" w:eastAsia="Arial" w:hAnsi="Arial"/>
                <w:sz w:val="17"/>
                <w:szCs w:val="17"/>
                <w:color w:val="auto"/>
              </w:rPr>
              <w:t>4</w:t>
            </w:r>
          </w:p>
        </w:tc>
      </w:tr>
      <w:tr>
        <w:trPr>
          <w:trHeight w:val="220"/>
        </w:trPr>
        <w:tc>
          <w:tcPr>
            <w:tcW w:w="40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Olumiant</w:t>
            </w:r>
            <w:r>
              <w:rPr>
                <w:rFonts w:ascii="Arial" w:cs="Arial" w:eastAsia="Arial" w:hAnsi="Arial"/>
                <w:sz w:val="22"/>
                <w:szCs w:val="22"/>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158.8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520.4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624.7</w:t>
            </w:r>
          </w:p>
        </w:tc>
        <w:tc>
          <w:tcPr>
            <w:tcW w:w="1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rPr>
              <w:t>9</w:t>
            </w: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Humulin</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488.6</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175.4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664.0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785.4</w:t>
            </w:r>
          </w:p>
        </w:tc>
        <w:tc>
          <w:tcPr>
            <w:tcW w:w="1420" w:type="dxa"/>
            <w:vAlign w:val="bottom"/>
          </w:tcPr>
          <w:p>
            <w:pPr>
              <w:jc w:val="center"/>
              <w:ind w:left="35"/>
              <w:spacing w:after="0"/>
              <w:rPr>
                <w:sz w:val="20"/>
                <w:szCs w:val="20"/>
                <w:color w:val="auto"/>
              </w:rPr>
            </w:pPr>
            <w:r>
              <w:rPr>
                <w:rFonts w:ascii="Arial" w:cs="Arial" w:eastAsia="Arial" w:hAnsi="Arial"/>
                <w:sz w:val="17"/>
                <w:szCs w:val="17"/>
                <w:color w:val="auto"/>
                <w:w w:val="99"/>
              </w:rPr>
              <w:t>(15)</w:t>
            </w: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Baqsimi</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633.1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25.4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1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8"/>
              </w:rPr>
              <w:t>NM</w:t>
            </w:r>
          </w:p>
        </w:tc>
      </w:tr>
      <w:tr>
        <w:trPr>
          <w:trHeight w:val="220"/>
        </w:trPr>
        <w:tc>
          <w:tcPr>
            <w:tcW w:w="4060" w:type="dxa"/>
            <w:vAlign w:val="bottom"/>
          </w:tcPr>
          <w:p>
            <w:pPr>
              <w:ind w:left="20"/>
              <w:spacing w:after="0" w:line="220" w:lineRule="exact"/>
              <w:rPr>
                <w:sz w:val="20"/>
                <w:szCs w:val="20"/>
                <w:color w:val="auto"/>
              </w:rPr>
            </w:pPr>
            <w:r>
              <w:rPr>
                <w:rFonts w:ascii="Arial" w:cs="Arial" w:eastAsia="Arial" w:hAnsi="Arial"/>
                <w:sz w:val="17"/>
                <w:szCs w:val="17"/>
                <w:color w:val="auto"/>
              </w:rPr>
              <w:t>Basaglar</w:t>
            </w:r>
            <w:r>
              <w:rPr>
                <w:rFonts w:ascii="Arial" w:cs="Arial" w:eastAsia="Arial" w:hAnsi="Arial"/>
                <w:sz w:val="22"/>
                <w:szCs w:val="22"/>
                <w:color w:val="auto"/>
                <w:vertAlign w:val="superscript"/>
              </w:rPr>
              <w:t>(5)</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329.7</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213.4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558.7</w:t>
            </w:r>
          </w:p>
        </w:tc>
        <w:tc>
          <w:tcPr>
            <w:tcW w:w="1420" w:type="dxa"/>
            <w:vAlign w:val="bottom"/>
          </w:tcPr>
          <w:p>
            <w:pPr>
              <w:jc w:val="center"/>
              <w:ind w:left="35"/>
              <w:spacing w:after="0"/>
              <w:rPr>
                <w:sz w:val="20"/>
                <w:szCs w:val="20"/>
                <w:color w:val="auto"/>
              </w:rPr>
            </w:pPr>
            <w:r>
              <w:rPr>
                <w:rFonts w:ascii="Arial" w:cs="Arial" w:eastAsia="Arial" w:hAnsi="Arial"/>
                <w:sz w:val="17"/>
                <w:szCs w:val="17"/>
                <w:color w:val="auto"/>
              </w:rPr>
              <w:t>(3)</w:t>
            </w: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Emgality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354.0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138.2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475.2</w:t>
            </w:r>
          </w:p>
        </w:tc>
        <w:tc>
          <w:tcPr>
            <w:tcW w:w="1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rPr>
              <w:t>4</w:t>
            </w: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Erbitux</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398.3</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48.0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446.3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408.3</w:t>
            </w:r>
          </w:p>
        </w:tc>
        <w:tc>
          <w:tcPr>
            <w:tcW w:w="1420" w:type="dxa"/>
            <w:vAlign w:val="bottom"/>
          </w:tcPr>
          <w:p>
            <w:pPr>
              <w:jc w:val="center"/>
              <w:ind w:left="35"/>
              <w:spacing w:after="0"/>
              <w:rPr>
                <w:sz w:val="20"/>
                <w:szCs w:val="20"/>
                <w:color w:val="auto"/>
              </w:rPr>
            </w:pPr>
            <w:r>
              <w:rPr>
                <w:rFonts w:ascii="Arial" w:cs="Arial" w:eastAsia="Arial" w:hAnsi="Arial"/>
                <w:sz w:val="17"/>
                <w:szCs w:val="17"/>
                <w:color w:val="auto"/>
              </w:rPr>
              <w:t>9</w:t>
            </w: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Forteo</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269.2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147.6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453.0</w:t>
            </w:r>
          </w:p>
        </w:tc>
        <w:tc>
          <w:tcPr>
            <w:tcW w:w="1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rPr>
              <w:t>(8)</w:t>
            </w: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Cialis</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21.6</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281.1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480.4</w:t>
            </w:r>
          </w:p>
        </w:tc>
        <w:tc>
          <w:tcPr>
            <w:tcW w:w="1420" w:type="dxa"/>
            <w:vAlign w:val="bottom"/>
          </w:tcPr>
          <w:p>
            <w:pPr>
              <w:jc w:val="center"/>
              <w:ind w:left="35"/>
              <w:spacing w:after="0"/>
              <w:rPr>
                <w:sz w:val="20"/>
                <w:szCs w:val="20"/>
                <w:color w:val="auto"/>
              </w:rPr>
            </w:pPr>
            <w:r>
              <w:rPr>
                <w:rFonts w:ascii="Arial" w:cs="Arial" w:eastAsia="Arial" w:hAnsi="Arial"/>
                <w:sz w:val="17"/>
                <w:szCs w:val="17"/>
                <w:color w:val="auto"/>
                <w:w w:val="99"/>
              </w:rPr>
              <w:t>(37)</w:t>
            </w: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Alimta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59.2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113.5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691.1</w:t>
            </w:r>
          </w:p>
        </w:tc>
        <w:tc>
          <w:tcPr>
            <w:tcW w:w="1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9"/>
              </w:rPr>
              <w:t>(75)</w:t>
            </w:r>
          </w:p>
        </w:tc>
      </w:tr>
      <w:tr>
        <w:trPr>
          <w:trHeight w:val="220"/>
        </w:trPr>
        <w:tc>
          <w:tcPr>
            <w:tcW w:w="4060" w:type="dxa"/>
            <w:vAlign w:val="bottom"/>
          </w:tcPr>
          <w:p>
            <w:pPr>
              <w:ind w:left="20"/>
              <w:spacing w:after="0" w:line="220" w:lineRule="exact"/>
              <w:rPr>
                <w:sz w:val="20"/>
                <w:szCs w:val="20"/>
                <w:color w:val="auto"/>
              </w:rPr>
            </w:pPr>
            <w:r>
              <w:rPr>
                <w:rFonts w:ascii="Arial" w:cs="Arial" w:eastAsia="Arial" w:hAnsi="Arial"/>
                <w:sz w:val="17"/>
                <w:szCs w:val="17"/>
                <w:color w:val="auto"/>
              </w:rPr>
              <w:t>COVID-19 antibodies</w:t>
            </w:r>
            <w:r>
              <w:rPr>
                <w:rFonts w:ascii="Arial" w:cs="Arial" w:eastAsia="Arial" w:hAnsi="Arial"/>
                <w:sz w:val="22"/>
                <w:szCs w:val="22"/>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1,985.5</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(100)</w:t>
            </w: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488.5</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1,177.4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1,666.3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1,598.3</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49</w:t>
            </w:r>
          </w:p>
        </w:tc>
      </w:tr>
      <w:tr>
        <w:trPr>
          <w:trHeight w:val="218"/>
        </w:trPr>
        <w:tc>
          <w:tcPr>
            <w:tcW w:w="4060" w:type="dxa"/>
            <w:vAlign w:val="bottom"/>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15,335.6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9,435.0</w:t>
            </w:r>
          </w:p>
        </w:tc>
        <w:tc>
          <w:tcPr>
            <w:tcW w:w="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24,770.7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21,239.6</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 w:lineRule="exact"/>
        <w:rPr>
          <w:sz w:val="20"/>
          <w:szCs w:val="20"/>
          <w:color w:val="auto"/>
        </w:rPr>
      </w:pPr>
    </w:p>
    <w:p>
      <w:pPr>
        <w:ind w:left="140" w:hanging="137"/>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6" w:lineRule="exact"/>
        <w:rPr>
          <w:rFonts w:ascii="Arial" w:cs="Arial" w:eastAsia="Arial" w:hAnsi="Arial"/>
          <w:sz w:val="9"/>
          <w:szCs w:val="9"/>
          <w:color w:val="auto"/>
        </w:rPr>
      </w:pPr>
    </w:p>
    <w:p>
      <w:pPr>
        <w:ind w:left="140" w:hanging="137"/>
        <w:spacing w:after="0" w:line="219" w:lineRule="auto"/>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Zyprexa revenue includes sale of rights for the olanzapine portfolio.</w:t>
      </w:r>
    </w:p>
    <w:p>
      <w:pPr>
        <w:spacing w:after="0" w:line="3" w:lineRule="exact"/>
        <w:rPr>
          <w:rFonts w:ascii="Arial" w:cs="Arial" w:eastAsia="Arial" w:hAnsi="Arial"/>
          <w:sz w:val="16"/>
          <w:szCs w:val="16"/>
          <w:color w:val="auto"/>
          <w:vertAlign w:val="superscript"/>
        </w:rPr>
      </w:pPr>
    </w:p>
    <w:p>
      <w:pPr>
        <w:ind w:left="140" w:hanging="137"/>
        <w:spacing w:after="0" w:line="214" w:lineRule="auto"/>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3" w:lineRule="exact"/>
        <w:rPr>
          <w:rFonts w:ascii="Arial" w:cs="Arial" w:eastAsia="Arial" w:hAnsi="Arial"/>
          <w:sz w:val="16"/>
          <w:szCs w:val="16"/>
          <w:color w:val="auto"/>
          <w:vertAlign w:val="superscript"/>
        </w:rPr>
      </w:pPr>
    </w:p>
    <w:p>
      <w:pPr>
        <w:ind w:left="140" w:hanging="137"/>
        <w:spacing w:after="0" w:line="202" w:lineRule="auto"/>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EUA or similar regulatory authorizations.</w:t>
      </w:r>
    </w:p>
    <w:p>
      <w:pPr>
        <w:ind w:left="140" w:hanging="137"/>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Basaglar revenue includes Rezvoglar.</w:t>
      </w:r>
    </w:p>
    <w:p>
      <w:pPr>
        <w:spacing w:after="0" w:line="3" w:lineRule="exact"/>
        <w:rPr>
          <w:rFonts w:ascii="Arial" w:cs="Arial" w:eastAsia="Arial" w:hAnsi="Arial"/>
          <w:sz w:val="9"/>
          <w:szCs w:val="9"/>
          <w:color w:val="auto"/>
        </w:rPr>
      </w:pPr>
    </w:p>
    <w:p>
      <w:pPr>
        <w:ind w:left="160" w:right="100" w:hanging="157"/>
        <w:spacing w:after="0" w:line="260" w:lineRule="auto"/>
        <w:tabs>
          <w:tab w:leader="none" w:pos="139" w:val="left"/>
        </w:tabs>
        <w:numPr>
          <w:ilvl w:val="0"/>
          <w:numId w:val="16"/>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EUAs or similar regulatory authorizations.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Revenue of Trulicity decreased 11 percent in the U.S. during the three months ended September 30, 2023, primarily driven by lower realized prices, partially offset by wholesaler buying patterns and increased demand. Revenue of Trulicity remained relatively flat in the U.S. during the nine months ended September 30, 2023, driven by increased demand and wholesaler buying patterns, offset by lower realized prices. The lower realized prices for the three and nine months ended September 30, 2023 were primarily due to unfavorable segment mix and higher contracted rebates, as well as changes to estimates for rebates and discounts, reflecting an unfavorable adjustment in the third quarter of 2023 and a favorable adjustment in the third quarter of 2022. Revenue outside the U.S. decreased 4 percent during the three months ended September 30, 2023, driven by lower realized prices and decreased volume, partially offset by the favorable impact of foreign exchange rates. Revenue outside the U.S. decreased 4 percent during the nine months ended September 30, 2023, driven by lower realized prices and unfavorable impact of foreign exchange rates, partially offset by increased volume. Volumes in international markets were affected by actions we have taken to manage strong demand amid tight supply, including measures to minimize impact to existing patients.</w:t>
      </w:r>
    </w:p>
    <w:p>
      <w:pPr>
        <w:spacing w:after="0" w:line="7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Revenue of Mounjaro in the U.S. during the three and nine months ended September 30, 2023 was $1.28 billion and $2.73 billion, respectively, reflecting increased demand and higher realized prices due to decreased utilization of savings card programs as access continues to expand. During the three and nine months ended September 30, 2023, we experienced intermittent delays fulfilling orders of certain Mounjaro doses given significant demand, which affected volume.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3" w:name="page44"/>
    <w:bookmarkEnd w:id="43"/>
    <w:p>
      <w:pPr>
        <w:ind w:right="160"/>
        <w:spacing w:after="0" w:line="261" w:lineRule="auto"/>
        <w:rPr>
          <w:sz w:val="20"/>
          <w:szCs w:val="20"/>
          <w:color w:val="auto"/>
        </w:rPr>
      </w:pPr>
      <w:r>
        <w:rPr>
          <w:rFonts w:ascii="Arial" w:cs="Arial" w:eastAsia="Arial" w:hAnsi="Arial"/>
          <w:sz w:val="17"/>
          <w:szCs w:val="17"/>
          <w:color w:val="auto"/>
        </w:rPr>
        <w:t>Revenue of Verzenio increased 65 percent and 58 percent in the U.S. during the three and nine months ended September 30, 2023, respectively, driven by increased demand and, to a lesser extent, higher realized prices. Revenue outside the U.S. increased 75 percent and 71 percent during the three and nine months ended September 30, 2023, respectively, driven by increased demand, partially offset by lower realized prices. The increase in revenue outside the U.S. for the nine months ended September 30, 2023 was also partially offset by the unfavorable impact of foreign exchange rates.</w:t>
      </w:r>
    </w:p>
    <w:p>
      <w:pPr>
        <w:spacing w:after="0" w:line="74"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Revenue of Taltz increased 3 percent and 7 percent in the U.S. during the three and nine months ended September 30, 2023, respectively, driven by increased demand, partially offset by lower realized prices. Revenue outside the U.S. increased 26 percent and 21 percent during the three and nine months ended September 30, 2023, respectively, primarily driven by increased volume, partially offset by lower realized prices.</w:t>
      </w:r>
    </w:p>
    <w:p>
      <w:pPr>
        <w:spacing w:after="0" w:line="6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Revenue of Jardiance increased 19 percent and 36 percent in the U.S. during the three and nine months ended September 30, 2023, respectively, primarily driven by increased demand. Revenue outside the U.S. increased 28 percent and 31 percent during the three and nine months ended September 30, 2023, respectively, primarily driven by increased volume. See Note 4 to the consolidated condensed financial statements for information regarding our collaboration with Boehringer Ingelheim involving Jardiance.</w:t>
      </w:r>
    </w:p>
    <w:p>
      <w:pPr>
        <w:spacing w:after="0" w:line="73"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There was no worldwide revenue for COVID-19 antibodies during the three and nine months ended September 30, 2023, and we do not anticipate any revenue from COVID-19 antibodies in 2023.</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 Costs, and Expenses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gross margin, costs, and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47"/>
        </w:trPr>
        <w:tc>
          <w:tcPr>
            <w:tcW w:w="2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4"/>
                <w:szCs w:val="4"/>
                <w:color w:val="auto"/>
              </w:rPr>
            </w:pPr>
          </w:p>
        </w:tc>
        <w:tc>
          <w:tcPr>
            <w:tcW w:w="120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4"/>
                <w:szCs w:val="4"/>
                <w:color w:val="auto"/>
              </w:rPr>
            </w:pPr>
          </w:p>
        </w:tc>
        <w:tc>
          <w:tcPr>
            <w:tcW w:w="122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7,638.5</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5,362.5</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42</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19,476.5</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16,157.9</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w w:val="94"/>
              </w:rPr>
              <w:t>21</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Arial" w:cs="Arial" w:eastAsia="Arial" w:hAnsi="Arial"/>
                <w:sz w:val="17"/>
                <w:szCs w:val="17"/>
                <w:color w:val="auto"/>
              </w:rPr>
              <w:t>Gross margin as a percent of</w:t>
            </w: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80.4 %</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78.6 %</w:t>
            </w: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77.3 %</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76.1 %</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2,409.1</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1,802.9</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34</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6,750.7</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5,194.9</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Arial" w:cs="Arial" w:eastAsia="Arial" w:hAnsi="Arial"/>
                <w:sz w:val="17"/>
                <w:szCs w:val="17"/>
                <w:color w:val="auto"/>
              </w:rPr>
              <w:t>Marketing, selling, and administrative</w:t>
            </w:r>
          </w:p>
        </w:tc>
        <w:tc>
          <w:tcPr>
            <w:tcW w:w="280" w:type="dxa"/>
            <w:vAlign w:val="bottom"/>
          </w:tcPr>
          <w:p>
            <w:pPr>
              <w:spacing w:after="0"/>
              <w:rPr>
                <w:sz w:val="19"/>
                <w:szCs w:val="19"/>
                <w:color w:val="auto"/>
              </w:rPr>
            </w:pPr>
          </w:p>
        </w:tc>
        <w:tc>
          <w:tcPr>
            <w:tcW w:w="1360" w:type="dxa"/>
            <w:vAlign w:val="bottom"/>
          </w:tcPr>
          <w:p>
            <w:pPr>
              <w:jc w:val="right"/>
              <w:ind w:right="197"/>
              <w:spacing w:after="0"/>
              <w:rPr>
                <w:sz w:val="20"/>
                <w:szCs w:val="20"/>
                <w:color w:val="auto"/>
              </w:rPr>
            </w:pPr>
            <w:r>
              <w:rPr>
                <w:rFonts w:ascii="Arial" w:cs="Arial" w:eastAsia="Arial" w:hAnsi="Arial"/>
                <w:sz w:val="17"/>
                <w:szCs w:val="17"/>
                <w:b w:val="1"/>
                <w:bCs w:val="1"/>
                <w:color w:val="auto"/>
              </w:rPr>
              <w:t>1,803.9</w:t>
            </w:r>
          </w:p>
        </w:tc>
        <w:tc>
          <w:tcPr>
            <w:tcW w:w="42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1,614.2</w:t>
            </w:r>
          </w:p>
        </w:tc>
        <w:tc>
          <w:tcPr>
            <w:tcW w:w="960" w:type="dxa"/>
            <w:vAlign w:val="bottom"/>
          </w:tcPr>
          <w:p>
            <w:pPr>
              <w:jc w:val="center"/>
              <w:spacing w:after="0"/>
              <w:rPr>
                <w:sz w:val="20"/>
                <w:szCs w:val="20"/>
                <w:color w:val="auto"/>
              </w:rPr>
            </w:pPr>
            <w:r>
              <w:rPr>
                <w:rFonts w:ascii="Arial" w:cs="Arial" w:eastAsia="Arial" w:hAnsi="Arial"/>
                <w:sz w:val="17"/>
                <w:szCs w:val="17"/>
                <w:color w:val="auto"/>
              </w:rPr>
              <w:t>12</w:t>
            </w:r>
          </w:p>
        </w:tc>
        <w:tc>
          <w:tcPr>
            <w:tcW w:w="300" w:type="dxa"/>
            <w:vAlign w:val="bottom"/>
          </w:tcPr>
          <w:p>
            <w:pPr>
              <w:spacing w:after="0"/>
              <w:rPr>
                <w:sz w:val="19"/>
                <w:szCs w:val="19"/>
                <w:color w:val="auto"/>
              </w:rPr>
            </w:pPr>
          </w:p>
        </w:tc>
        <w:tc>
          <w:tcPr>
            <w:tcW w:w="1320" w:type="dxa"/>
            <w:vAlign w:val="bottom"/>
          </w:tcPr>
          <w:p>
            <w:pPr>
              <w:jc w:val="right"/>
              <w:ind w:right="197"/>
              <w:spacing w:after="0"/>
              <w:rPr>
                <w:sz w:val="20"/>
                <w:szCs w:val="20"/>
                <w:color w:val="auto"/>
              </w:rPr>
            </w:pPr>
            <w:r>
              <w:rPr>
                <w:rFonts w:ascii="Arial" w:cs="Arial" w:eastAsia="Arial" w:hAnsi="Arial"/>
                <w:sz w:val="17"/>
                <w:szCs w:val="17"/>
                <w:b w:val="1"/>
                <w:bCs w:val="1"/>
                <w:color w:val="auto"/>
              </w:rPr>
              <w:t>5,478.5</w:t>
            </w:r>
          </w:p>
        </w:tc>
        <w:tc>
          <w:tcPr>
            <w:tcW w:w="420" w:type="dxa"/>
            <w:vAlign w:val="bottom"/>
          </w:tcPr>
          <w:p>
            <w:pPr>
              <w:spacing w:after="0"/>
              <w:rPr>
                <w:sz w:val="19"/>
                <w:szCs w:val="19"/>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4,797.2</w:t>
            </w:r>
          </w:p>
        </w:tc>
        <w:tc>
          <w:tcPr>
            <w:tcW w:w="840" w:type="dxa"/>
            <w:vAlign w:val="bottom"/>
          </w:tcPr>
          <w:p>
            <w:pPr>
              <w:jc w:val="center"/>
              <w:ind w:left="18"/>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IPR&amp;D</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2,975.1</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62.4</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3,177.2</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668.4</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w w:val="98"/>
              </w:rPr>
              <w:t>NM</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Arial" w:cs="Arial" w:eastAsia="Arial" w:hAnsi="Arial"/>
                <w:sz w:val="17"/>
                <w:szCs w:val="17"/>
                <w:color w:val="auto"/>
              </w:rPr>
              <w:t>Asset impairment, restructuring, and</w:t>
            </w:r>
          </w:p>
        </w:tc>
        <w:tc>
          <w:tcPr>
            <w:tcW w:w="280" w:type="dxa"/>
            <w:vAlign w:val="bottom"/>
          </w:tcPr>
          <w:p>
            <w:pPr>
              <w:spacing w:after="0"/>
              <w:rPr>
                <w:sz w:val="14"/>
                <w:szCs w:val="14"/>
                <w:color w:val="auto"/>
              </w:rPr>
            </w:pPr>
          </w:p>
        </w:tc>
        <w:tc>
          <w:tcPr>
            <w:tcW w:w="1360" w:type="dxa"/>
            <w:vAlign w:val="bottom"/>
            <w:vMerge w:val="restart"/>
          </w:tcPr>
          <w:p>
            <w:pPr>
              <w:jc w:val="right"/>
              <w:ind w:right="197"/>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jc w:val="right"/>
              <w:ind w:right="197"/>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Arial" w:cs="Arial" w:eastAsia="Arial" w:hAnsi="Arial"/>
                <w:sz w:val="17"/>
                <w:szCs w:val="17"/>
                <w:color w:val="auto"/>
              </w:rPr>
              <w:t>other special charges</w:t>
            </w:r>
          </w:p>
        </w:tc>
        <w:tc>
          <w:tcPr>
            <w:tcW w:w="28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206.5</w:t>
            </w:r>
          </w:p>
        </w:tc>
        <w:tc>
          <w:tcPr>
            <w:tcW w:w="960" w:type="dxa"/>
            <w:vAlign w:val="bottom"/>
          </w:tcPr>
          <w:p>
            <w:pPr>
              <w:jc w:val="center"/>
              <w:spacing w:after="0"/>
              <w:rPr>
                <w:sz w:val="20"/>
                <w:szCs w:val="20"/>
                <w:color w:val="auto"/>
              </w:rPr>
            </w:pPr>
            <w:r>
              <w:rPr>
                <w:rFonts w:ascii="Arial" w:cs="Arial" w:eastAsia="Arial" w:hAnsi="Arial"/>
                <w:sz w:val="17"/>
                <w:szCs w:val="17"/>
                <w:color w:val="auto"/>
              </w:rPr>
              <w:t>(100)</w:t>
            </w:r>
          </w:p>
        </w:tc>
        <w:tc>
          <w:tcPr>
            <w:tcW w:w="3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206.5</w:t>
            </w:r>
          </w:p>
        </w:tc>
        <w:tc>
          <w:tcPr>
            <w:tcW w:w="840" w:type="dxa"/>
            <w:vAlign w:val="bottom"/>
          </w:tcPr>
          <w:p>
            <w:pPr>
              <w:jc w:val="center"/>
              <w:ind w:left="18"/>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Other–net, (income)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23.2</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111.0</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(79)</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24.3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580.9</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w w:val="99"/>
              </w:rPr>
              <w:t>(96)</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280" w:type="dxa"/>
            <w:vAlign w:val="bottom"/>
          </w:tcPr>
          <w:p>
            <w:pPr>
              <w:spacing w:after="0"/>
              <w:rPr>
                <w:sz w:val="19"/>
                <w:szCs w:val="19"/>
                <w:color w:val="auto"/>
              </w:rPr>
            </w:pPr>
          </w:p>
        </w:tc>
        <w:tc>
          <w:tcPr>
            <w:tcW w:w="1360" w:type="dxa"/>
            <w:vAlign w:val="bottom"/>
          </w:tcPr>
          <w:p>
            <w:pPr>
              <w:jc w:val="right"/>
              <w:ind w:right="197"/>
              <w:spacing w:after="0"/>
              <w:rPr>
                <w:sz w:val="20"/>
                <w:szCs w:val="20"/>
                <w:color w:val="auto"/>
              </w:rPr>
            </w:pPr>
            <w:r>
              <w:rPr>
                <w:rFonts w:ascii="Arial" w:cs="Arial" w:eastAsia="Arial" w:hAnsi="Arial"/>
                <w:sz w:val="17"/>
                <w:szCs w:val="17"/>
                <w:b w:val="1"/>
                <w:bCs w:val="1"/>
                <w:color w:val="auto"/>
              </w:rPr>
              <w:t>484.6</w:t>
            </w:r>
          </w:p>
        </w:tc>
        <w:tc>
          <w:tcPr>
            <w:tcW w:w="42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113.8</w:t>
            </w:r>
          </w:p>
        </w:tc>
        <w:tc>
          <w:tcPr>
            <w:tcW w:w="960" w:type="dxa"/>
            <w:vAlign w:val="bottom"/>
          </w:tcPr>
          <w:p>
            <w:pPr>
              <w:jc w:val="center"/>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9"/>
                <w:szCs w:val="19"/>
                <w:color w:val="auto"/>
              </w:rPr>
            </w:pPr>
          </w:p>
        </w:tc>
        <w:tc>
          <w:tcPr>
            <w:tcW w:w="1320" w:type="dxa"/>
            <w:vAlign w:val="bottom"/>
          </w:tcPr>
          <w:p>
            <w:pPr>
              <w:jc w:val="right"/>
              <w:ind w:right="197"/>
              <w:spacing w:after="0"/>
              <w:rPr>
                <w:sz w:val="20"/>
                <w:szCs w:val="20"/>
                <w:color w:val="auto"/>
              </w:rPr>
            </w:pPr>
            <w:r>
              <w:rPr>
                <w:rFonts w:ascii="Arial" w:cs="Arial" w:eastAsia="Arial" w:hAnsi="Arial"/>
                <w:sz w:val="17"/>
                <w:szCs w:val="17"/>
                <w:b w:val="1"/>
                <w:bCs w:val="1"/>
                <w:color w:val="auto"/>
              </w:rPr>
              <w:t>995.1</w:t>
            </w:r>
          </w:p>
        </w:tc>
        <w:tc>
          <w:tcPr>
            <w:tcW w:w="420" w:type="dxa"/>
            <w:vAlign w:val="bottom"/>
          </w:tcPr>
          <w:p>
            <w:pPr>
              <w:spacing w:after="0"/>
              <w:rPr>
                <w:sz w:val="19"/>
                <w:szCs w:val="19"/>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402.9</w:t>
            </w:r>
          </w:p>
        </w:tc>
        <w:tc>
          <w:tcPr>
            <w:tcW w:w="840" w:type="dxa"/>
            <w:vAlign w:val="bottom"/>
          </w:tcPr>
          <w:p>
            <w:pPr>
              <w:jc w:val="center"/>
              <w:ind w:left="18"/>
              <w:spacing w:after="0"/>
              <w:rPr>
                <w:sz w:val="20"/>
                <w:szCs w:val="20"/>
                <w:color w:val="auto"/>
              </w:rPr>
            </w:pPr>
            <w:r>
              <w:rPr>
                <w:rFonts w:ascii="Arial" w:cs="Arial" w:eastAsia="Arial" w:hAnsi="Arial"/>
                <w:sz w:val="17"/>
                <w:szCs w:val="17"/>
                <w:color w:val="auto"/>
                <w:w w:val="98"/>
              </w:rPr>
              <w:t>NM</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113.4 %</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7.3 %</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24.6 %</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Gross margin as a percent of revenue for the three months ended September 30, 2023 increased 3.1 percentage points compared with the three months ended September 30, 2022, primarily driven by the sale of rights for the olanzapine portfolio and the absence of COVID-19 antibodies sales in 2023, as well as higher realized prices, partially offset by increased manufacturing expenses related to labor costs and investments in capacity expansion. Gross margin as a percent of revenue for the nine months ended September 30, 2023 increased 2.5 percentage points compared with the nine months ended September 30, 2022, primarily driven by the absence of COVID-19 antibodies sales in 2023 and the sales of the rights for the olanzapine portfolio and Baqsimi, partially offset by increased manufacturing expenses related to labor costs and investments in capacity expansion.</w:t>
      </w:r>
    </w:p>
    <w:p>
      <w:pPr>
        <w:spacing w:after="0" w:line="285"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Research and development expenses increased 34 percent and 30 percent for the three and nine months ended September 30, 2023, respectively, primarily driven by higher development expenses for late-stage assets and additional investments in early-stage research.</w:t>
      </w:r>
    </w:p>
    <w:p>
      <w:pPr>
        <w:spacing w:after="0" w:line="56"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Marketing, selling, and administrative expenses increased 12 percent and 14 percent for the three and nine months ended September 30, 2023, respectively, primarily driven by costs associated with launches of new products and indications, as well as compensation and benefits costs.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4" w:name="page45"/>
    <w:bookmarkEnd w:id="44"/>
    <w:p>
      <w:pPr>
        <w:ind w:right="40"/>
        <w:spacing w:after="0" w:line="259" w:lineRule="auto"/>
        <w:rPr>
          <w:sz w:val="20"/>
          <w:szCs w:val="20"/>
          <w:color w:val="auto"/>
        </w:rPr>
      </w:pPr>
      <w:r>
        <w:rPr>
          <w:rFonts w:ascii="Arial" w:cs="Arial" w:eastAsia="Arial" w:hAnsi="Arial"/>
          <w:sz w:val="17"/>
          <w:szCs w:val="17"/>
          <w:color w:val="auto"/>
        </w:rPr>
        <w:t>We recognized $2.98 billion and $3.18 billion of acquired IPR&amp;D charges for the three and nine months ended September 30, 2023, respectively, primarily related to the acquisitions of DICE, Versanis, and Emergence. We recognized $62.4 million and $668.4 million of acquired IPR&amp;D charges for the three and nine months ended September 30, 2022, respectively. The charges for the nine months ended September 30, 2022 primarily related to the buy-out of substantially all future obligations that were contingent upon the occurrence of certain events linked to the success of our mutant-selective PI3kα inhibitor and a purchase of a Priority Review Voucher. See Note 3 to the consolidated condensed financial statements for additional information.</w:t>
      </w:r>
    </w:p>
    <w:p>
      <w:pPr>
        <w:spacing w:after="0" w:line="78" w:lineRule="exact"/>
        <w:rPr>
          <w:sz w:val="20"/>
          <w:szCs w:val="20"/>
          <w:color w:val="auto"/>
        </w:rPr>
      </w:pPr>
    </w:p>
    <w:p>
      <w:pPr>
        <w:jc w:val="both"/>
        <w:ind w:right="280"/>
        <w:spacing w:after="0" w:line="263" w:lineRule="auto"/>
        <w:rPr>
          <w:sz w:val="20"/>
          <w:szCs w:val="20"/>
          <w:color w:val="auto"/>
        </w:rPr>
      </w:pPr>
      <w:r>
        <w:rPr>
          <w:rFonts w:ascii="Arial" w:cs="Arial" w:eastAsia="Arial" w:hAnsi="Arial"/>
          <w:sz w:val="17"/>
          <w:szCs w:val="17"/>
          <w:color w:val="auto"/>
        </w:rPr>
        <w:t>There were no asset impairment, restructuring, and other special charges recognized for the three and nine months ended September 30, 2023. We recognized asset impairment, restructuring, and other special charges of $206.5 million for the three and nine months ended September 30, 2022, primarily related to an intangible asset impairment for GBA1 Gene Therapy due to changes in estimated launch timing. See Note 5 to the consolidated condensed financial statements for additional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Other–net, (income) expense included net investment losses on equity securities of $62.9 million and $141.5 million for three and nine months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2023, respectively. Other–net, (income) expense included net investment losses on equity securities of $123.3 million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$667.6 million for three and nine months ended September 30, 2022, respectively. See Note 11 to the consolidated condensed financial statements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effective tax rates were 113.4 percent and 24.6 percent for the three and nine months ended September 30, 2023, respectively, primarily driven by the non-deductible acquired IPR&amp;D charges in the third quarter of 2023. The effective tax rates were 7.3 percent and 8.6 percent for the three and nine months ended September 30, 2022, respectively, reflecting the favorable tax impacts of net investment losses on equity securities and an intangible asset impairment charge.</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CONDITION AND LIQUIDITY</w:t>
      </w:r>
    </w:p>
    <w:p>
      <w:pPr>
        <w:spacing w:after="0" w:line="125" w:lineRule="exact"/>
        <w:rPr>
          <w:sz w:val="20"/>
          <w:szCs w:val="20"/>
          <w:color w:val="auto"/>
        </w:rPr>
      </w:pPr>
    </w:p>
    <w:p>
      <w:pPr>
        <w:ind w:right="100"/>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73" w:lineRule="exact"/>
        <w:rPr>
          <w:sz w:val="20"/>
          <w:szCs w:val="20"/>
          <w:color w:val="auto"/>
        </w:rPr>
      </w:pPr>
    </w:p>
    <w:p>
      <w:pPr>
        <w:jc w:val="both"/>
        <w:ind w:right="180"/>
        <w:spacing w:after="0" w:line="283" w:lineRule="auto"/>
        <w:rPr>
          <w:sz w:val="20"/>
          <w:szCs w:val="20"/>
          <w:color w:val="auto"/>
        </w:rPr>
      </w:pPr>
      <w:r>
        <w:rPr>
          <w:rFonts w:ascii="Arial" w:cs="Arial" w:eastAsia="Arial" w:hAnsi="Arial"/>
          <w:sz w:val="17"/>
          <w:szCs w:val="17"/>
          <w:color w:val="auto"/>
        </w:rPr>
        <w:t>We have announced additional investment commitments in new facilities in Indiana, North Carolina, and Limerick, Ireland to manufacture existing and future products. We expect that these investments will result in higher capital expenditures in excess of $8 billion over the next several years.</w:t>
      </w:r>
    </w:p>
    <w:p>
      <w:pPr>
        <w:spacing w:after="0" w:line="56"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color w:val="auto"/>
        </w:rPr>
        <w:t>In the third quarter, we completed acquisitions of DICE, Versanis, and Emergence for an aggregate $ 2.98 billion, net of cash acquired. These acquisitions were funded primarily through cash on hand and the issuance of commercial paper. See Note 3 to the consolidated condensed financial statements for additional information.</w:t>
      </w:r>
    </w:p>
    <w:p>
      <w:pPr>
        <w:spacing w:after="0" w:line="6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In October 2023, we announced an agreement to acquire POINT for a purchase price of $12.50 per share in cash (an aggregate of approximately $1.4 billion) payable at closing. The proposed acquisition is subject to customary closing conditions, including the tender of a majority of the outstanding shares of POINT's common stock, the receipt of required antitrust clearance, and license transfer approval from the U.S. Nuclear Regulatory Commission. We anticipate funding this acquisition through cash on hand and the issuance of commercial paper.</w:t>
      </w:r>
    </w:p>
    <w:p>
      <w:pPr>
        <w:spacing w:after="0" w:line="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Cash and cash equivalents increased to $2.38 billion as of September 30, 2023, compared with $2.07 billion as of December 31, 2022. Refer to the consolidated condensed statements of cash flows for additional information on the significant sources and uses of cash for the nine months ended September 30, 2023 and 2022.</w:t>
      </w:r>
    </w:p>
    <w:p>
      <w:pPr>
        <w:spacing w:after="0" w:line="69" w:lineRule="exact"/>
        <w:rPr>
          <w:sz w:val="20"/>
          <w:szCs w:val="20"/>
          <w:color w:val="auto"/>
        </w:rPr>
      </w:pPr>
    </w:p>
    <w:p>
      <w:pPr>
        <w:ind w:right="1020"/>
        <w:spacing w:after="0" w:line="283" w:lineRule="auto"/>
        <w:rPr>
          <w:sz w:val="20"/>
          <w:szCs w:val="20"/>
          <w:color w:val="auto"/>
        </w:rPr>
      </w:pPr>
      <w:r>
        <w:rPr>
          <w:rFonts w:ascii="Arial" w:cs="Arial" w:eastAsia="Arial" w:hAnsi="Arial"/>
          <w:sz w:val="17"/>
          <w:szCs w:val="17"/>
          <w:color w:val="auto"/>
        </w:rPr>
        <w:t>In addition to our cash and cash equivalents, we held total investments of $2.80 billion and $3.05 billion as of September 30, 2023 and December 31, 2022, respectively. See Note 6 to the consolidated condensed financial statements for additional information.</w:t>
      </w:r>
    </w:p>
    <w:p>
      <w:pPr>
        <w:spacing w:after="0" w:line="56"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As of September 30, 2023, total debt was $ 20.17 billion, an increase of $3.93 billion compared with $16.24 billion as of December 31, 2022. In February 2023, we issued $750.0 million of 5.000 percent fixed-rate notes due in 2026, which are callable at par after one year, $1.00 billion of</w:t>
      </w:r>
    </w:p>
    <w:p>
      <w:pPr>
        <w:jc w:val="both"/>
        <w:ind w:right="100"/>
        <w:spacing w:after="0" w:line="258" w:lineRule="auto"/>
        <w:rPr>
          <w:sz w:val="20"/>
          <w:szCs w:val="20"/>
          <w:color w:val="auto"/>
        </w:rPr>
      </w:pPr>
      <w:r>
        <w:rPr>
          <w:rFonts w:ascii="Arial" w:cs="Arial" w:eastAsia="Arial" w:hAnsi="Arial"/>
          <w:sz w:val="17"/>
          <w:szCs w:val="17"/>
          <w:color w:val="auto"/>
        </w:rPr>
        <w:t>4.700 percent fixed-rate notes due in 2033, $ 1.25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 See Note 6 to the consolidated condensed financial statements for additional information.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5" w:name="page46"/>
    <w:bookmarkEnd w:id="45"/>
    <w:p>
      <w:pPr>
        <w:jc w:val="both"/>
        <w:spacing w:after="0" w:line="268" w:lineRule="auto"/>
        <w:rPr>
          <w:sz w:val="20"/>
          <w:szCs w:val="20"/>
          <w:color w:val="auto"/>
        </w:rPr>
      </w:pPr>
      <w:r>
        <w:rPr>
          <w:rFonts w:ascii="Arial" w:cs="Arial" w:eastAsia="Arial" w:hAnsi="Arial"/>
          <w:sz w:val="17"/>
          <w:szCs w:val="17"/>
          <w:color w:val="auto"/>
        </w:rPr>
        <w:t>As of September 30, 2023, we had a total of $7.33 billion of unused committed bank credit facilities, $7.00 billion of which is available to support our commercial paper program. We believe that amounts accessible through existing commercial paper markets should be adequate to fund short-term borrowing needs.</w:t>
      </w:r>
    </w:p>
    <w:p>
      <w:pPr>
        <w:spacing w:after="0" w:line="69"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During the nine months ended September 30, 2023, we repurchased $750.0 million of shares under our $5.00 billion share repurchase program authorized in May 2021. As of September 30, 2023, we had $2.50 billion remaining under this program.</w:t>
      </w:r>
    </w:p>
    <w:p>
      <w:pPr>
        <w:spacing w:after="0" w:line="56"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During the nine months ended September 30, 2023, we paid dividends of $ 3.05 billion, or $3.39 per share, to our shareholders. In November 2023, we declared a dividend for the fourth quarter of 2023 of $1.13 per share on outstanding common stock. The dividend of approximately $1.02 billion is payable on December 8, 2023 to shareholders of record at the close of business on November 15, 2023.</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See "Executive Overview—Other Matters—Patent Matters" for information regarding losses of patent protection.</w:t>
      </w:r>
    </w:p>
    <w:p>
      <w:pPr>
        <w:spacing w:after="0" w:line="11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Both domestically and abroad, we continue to monitor the potential impacts of the economic environment;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Other Impacts"), and fair values of equity securities.</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we expand our manufacturing capacity in order to meet existing and expected demand of our incretin products, we have entered, and expect to continue to enter, into various agreements for contract manufacturing and for supply of materials. The executed agreements could, under certain circumstances, require us to pay up to approximately $8.5 billion if we do not purchase specified amounts of goods or services over the durations of the agreements, which generally range from 2 to 8 years.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125" w:lineRule="exact"/>
        <w:rPr>
          <w:sz w:val="20"/>
          <w:szCs w:val="20"/>
          <w:color w:val="auto"/>
        </w:rPr>
      </w:pPr>
    </w:p>
    <w:p>
      <w:pPr>
        <w:ind w:right="100"/>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See also Note 1 to the consolidated condensed financial statements. There have been no material changes to our critical accounting estimates since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AVAILABLE INFORMATION ON OUR WEBSITE</w:t>
      </w:r>
    </w:p>
    <w:p>
      <w:pPr>
        <w:spacing w:after="0" w:line="125"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website link to our SEC filings is </w:t>
      </w:r>
      <w:r>
        <w:rPr>
          <w:rFonts w:ascii="Arial" w:cs="Arial" w:eastAsia="Arial" w:hAnsi="Arial"/>
          <w:sz w:val="17"/>
          <w:szCs w:val="17"/>
          <w:b w:val="1"/>
          <w:bCs w:val="1"/>
          <w:color w:val="auto"/>
        </w:rPr>
        <w:t>investor.lilly.com/financial-information/sec-filings</w:t>
      </w:r>
      <w:r>
        <w:rPr>
          <w:rFonts w:ascii="Arial" w:cs="Arial" w:eastAsia="Arial" w:hAnsi="Arial"/>
          <w:sz w:val="17"/>
          <w:szCs w:val="17"/>
          <w:color w:val="auto"/>
        </w:rPr>
        <w:t>.</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may also use social media channels to communicate with investors and the public about our business, products and other matters, and those communications could be deemed to be material information. The information contained on, or that may be accessed through, our website or social media channels, is not incorporated by reference into, and is not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Item 3. Quantitative and Qualitative Disclosures About Market Risk</w:t>
      </w:r>
    </w:p>
    <w:p>
      <w:pPr>
        <w:spacing w:after="0" w:line="123" w:lineRule="exact"/>
        <w:rPr>
          <w:sz w:val="20"/>
          <w:szCs w:val="20"/>
          <w:color w:val="auto"/>
        </w:rPr>
      </w:pPr>
    </w:p>
    <w:p>
      <w:pPr>
        <w:ind w:right="280"/>
        <w:spacing w:after="0" w:line="283" w:lineRule="auto"/>
        <w:rPr>
          <w:rFonts w:ascii="Arial" w:cs="Arial" w:eastAsia="Arial" w:hAnsi="Arial"/>
          <w:sz w:val="17"/>
          <w:szCs w:val="17"/>
          <w:color w:val="0000FF"/>
        </w:rPr>
      </w:pPr>
      <w:r>
        <w:rPr>
          <w:rFonts w:ascii="Arial" w:cs="Arial" w:eastAsia="Arial" w:hAnsi="Arial"/>
          <w:sz w:val="17"/>
          <w:szCs w:val="17"/>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color w:val="0000FF"/>
          </w:rPr>
          <w:t xml:space="preserve">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the year ended December 31, 2022.</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4. Controls and Procedures</w:t>
      </w:r>
    </w:p>
    <w:p>
      <w:pPr>
        <w:spacing w:after="0" w:line="117" w:lineRule="exact"/>
        <w:rPr>
          <w:sz w:val="20"/>
          <w:szCs w:val="20"/>
          <w:color w:val="auto"/>
        </w:rPr>
      </w:pPr>
    </w:p>
    <w:p>
      <w:pPr>
        <w:ind w:left="620" w:right="80" w:hanging="617"/>
        <w:spacing w:after="0" w:line="263" w:lineRule="auto"/>
        <w:tabs>
          <w:tab w:leader="none" w:pos="611"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Under applicable Securities and Exchange Commission (SEC)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2" w:lineRule="exact"/>
        <w:rPr>
          <w:rFonts w:ascii="Arial" w:cs="Arial" w:eastAsia="Arial" w:hAnsi="Arial"/>
          <w:sz w:val="17"/>
          <w:szCs w:val="17"/>
          <w:color w:val="auto"/>
        </w:rPr>
      </w:pPr>
    </w:p>
    <w:p>
      <w:pPr>
        <w:jc w:val="both"/>
        <w:ind w:left="620" w:right="4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Anat Ashkenazi,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hyperlink>
      <w:r>
        <w:rPr>
          <w:rFonts w:ascii="Arial" w:cs="Arial" w:eastAsia="Arial" w:hAnsi="Arial"/>
          <w:sz w:val="17"/>
          <w:szCs w:val="17"/>
          <w:color w:val="auto"/>
        </w:rPr>
        <w:t xml:space="preserve"> for the year ended December 31, 2022) as of September 30, 2023, and concluded that they were effective.</w:t>
      </w:r>
    </w:p>
    <w:p>
      <w:pPr>
        <w:spacing w:after="0" w:line="62" w:lineRule="exact"/>
        <w:rPr>
          <w:rFonts w:ascii="Arial" w:cs="Arial" w:eastAsia="Arial" w:hAnsi="Arial"/>
          <w:sz w:val="17"/>
          <w:szCs w:val="17"/>
          <w:color w:val="auto"/>
        </w:rPr>
      </w:pPr>
    </w:p>
    <w:p>
      <w:pPr>
        <w:ind w:left="620" w:hanging="617"/>
        <w:spacing w:after="0" w:line="258" w:lineRule="auto"/>
        <w:tabs>
          <w:tab w:leader="none" w:pos="611"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w:t>
      </w:r>
      <w:r>
        <w:rPr>
          <w:rFonts w:ascii="Arial" w:cs="Arial" w:eastAsia="Arial" w:hAnsi="Arial"/>
          <w:sz w:val="17"/>
          <w:szCs w:val="17"/>
          <w:color w:val="auto"/>
        </w:rPr>
        <w:t>During the third quarter of 2023, there were no changes in our internal control over financial reporting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affected, or are reasonably likely to materially affect, our internal control over financial reporting. We rely extensively on information systems and technology to manage our business, including integrated supply chain operations, and global consolidated financial results. We are currently preparing to implement a new global enterprise resource planning (ERP) system, which will replace existing operating and financial systems. The ERP system is designed to accurately maintain our financial records, support integrated supply chain and other operational functionality, and provide timely information to our management team related to the operation of the business. We currently expect to commence and complete the global implementation in the first quarter of 2024, with post-implementation activities following thereafter. As the implementation and post-implementation activities take place, we will have changes to certain of our processes and procedures, and we will evaluate quarterly whether the changes materially affect our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47" w:name="page48"/>
    <w:bookmarkEnd w:id="47"/>
    <w:p>
      <w:pPr>
        <w:spacing w:after="0"/>
        <w:rPr>
          <w:sz w:val="20"/>
          <w:szCs w:val="20"/>
          <w:color w:val="auto"/>
        </w:rPr>
      </w:pPr>
      <w:r>
        <w:rPr>
          <w:rFonts w:ascii="Arial" w:cs="Arial" w:eastAsia="Arial" w:hAnsi="Arial"/>
          <w:sz w:val="28"/>
          <w:szCs w:val="28"/>
          <w:u w:val="single" w:color="auto"/>
          <w:color w:val="auto"/>
        </w:rPr>
        <w:t>PART II.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 Legal Proceedings</w:t>
      </w:r>
    </w:p>
    <w:p>
      <w:pPr>
        <w:spacing w:after="0" w:line="174" w:lineRule="exact"/>
        <w:rPr>
          <w:sz w:val="20"/>
          <w:szCs w:val="20"/>
          <w:color w:val="auto"/>
        </w:rPr>
      </w:pPr>
    </w:p>
    <w:p>
      <w:pPr>
        <w:ind w:right="920"/>
        <w:spacing w:after="0" w:line="283" w:lineRule="auto"/>
        <w:rPr>
          <w:sz w:val="20"/>
          <w:szCs w:val="20"/>
          <w:color w:val="auto"/>
        </w:rPr>
      </w:pPr>
      <w:r>
        <w:rPr>
          <w:rFonts w:ascii="Arial" w:cs="Arial" w:eastAsia="Arial" w:hAnsi="Arial"/>
          <w:sz w:val="17"/>
          <w:szCs w:val="17"/>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108" w:lineRule="exact"/>
        <w:rPr>
          <w:sz w:val="20"/>
          <w:szCs w:val="20"/>
          <w:color w:val="auto"/>
        </w:rPr>
      </w:pPr>
    </w:p>
    <w:p>
      <w:pPr>
        <w:ind w:right="900"/>
        <w:spacing w:after="0" w:line="283" w:lineRule="auto"/>
        <w:rPr>
          <w:rFonts w:ascii="Arial" w:cs="Arial" w:eastAsia="Arial" w:hAnsi="Arial"/>
          <w:sz w:val="17"/>
          <w:szCs w:val="17"/>
          <w:color w:val="auto"/>
        </w:rPr>
      </w:pPr>
      <w:r>
        <w:rPr>
          <w:rFonts w:ascii="Arial" w:cs="Arial" w:eastAsia="Arial" w:hAnsi="Arial"/>
          <w:sz w:val="17"/>
          <w:szCs w:val="17"/>
          <w:color w:val="auto"/>
        </w:rPr>
        <w:t xml:space="preserve">This Item should be read in conjunction with "Legal Proceedings" in Part I, Item 3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174" w:lineRule="exact"/>
        <w:rPr>
          <w:sz w:val="20"/>
          <w:szCs w:val="20"/>
          <w:color w:val="auto"/>
        </w:rPr>
      </w:pPr>
    </w:p>
    <w:p>
      <w:pPr>
        <w:ind w:right="40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Our material risk factors are disclosed in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There have been no material changes from the risk factors previously disclosed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 Unregistered Sales of Equity Securities and Use of Proceeds</w:t>
      </w:r>
    </w:p>
    <w:p>
      <w:pPr>
        <w:spacing w:after="0" w:line="174" w:lineRule="exact"/>
        <w:rPr>
          <w:sz w:val="20"/>
          <w:szCs w:val="20"/>
          <w:color w:val="auto"/>
        </w:rPr>
      </w:pPr>
    </w:p>
    <w:p>
      <w:pPr>
        <w:ind w:right="24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Information relating to the principal market for our common stock and related shareholder matters is described in "Management's Discussion and Analysis of Results of Operations and Financial Condition" in Part II, Item 7 and in "Security Ownership of Certain Beneficial Owners and Management and Related Stockholder Matters" in Part III, Item 12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repurchases of our equity securities during the three months ended September 30, 2023:</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jc w:val="center"/>
              <w:ind w:left="231"/>
              <w:spacing w:after="0"/>
              <w:rPr>
                <w:sz w:val="20"/>
                <w:szCs w:val="20"/>
                <w:color w:val="auto"/>
              </w:rPr>
            </w:pPr>
            <w:r>
              <w:rPr>
                <w:rFonts w:ascii="Arial" w:cs="Arial" w:eastAsia="Arial" w:hAnsi="Arial"/>
                <w:sz w:val="14"/>
                <w:szCs w:val="14"/>
                <w:b w:val="1"/>
                <w:bCs w:val="1"/>
                <w:color w:val="auto"/>
                <w:w w:val="97"/>
              </w:rPr>
              <w:t>Total Number of Shares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8"/>
              </w:rPr>
              <w:t>Approximate Dollar Value of</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1500" w:type="dxa"/>
            <w:vAlign w:val="bottom"/>
            <w:vMerge w:val="restart"/>
          </w:tcPr>
          <w:p>
            <w:pPr>
              <w:jc w:val="center"/>
              <w:ind w:left="191"/>
              <w:spacing w:after="0"/>
              <w:rPr>
                <w:sz w:val="20"/>
                <w:szCs w:val="20"/>
                <w:color w:val="auto"/>
              </w:rPr>
            </w:pPr>
            <w:r>
              <w:rPr>
                <w:rFonts w:ascii="Arial" w:cs="Arial" w:eastAsia="Arial" w:hAnsi="Arial"/>
                <w:sz w:val="14"/>
                <w:szCs w:val="14"/>
                <w:b w:val="1"/>
                <w:bCs w:val="1"/>
                <w:color w:val="auto"/>
                <w:w w:val="96"/>
              </w:rPr>
              <w:t>Total Number of</w:t>
            </w: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tcPr>
          <w:p>
            <w:pPr>
              <w:jc w:val="center"/>
              <w:ind w:left="231"/>
              <w:spacing w:after="0" w:line="141" w:lineRule="exact"/>
              <w:rPr>
                <w:sz w:val="20"/>
                <w:szCs w:val="20"/>
                <w:color w:val="auto"/>
              </w:rPr>
            </w:pPr>
            <w:r>
              <w:rPr>
                <w:rFonts w:ascii="Arial" w:cs="Arial" w:eastAsia="Arial" w:hAnsi="Arial"/>
                <w:sz w:val="14"/>
                <w:szCs w:val="14"/>
                <w:b w:val="1"/>
                <w:bCs w:val="1"/>
                <w:color w:val="auto"/>
                <w:w w:val="99"/>
              </w:rPr>
              <w:t>Purchased as Part of</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restart"/>
          </w:tcPr>
          <w:p>
            <w:pPr>
              <w:jc w:val="center"/>
              <w:ind w:left="251"/>
              <w:spacing w:after="0"/>
              <w:rPr>
                <w:sz w:val="20"/>
                <w:szCs w:val="20"/>
                <w:color w:val="auto"/>
              </w:rPr>
            </w:pPr>
            <w:r>
              <w:rPr>
                <w:rFonts w:ascii="Arial" w:cs="Arial" w:eastAsia="Arial" w:hAnsi="Arial"/>
                <w:sz w:val="14"/>
                <w:szCs w:val="14"/>
                <w:b w:val="1"/>
                <w:bCs w:val="1"/>
                <w:color w:val="auto"/>
                <w:w w:val="97"/>
              </w:rPr>
              <w:t>Average Price Paid</w:t>
            </w:r>
          </w:p>
        </w:tc>
        <w:tc>
          <w:tcPr>
            <w:tcW w:w="380" w:type="dxa"/>
            <w:vAlign w:val="bottom"/>
          </w:tcPr>
          <w:p>
            <w:pPr>
              <w:spacing w:after="0"/>
              <w:rPr>
                <w:sz w:val="12"/>
                <w:szCs w:val="12"/>
                <w:color w:val="auto"/>
              </w:rPr>
            </w:pPr>
          </w:p>
        </w:tc>
        <w:tc>
          <w:tcPr>
            <w:tcW w:w="1960" w:type="dxa"/>
            <w:vAlign w:val="bottom"/>
          </w:tcPr>
          <w:p>
            <w:pPr>
              <w:jc w:val="center"/>
              <w:ind w:left="251"/>
              <w:spacing w:after="0" w:line="142" w:lineRule="exact"/>
              <w:rPr>
                <w:sz w:val="20"/>
                <w:szCs w:val="20"/>
                <w:color w:val="auto"/>
              </w:rPr>
            </w:pPr>
            <w:r>
              <w:rPr>
                <w:rFonts w:ascii="Arial" w:cs="Arial" w:eastAsia="Arial" w:hAnsi="Arial"/>
                <w:sz w:val="14"/>
                <w:szCs w:val="14"/>
                <w:b w:val="1"/>
                <w:bCs w:val="1"/>
                <w:color w:val="auto"/>
                <w:w w:val="98"/>
              </w:rPr>
              <w:t>Publicly Announced</w:t>
            </w:r>
          </w:p>
        </w:tc>
        <w:tc>
          <w:tcPr>
            <w:tcW w:w="320" w:type="dxa"/>
            <w:vAlign w:val="bottom"/>
          </w:tcPr>
          <w:p>
            <w:pPr>
              <w:spacing w:after="0"/>
              <w:rPr>
                <w:sz w:val="12"/>
                <w:szCs w:val="12"/>
                <w:color w:val="auto"/>
              </w:rPr>
            </w:pPr>
          </w:p>
        </w:tc>
        <w:tc>
          <w:tcPr>
            <w:tcW w:w="2460" w:type="dxa"/>
            <w:vAlign w:val="bottom"/>
            <w:gridSpan w:val="2"/>
          </w:tcPr>
          <w:p>
            <w:pPr>
              <w:jc w:val="center"/>
              <w:ind w:left="43"/>
              <w:spacing w:after="0" w:line="142" w:lineRule="exact"/>
              <w:rPr>
                <w:sz w:val="20"/>
                <w:szCs w:val="20"/>
                <w:color w:val="auto"/>
              </w:rPr>
            </w:pPr>
            <w:r>
              <w:rPr>
                <w:rFonts w:ascii="Arial" w:cs="Arial" w:eastAsia="Arial" w:hAnsi="Arial"/>
                <w:sz w:val="14"/>
                <w:szCs w:val="14"/>
                <w:b w:val="1"/>
                <w:bCs w:val="1"/>
                <w:color w:val="auto"/>
                <w:w w:val="98"/>
              </w:rPr>
              <w:t>Shares that May Yet Be Purchased</w:t>
            </w:r>
          </w:p>
        </w:tc>
        <w:tc>
          <w:tcPr>
            <w:tcW w:w="0" w:type="dxa"/>
            <w:vAlign w:val="bottom"/>
          </w:tcPr>
          <w:p>
            <w:pPr>
              <w:spacing w:after="0"/>
              <w:rPr>
                <w:sz w:val="1"/>
                <w:szCs w:val="1"/>
                <w:color w:val="auto"/>
              </w:rPr>
            </w:pPr>
          </w:p>
        </w:tc>
      </w:tr>
      <w:tr>
        <w:trPr>
          <w:trHeight w:val="129"/>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ind w:left="191"/>
              <w:spacing w:after="0" w:line="129" w:lineRule="exact"/>
              <w:rPr>
                <w:sz w:val="20"/>
                <w:szCs w:val="20"/>
                <w:color w:val="auto"/>
              </w:rPr>
            </w:pPr>
            <w:r>
              <w:rPr>
                <w:rFonts w:ascii="Arial" w:cs="Arial" w:eastAsia="Arial" w:hAnsi="Arial"/>
                <w:sz w:val="14"/>
                <w:szCs w:val="14"/>
                <w:b w:val="1"/>
                <w:bCs w:val="1"/>
                <w:color w:val="auto"/>
                <w:w w:val="98"/>
              </w:rPr>
              <w:t>Shares Purchased</w:t>
            </w:r>
          </w:p>
        </w:tc>
        <w:tc>
          <w:tcPr>
            <w:tcW w:w="2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960" w:type="dxa"/>
            <w:vAlign w:val="bottom"/>
          </w:tcPr>
          <w:p>
            <w:pPr>
              <w:jc w:val="center"/>
              <w:ind w:left="231"/>
              <w:spacing w:after="0" w:line="129" w:lineRule="exact"/>
              <w:rPr>
                <w:sz w:val="20"/>
                <w:szCs w:val="20"/>
                <w:color w:val="auto"/>
              </w:rPr>
            </w:pPr>
            <w:r>
              <w:rPr>
                <w:rFonts w:ascii="Arial" w:cs="Arial" w:eastAsia="Arial" w:hAnsi="Arial"/>
                <w:sz w:val="14"/>
                <w:szCs w:val="14"/>
                <w:b w:val="1"/>
                <w:bCs w:val="1"/>
                <w:color w:val="auto"/>
                <w:w w:val="97"/>
              </w:rPr>
              <w:t>Plans or Programs</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ind w:right="103"/>
              <w:spacing w:after="0" w:line="129" w:lineRule="exact"/>
              <w:rPr>
                <w:sz w:val="20"/>
                <w:szCs w:val="20"/>
                <w:color w:val="auto"/>
              </w:rPr>
            </w:pPr>
            <w:r>
              <w:rPr>
                <w:rFonts w:ascii="Arial" w:cs="Arial" w:eastAsia="Arial" w:hAnsi="Arial"/>
                <w:sz w:val="14"/>
                <w:szCs w:val="14"/>
                <w:b w:val="1"/>
                <w:bCs w:val="1"/>
                <w:color w:val="auto"/>
                <w:w w:val="98"/>
              </w:rPr>
              <w:t>Under the Plans or Programs</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center"/>
              <w:ind w:left="191"/>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291"/>
              <w:spacing w:after="0"/>
              <w:rPr>
                <w:sz w:val="20"/>
                <w:szCs w:val="20"/>
                <w:color w:val="auto"/>
              </w:rPr>
            </w:pPr>
            <w:r>
              <w:rPr>
                <w:rFonts w:ascii="Arial" w:cs="Arial" w:eastAsia="Arial" w:hAnsi="Arial"/>
                <w:sz w:val="14"/>
                <w:szCs w:val="14"/>
                <w:b w:val="1"/>
                <w:bCs w:val="1"/>
                <w:color w:val="auto"/>
                <w:w w:val="99"/>
              </w:rPr>
              <w:t>per Share</w:t>
            </w: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left="231"/>
              <w:spacing w:after="0"/>
              <w:rPr>
                <w:sz w:val="20"/>
                <w:szCs w:val="20"/>
                <w:color w:val="auto"/>
              </w:rPr>
            </w:pPr>
            <w:r>
              <w:rPr>
                <w:rFonts w:ascii="Arial" w:cs="Arial" w:eastAsia="Arial" w:hAnsi="Arial"/>
                <w:sz w:val="14"/>
                <w:szCs w:val="14"/>
                <w:b w:val="1"/>
                <w:bCs w:val="1"/>
                <w:color w:val="auto"/>
                <w:w w:val="97"/>
              </w:rPr>
              <w:t>(in thousands)</w:t>
            </w: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2023</w:t>
            </w:r>
          </w:p>
        </w:tc>
        <w:tc>
          <w:tcPr>
            <w:tcW w:w="15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20"/>
        </w:trPr>
        <w:tc>
          <w:tcPr>
            <w:tcW w:w="2720" w:type="dxa"/>
            <w:vAlign w:val="bottom"/>
          </w:tcPr>
          <w:p>
            <w:pPr>
              <w:ind w:left="20"/>
              <w:spacing w:after="0"/>
              <w:rPr>
                <w:sz w:val="20"/>
                <w:szCs w:val="20"/>
                <w:color w:val="auto"/>
              </w:rPr>
            </w:pPr>
            <w:r>
              <w:rPr>
                <w:rFonts w:ascii="Arial" w:cs="Arial" w:eastAsia="Arial" w:hAnsi="Arial"/>
                <w:sz w:val="17"/>
                <w:szCs w:val="17"/>
                <w:color w:val="auto"/>
              </w:rPr>
              <w:t>August 2023</w:t>
            </w:r>
          </w:p>
        </w:tc>
        <w:tc>
          <w:tcPr>
            <w:tcW w:w="150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7"/>
                <w:szCs w:val="17"/>
                <w:color w:val="auto"/>
              </w:rPr>
              <w:t>—</w:t>
            </w:r>
          </w:p>
        </w:tc>
        <w:tc>
          <w:tcPr>
            <w:tcW w:w="2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320" w:type="dxa"/>
            <w:vAlign w:val="bottom"/>
          </w:tcPr>
          <w:p>
            <w:pPr>
              <w:ind w:left="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2023</w:t>
            </w:r>
          </w:p>
        </w:tc>
        <w:tc>
          <w:tcPr>
            <w:tcW w:w="15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18"/>
        </w:trPr>
        <w:tc>
          <w:tcPr>
            <w:tcW w:w="2720" w:type="dxa"/>
            <w:vAlign w:val="bottom"/>
          </w:tcPr>
          <w:p>
            <w:pPr>
              <w:ind w:left="20"/>
              <w:spacing w:after="0"/>
              <w:rPr>
                <w:sz w:val="20"/>
                <w:szCs w:val="20"/>
                <w:color w:val="auto"/>
              </w:rPr>
            </w:pPr>
            <w:r>
              <w:rPr>
                <w:rFonts w:ascii="Arial" w:cs="Arial" w:eastAsia="Arial" w:hAnsi="Arial"/>
                <w:sz w:val="17"/>
                <w:szCs w:val="17"/>
                <w:color w:val="auto"/>
              </w:rPr>
              <w:t>Total</w:t>
            </w:r>
          </w:p>
        </w:tc>
        <w:tc>
          <w:tcPr>
            <w:tcW w:w="1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6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740"/>
        <w:spacing w:after="0" w:line="283" w:lineRule="auto"/>
        <w:rPr>
          <w:sz w:val="20"/>
          <w:szCs w:val="20"/>
          <w:color w:val="auto"/>
        </w:rPr>
      </w:pPr>
      <w:r>
        <w:rPr>
          <w:rFonts w:ascii="Arial" w:cs="Arial" w:eastAsia="Arial" w:hAnsi="Arial"/>
          <w:sz w:val="17"/>
          <w:szCs w:val="17"/>
          <w:color w:val="auto"/>
        </w:rPr>
        <w:t>During the three months ended September 30, 2023, we did not repurchase any shares under our $5.00 billion share repurchase program authorized in May 2021.</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5. Other Information</w:t>
      </w:r>
    </w:p>
    <w:p>
      <w:pPr>
        <w:spacing w:after="0" w:line="17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During the three months ended September 30, 2023, none of our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Item 6. Exhibits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a part of this Quarterly Report:</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w w:val="97"/>
              </w:rPr>
              <w:t>Exhibit</w:t>
            </w:r>
          </w:p>
        </w:tc>
        <w:tc>
          <w:tcPr>
            <w:tcW w:w="1320" w:type="dxa"/>
            <w:vAlign w:val="bottom"/>
          </w:tcPr>
          <w:p>
            <w:pPr>
              <w:spacing w:after="0"/>
              <w:rPr>
                <w:sz w:val="16"/>
                <w:szCs w:val="16"/>
                <w:color w:val="auto"/>
              </w:rPr>
            </w:pPr>
          </w:p>
        </w:tc>
        <w:tc>
          <w:tcPr>
            <w:tcW w:w="9300" w:type="dxa"/>
            <w:vAlign w:val="bottom"/>
            <w:gridSpan w:val="9"/>
          </w:tcPr>
          <w:p>
            <w:pPr>
              <w:spacing w:after="0"/>
              <w:rPr>
                <w:sz w:val="20"/>
                <w:szCs w:val="20"/>
                <w:color w:val="auto"/>
              </w:rPr>
            </w:pPr>
            <w:r>
              <w:rPr>
                <w:rFonts w:ascii="Arial" w:cs="Arial" w:eastAsia="Arial" w:hAnsi="Arial"/>
                <w:sz w:val="17"/>
                <w:szCs w:val="17"/>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3.1</w:t>
            </w:r>
          </w:p>
        </w:tc>
        <w:tc>
          <w:tcPr>
            <w:tcW w:w="1320" w:type="dxa"/>
            <w:vAlign w:val="bottom"/>
          </w:tcPr>
          <w:p>
            <w:pPr>
              <w:spacing w:after="0"/>
              <w:rPr>
                <w:sz w:val="17"/>
                <w:szCs w:val="17"/>
                <w:color w:val="auto"/>
              </w:rPr>
            </w:pPr>
          </w:p>
        </w:tc>
        <w:tc>
          <w:tcPr>
            <w:tcW w:w="9300" w:type="dxa"/>
            <w:vAlign w:val="bottom"/>
            <w:gridSpan w:val="9"/>
          </w:tcPr>
          <w:p>
            <w:pPr>
              <w:spacing w:after="0"/>
              <w:rPr>
                <w:rFonts w:ascii="Arial" w:cs="Arial" w:eastAsia="Arial" w:hAnsi="Arial"/>
                <w:sz w:val="17"/>
                <w:szCs w:val="17"/>
                <w:color w:val="0000FF"/>
              </w:rPr>
            </w:pPr>
            <w:hyperlink r:id="rId65">
              <w:r>
                <w:rPr>
                  <w:rFonts w:ascii="Arial" w:cs="Arial" w:eastAsia="Arial" w:hAnsi="Arial"/>
                  <w:sz w:val="17"/>
                  <w:szCs w:val="17"/>
                  <w:color w:val="0000FF"/>
                </w:rPr>
                <w:t>Amended Articles of Incorporation, incorporated by reference to Exhibit 3.1 to the Company's Current Report on Form 8-K</w:t>
              </w:r>
            </w:hyperlink>
          </w:p>
        </w:tc>
      </w:tr>
      <w:tr>
        <w:trPr>
          <w:trHeight w:val="148"/>
        </w:trPr>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rPr>
            </w:pPr>
            <w:hyperlink r:id="rId65">
              <w:r>
                <w:rPr>
                  <w:rFonts w:ascii="Arial" w:cs="Arial" w:eastAsia="Arial" w:hAnsi="Arial"/>
                  <w:sz w:val="17"/>
                  <w:szCs w:val="17"/>
                  <w:color w:val="0000FF"/>
                </w:rPr>
                <w:t>filed on May 4, 2022</w:t>
              </w:r>
            </w:hyperlink>
          </w:p>
        </w:tc>
        <w:tc>
          <w:tcPr>
            <w:tcW w:w="77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7"/>
                <w:szCs w:val="17"/>
                <w:color w:val="auto"/>
              </w:rPr>
              <w:t>3.2</w:t>
            </w:r>
          </w:p>
        </w:tc>
        <w:tc>
          <w:tcPr>
            <w:tcW w:w="1320" w:type="dxa"/>
            <w:vAlign w:val="bottom"/>
          </w:tcPr>
          <w:p>
            <w:pPr>
              <w:spacing w:after="0"/>
              <w:rPr>
                <w:sz w:val="24"/>
                <w:szCs w:val="24"/>
                <w:color w:val="auto"/>
              </w:rPr>
            </w:pPr>
          </w:p>
        </w:tc>
        <w:tc>
          <w:tcPr>
            <w:tcW w:w="9300" w:type="dxa"/>
            <w:vAlign w:val="bottom"/>
            <w:gridSpan w:val="9"/>
          </w:tcPr>
          <w:p>
            <w:pPr>
              <w:spacing w:after="0"/>
              <w:rPr>
                <w:rFonts w:ascii="Arial" w:cs="Arial" w:eastAsia="Arial" w:hAnsi="Arial"/>
                <w:sz w:val="17"/>
                <w:szCs w:val="17"/>
                <w:color w:val="0000FF"/>
              </w:rPr>
            </w:pPr>
            <w:hyperlink r:id="rId66">
              <w:r>
                <w:rPr>
                  <w:rFonts w:ascii="Arial" w:cs="Arial" w:eastAsia="Arial" w:hAnsi="Arial"/>
                  <w:sz w:val="17"/>
                  <w:szCs w:val="17"/>
                  <w:color w:val="0000FF"/>
                </w:rPr>
                <w:t>Bylaws, as amended, incorporated by reference to Exhibit 3.2 to the Company's Current Report on Form 8-K filed on May</w:t>
              </w:r>
            </w:hyperlink>
          </w:p>
        </w:tc>
      </w:tr>
      <w:tr>
        <w:trPr>
          <w:trHeight w:val="148"/>
        </w:trPr>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8"/>
              </w:rPr>
            </w:pPr>
            <w:hyperlink r:id="rId66">
              <w:r>
                <w:rPr>
                  <w:rFonts w:ascii="Arial" w:cs="Arial" w:eastAsia="Arial" w:hAnsi="Arial"/>
                  <w:sz w:val="17"/>
                  <w:szCs w:val="17"/>
                  <w:color w:val="0000FF"/>
                  <w:w w:val="98"/>
                </w:rPr>
                <w:t>4, 2022</w:t>
              </w:r>
            </w:hyperlink>
          </w:p>
        </w:tc>
        <w:tc>
          <w:tcPr>
            <w:tcW w:w="28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78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7"/>
                <w:szCs w:val="17"/>
                <w:color w:val="auto"/>
              </w:rPr>
              <w:t>31.1</w:t>
            </w:r>
          </w:p>
        </w:tc>
        <w:tc>
          <w:tcPr>
            <w:tcW w:w="1320" w:type="dxa"/>
            <w:vAlign w:val="bottom"/>
          </w:tcPr>
          <w:p>
            <w:pPr>
              <w:spacing w:after="0"/>
              <w:rPr>
                <w:sz w:val="24"/>
                <w:szCs w:val="24"/>
                <w:color w:val="auto"/>
              </w:rPr>
            </w:pPr>
          </w:p>
        </w:tc>
        <w:tc>
          <w:tcPr>
            <w:tcW w:w="9300" w:type="dxa"/>
            <w:vAlign w:val="bottom"/>
            <w:gridSpan w:val="9"/>
          </w:tcPr>
          <w:p>
            <w:pPr>
              <w:spacing w:after="0"/>
              <w:rPr>
                <w:sz w:val="20"/>
                <w:szCs w:val="20"/>
                <w:color w:val="auto"/>
              </w:rPr>
            </w:pPr>
            <w:r>
              <w:rPr>
                <w:rFonts w:ascii="Arial" w:cs="Arial" w:eastAsia="Arial" w:hAnsi="Arial"/>
                <w:sz w:val="17"/>
                <w:szCs w:val="17"/>
                <w:color w:val="0000FF"/>
              </w:rPr>
              <w:t>Rule 13a-14(a) Certification of David Ricks, Chair, President, and Chief Executive Officer*</w:t>
            </w:r>
          </w:p>
        </w:tc>
      </w:tr>
      <w:tr>
        <w:trPr>
          <w:trHeight w:val="20"/>
        </w:trPr>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7"/>
                <w:szCs w:val="17"/>
                <w:color w:val="auto"/>
              </w:rPr>
              <w:t>31.2</w:t>
            </w:r>
          </w:p>
        </w:tc>
        <w:tc>
          <w:tcPr>
            <w:tcW w:w="1320" w:type="dxa"/>
            <w:vAlign w:val="bottom"/>
          </w:tcPr>
          <w:p>
            <w:pPr>
              <w:spacing w:after="0"/>
              <w:rPr>
                <w:sz w:val="24"/>
                <w:szCs w:val="24"/>
                <w:color w:val="auto"/>
              </w:rPr>
            </w:pPr>
          </w:p>
        </w:tc>
        <w:tc>
          <w:tcPr>
            <w:tcW w:w="9300" w:type="dxa"/>
            <w:vAlign w:val="bottom"/>
            <w:gridSpan w:val="9"/>
          </w:tcPr>
          <w:p>
            <w:pPr>
              <w:spacing w:after="0"/>
              <w:rPr>
                <w:sz w:val="20"/>
                <w:szCs w:val="20"/>
                <w:color w:val="auto"/>
              </w:rPr>
            </w:pPr>
            <w:r>
              <w:rPr>
                <w:rFonts w:ascii="Arial" w:cs="Arial" w:eastAsia="Arial" w:hAnsi="Arial"/>
                <w:sz w:val="17"/>
                <w:szCs w:val="17"/>
                <w:color w:val="0000FF"/>
              </w:rPr>
              <w:t>Rule 13a-14(a) Certification of Anat Ashkenazi, Executive Vice President and Chief Financial Officer*</w:t>
            </w:r>
          </w:p>
        </w:tc>
      </w:tr>
      <w:tr>
        <w:trPr>
          <w:trHeight w:val="290"/>
        </w:trPr>
        <w:tc>
          <w:tcPr>
            <w:tcW w:w="520" w:type="dxa"/>
            <w:vAlign w:val="bottom"/>
          </w:tcPr>
          <w:p>
            <w:pPr>
              <w:spacing w:after="0"/>
              <w:rPr>
                <w:sz w:val="20"/>
                <w:szCs w:val="20"/>
                <w:color w:val="auto"/>
              </w:rPr>
            </w:pPr>
            <w:r>
              <w:rPr>
                <w:rFonts w:ascii="Arial" w:cs="Arial" w:eastAsia="Arial" w:hAnsi="Arial"/>
                <w:sz w:val="17"/>
                <w:szCs w:val="17"/>
                <w:color w:val="auto"/>
              </w:rPr>
              <w:t>32</w:t>
            </w:r>
          </w:p>
        </w:tc>
        <w:tc>
          <w:tcPr>
            <w:tcW w:w="132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rPr>
              <w:t>Section 1350 Certification*</w:t>
            </w:r>
          </w:p>
        </w:tc>
        <w:tc>
          <w:tcPr>
            <w:tcW w:w="5640" w:type="dxa"/>
            <w:vAlign w:val="bottom"/>
            <w:tcBorders>
              <w:top w:val="single" w:sz="8" w:color="0000FF"/>
            </w:tcBorders>
            <w:gridSpan w:val="2"/>
          </w:tcPr>
          <w:p>
            <w:pPr>
              <w:spacing w:after="0"/>
              <w:rPr>
                <w:sz w:val="24"/>
                <w:szCs w:val="24"/>
                <w:color w:val="auto"/>
              </w:rPr>
            </w:pPr>
          </w:p>
        </w:tc>
        <w:tc>
          <w:tcPr>
            <w:tcW w:w="1620" w:type="dxa"/>
            <w:vAlign w:val="bottom"/>
            <w:gridSpan w:val="3"/>
          </w:tcPr>
          <w:p>
            <w:pPr>
              <w:spacing w:after="0"/>
              <w:rPr>
                <w:sz w:val="24"/>
                <w:szCs w:val="24"/>
                <w:color w:val="auto"/>
              </w:rPr>
            </w:pPr>
          </w:p>
        </w:tc>
      </w:tr>
      <w:tr>
        <w:trPr>
          <w:trHeight w:val="329"/>
        </w:trPr>
        <w:tc>
          <w:tcPr>
            <w:tcW w:w="520" w:type="dxa"/>
            <w:vAlign w:val="bottom"/>
          </w:tcPr>
          <w:p>
            <w:pPr>
              <w:spacing w:after="0"/>
              <w:rPr>
                <w:sz w:val="20"/>
                <w:szCs w:val="20"/>
                <w:color w:val="auto"/>
              </w:rPr>
            </w:pPr>
            <w:r>
              <w:rPr>
                <w:rFonts w:ascii="Arial" w:cs="Arial" w:eastAsia="Arial" w:hAnsi="Arial"/>
                <w:sz w:val="17"/>
                <w:szCs w:val="17"/>
                <w:color w:val="auto"/>
              </w:rPr>
              <w:t>101</w:t>
            </w:r>
          </w:p>
        </w:tc>
        <w:tc>
          <w:tcPr>
            <w:tcW w:w="1320" w:type="dxa"/>
            <w:vAlign w:val="bottom"/>
          </w:tcPr>
          <w:p>
            <w:pPr>
              <w:spacing w:after="0"/>
              <w:rPr>
                <w:sz w:val="24"/>
                <w:szCs w:val="24"/>
                <w:color w:val="auto"/>
              </w:rPr>
            </w:pPr>
          </w:p>
        </w:tc>
        <w:tc>
          <w:tcPr>
            <w:tcW w:w="9300" w:type="dxa"/>
            <w:vAlign w:val="bottom"/>
            <w:gridSpan w:val="9"/>
          </w:tcPr>
          <w:p>
            <w:pPr>
              <w:spacing w:after="0"/>
              <w:rPr>
                <w:sz w:val="20"/>
                <w:szCs w:val="20"/>
                <w:color w:val="auto"/>
              </w:rPr>
            </w:pPr>
            <w:r>
              <w:rPr>
                <w:rFonts w:ascii="Arial" w:cs="Arial" w:eastAsia="Arial" w:hAnsi="Arial"/>
                <w:sz w:val="17"/>
                <w:szCs w:val="17"/>
                <w:color w:val="auto"/>
              </w:rPr>
              <w:t>Interactive Data Files (embedded within the Inline XBRL document)*</w:t>
            </w:r>
          </w:p>
        </w:tc>
      </w:tr>
      <w:tr>
        <w:trPr>
          <w:trHeight w:val="310"/>
        </w:trPr>
        <w:tc>
          <w:tcPr>
            <w:tcW w:w="520" w:type="dxa"/>
            <w:vAlign w:val="bottom"/>
          </w:tcPr>
          <w:p>
            <w:pPr>
              <w:spacing w:after="0"/>
              <w:rPr>
                <w:sz w:val="20"/>
                <w:szCs w:val="20"/>
                <w:color w:val="auto"/>
              </w:rPr>
            </w:pPr>
            <w:r>
              <w:rPr>
                <w:rFonts w:ascii="Arial" w:cs="Arial" w:eastAsia="Arial" w:hAnsi="Arial"/>
                <w:sz w:val="17"/>
                <w:szCs w:val="17"/>
                <w:color w:val="auto"/>
              </w:rPr>
              <w:t>104</w:t>
            </w:r>
          </w:p>
        </w:tc>
        <w:tc>
          <w:tcPr>
            <w:tcW w:w="1320" w:type="dxa"/>
            <w:vAlign w:val="bottom"/>
          </w:tcPr>
          <w:p>
            <w:pPr>
              <w:spacing w:after="0"/>
              <w:rPr>
                <w:sz w:val="24"/>
                <w:szCs w:val="24"/>
                <w:color w:val="auto"/>
              </w:rPr>
            </w:pPr>
          </w:p>
        </w:tc>
        <w:tc>
          <w:tcPr>
            <w:tcW w:w="9300" w:type="dxa"/>
            <w:vAlign w:val="bottom"/>
            <w:gridSpan w:val="9"/>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182"/>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303"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2"/>
          </w:tcPr>
          <w:p>
            <w:pPr>
              <w:spacing w:after="0"/>
              <w:rPr>
                <w:sz w:val="20"/>
                <w:szCs w:val="20"/>
                <w:color w:val="auto"/>
              </w:rPr>
            </w:pPr>
            <w:r>
              <w:rPr>
                <w:rFonts w:ascii="Arial" w:cs="Arial" w:eastAsia="Arial" w:hAnsi="Arial"/>
                <w:sz w:val="17"/>
                <w:szCs w:val="17"/>
                <w:color w:val="auto"/>
              </w:rPr>
              <w:t>ELI LILLY AND COMPANY</w:t>
            </w: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(Registrant)</w:t>
            </w:r>
          </w:p>
        </w:tc>
        <w:tc>
          <w:tcPr>
            <w:tcW w:w="6420" w:type="dxa"/>
            <w:vAlign w:val="bottom"/>
          </w:tcPr>
          <w:p>
            <w:pPr>
              <w:spacing w:after="0"/>
              <w:rPr>
                <w:sz w:val="20"/>
                <w:szCs w:val="20"/>
                <w:color w:val="auto"/>
              </w:rPr>
            </w:pPr>
          </w:p>
        </w:tc>
      </w:tr>
      <w:tr>
        <w:trPr>
          <w:trHeight w:val="478"/>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2180" w:type="dxa"/>
            <w:vAlign w:val="bottom"/>
          </w:tcPr>
          <w:p>
            <w:pPr>
              <w:ind w:left="120"/>
              <w:spacing w:after="0"/>
              <w:rPr>
                <w:sz w:val="20"/>
                <w:szCs w:val="20"/>
                <w:color w:val="auto"/>
              </w:rPr>
            </w:pPr>
            <w:r>
              <w:rPr>
                <w:rFonts w:ascii="Arial" w:cs="Arial" w:eastAsia="Arial" w:hAnsi="Arial"/>
                <w:sz w:val="17"/>
                <w:szCs w:val="17"/>
                <w:color w:val="auto"/>
              </w:rPr>
              <w:t>November 2, 2023</w:t>
            </w: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Anat Ashkenazi</w:t>
            </w:r>
          </w:p>
        </w:tc>
      </w:tr>
      <w:tr>
        <w:trPr>
          <w:trHeight w:val="213"/>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7"/>
                <w:szCs w:val="17"/>
                <w:color w:val="auto"/>
              </w:rPr>
              <w:t>Anat Ashkenazi</w:t>
            </w:r>
          </w:p>
        </w:tc>
      </w:tr>
      <w:tr>
        <w:trPr>
          <w:trHeight w:val="220"/>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7"/>
                <w:szCs w:val="17"/>
                <w:color w:val="auto"/>
              </w:rPr>
              <w:t>Executive Vice President and Chief Financial Officer</w:t>
            </w:r>
          </w:p>
        </w:tc>
      </w:tr>
      <w:tr>
        <w:trPr>
          <w:trHeight w:val="220"/>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2180" w:type="dxa"/>
            <w:vAlign w:val="bottom"/>
          </w:tcPr>
          <w:p>
            <w:pPr>
              <w:ind w:left="120"/>
              <w:spacing w:after="0"/>
              <w:rPr>
                <w:sz w:val="20"/>
                <w:szCs w:val="20"/>
                <w:color w:val="auto"/>
              </w:rPr>
            </w:pPr>
            <w:r>
              <w:rPr>
                <w:rFonts w:ascii="Arial" w:cs="Arial" w:eastAsia="Arial" w:hAnsi="Arial"/>
                <w:sz w:val="17"/>
                <w:szCs w:val="17"/>
                <w:color w:val="auto"/>
              </w:rPr>
              <w:t>November 2, 2023</w:t>
            </w:r>
          </w:p>
        </w:tc>
        <w:tc>
          <w:tcPr>
            <w:tcW w:w="2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Donald Zakrowski</w:t>
            </w:r>
          </w:p>
        </w:tc>
      </w:tr>
      <w:tr>
        <w:trPr>
          <w:trHeight w:val="213"/>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7"/>
                <w:szCs w:val="17"/>
                <w:color w:val="auto"/>
              </w:rPr>
              <w:t>Donald Zakrowski</w:t>
            </w:r>
          </w:p>
        </w:tc>
      </w:tr>
      <w:tr>
        <w:trPr>
          <w:trHeight w:val="220"/>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7"/>
                <w:szCs w:val="17"/>
                <w:color w:val="auto"/>
              </w:rPr>
              <w:t>Senior Vice President, Finance, and Chief Accounting Officer</w:t>
            </w:r>
          </w:p>
        </w:tc>
      </w:tr>
      <w:tr>
        <w:trPr>
          <w:trHeight w:val="827"/>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500" w:type="dxa"/>
            <w:vAlign w:val="bottom"/>
            <w:gridSpan w:val="3"/>
          </w:tcPr>
          <w:p>
            <w:pPr>
              <w:jc w:val="right"/>
              <w:ind w:right="5520"/>
              <w:spacing w:after="0"/>
              <w:rPr>
                <w:sz w:val="20"/>
                <w:szCs w:val="20"/>
                <w:color w:val="auto"/>
              </w:rPr>
            </w:pPr>
            <w:r>
              <w:rPr>
                <w:rFonts w:ascii="Arial" w:cs="Arial" w:eastAsia="Arial" w:hAnsi="Arial"/>
                <w:sz w:val="17"/>
                <w:szCs w:val="17"/>
                <w:color w:val="auto"/>
              </w:rPr>
              <w:t>49</w:t>
            </w:r>
          </w:p>
        </w:tc>
      </w:tr>
    </w:tbl>
    <w:p>
      <w:pPr>
        <w:sectPr>
          <w:pgSz w:w="11900" w:h="16838" w:orient="portrait"/>
          <w:cols w:equalWidth="0" w:num="1">
            <w:col w:w="11240"/>
          </w:cols>
          <w:pgMar w:left="320" w:top="959"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EXHIBIT 31.1 Rule 13a-14(a) Certification of David Ricks, Chair, 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David Ricks, Chair, President, and Chief Executive Officer, certify that:</w:t>
      </w:r>
    </w:p>
    <w:p>
      <w:pPr>
        <w:spacing w:after="0" w:line="166" w:lineRule="exact"/>
        <w:rPr>
          <w:sz w:val="20"/>
          <w:szCs w:val="20"/>
          <w:color w:val="auto"/>
        </w:rPr>
      </w:pPr>
    </w:p>
    <w:p>
      <w:pPr>
        <w:ind w:left="300" w:hanging="297"/>
        <w:spacing w:after="0"/>
        <w:tabs>
          <w:tab w:leader="none" w:pos="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report on Form 10-Q of Eli Lilly and Company;</w:t>
      </w:r>
    </w:p>
    <w:p>
      <w:pPr>
        <w:spacing w:after="0" w:line="166" w:lineRule="exact"/>
        <w:rPr>
          <w:rFonts w:ascii="Arial" w:cs="Arial" w:eastAsia="Arial" w:hAnsi="Arial"/>
          <w:sz w:val="17"/>
          <w:szCs w:val="17"/>
          <w:color w:val="auto"/>
        </w:rPr>
      </w:pPr>
    </w:p>
    <w:p>
      <w:pPr>
        <w:jc w:val="both"/>
        <w:ind w:left="320" w:right="80" w:hanging="317"/>
        <w:spacing w:after="0" w:line="268" w:lineRule="auto"/>
        <w:tabs>
          <w:tab w:leader="none" w:pos="3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7"/>
          <w:szCs w:val="17"/>
          <w:color w:val="auto"/>
        </w:rPr>
      </w:pPr>
    </w:p>
    <w:p>
      <w:pPr>
        <w:ind w:left="320" w:right="220" w:hanging="317"/>
        <w:spacing w:after="0" w:line="283" w:lineRule="auto"/>
        <w:tabs>
          <w:tab w:leader="none" w:pos="3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jc w:val="both"/>
        <w:ind w:left="320" w:right="120" w:hanging="317"/>
        <w:spacing w:after="0" w:line="261" w:lineRule="auto"/>
        <w:tabs>
          <w:tab w:leader="none" w:pos="3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54" w:lineRule="exact"/>
        <w:rPr>
          <w:rFonts w:ascii="Arial" w:cs="Arial" w:eastAsia="Arial" w:hAnsi="Arial"/>
          <w:sz w:val="17"/>
          <w:szCs w:val="17"/>
          <w:color w:val="auto"/>
        </w:rPr>
      </w:pPr>
    </w:p>
    <w:p>
      <w:pPr>
        <w:ind w:left="940" w:hanging="316"/>
        <w:spacing w:after="0" w:line="268" w:lineRule="auto"/>
        <w:tabs>
          <w:tab w:leader="none" w:pos="93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940" w:hanging="316"/>
        <w:spacing w:after="0" w:line="268" w:lineRule="auto"/>
        <w:tabs>
          <w:tab w:leader="none" w:pos="93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7"/>
          <w:szCs w:val="17"/>
          <w:color w:val="auto"/>
        </w:rPr>
      </w:pPr>
    </w:p>
    <w:p>
      <w:pPr>
        <w:ind w:left="940" w:right="260" w:hanging="316"/>
        <w:spacing w:after="0" w:line="268" w:lineRule="auto"/>
        <w:tabs>
          <w:tab w:leader="none" w:pos="928"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940" w:right="40" w:hanging="316"/>
        <w:spacing w:after="0" w:line="268" w:lineRule="auto"/>
        <w:tabs>
          <w:tab w:leader="none" w:pos="93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left="320" w:right="160" w:hanging="317"/>
        <w:spacing w:after="0" w:line="283" w:lineRule="auto"/>
        <w:tabs>
          <w:tab w:leader="none" w:pos="3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940" w:right="420" w:hanging="316"/>
        <w:spacing w:after="0" w:line="283" w:lineRule="auto"/>
        <w:tabs>
          <w:tab w:leader="none" w:pos="93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940" w:right="40" w:hanging="316"/>
        <w:spacing w:after="0" w:line="283" w:lineRule="auto"/>
        <w:tabs>
          <w:tab w:leader="none" w:pos="93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5800" w:type="dxa"/>
            <w:vAlign w:val="bottom"/>
          </w:tcPr>
          <w:p>
            <w:pPr>
              <w:ind w:left="20"/>
              <w:spacing w:after="0"/>
              <w:rPr>
                <w:sz w:val="20"/>
                <w:szCs w:val="20"/>
                <w:color w:val="auto"/>
              </w:rPr>
            </w:pPr>
            <w:r>
              <w:rPr>
                <w:rFonts w:ascii="Arial" w:cs="Arial" w:eastAsia="Arial" w:hAnsi="Arial"/>
                <w:sz w:val="17"/>
                <w:szCs w:val="17"/>
                <w:color w:val="auto"/>
              </w:rPr>
              <w:t>November 2, 2023</w:t>
            </w:r>
          </w:p>
        </w:tc>
      </w:tr>
      <w:tr>
        <w:trPr>
          <w:trHeight w:val="478"/>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8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/s/ David Ricks</w:t>
            </w:r>
          </w:p>
        </w:tc>
      </w:tr>
      <w:tr>
        <w:trPr>
          <w:trHeight w:val="213"/>
        </w:trPr>
        <w:tc>
          <w:tcPr>
            <w:tcW w:w="64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7"/>
                <w:szCs w:val="17"/>
                <w:color w:val="auto"/>
              </w:rPr>
              <w:t>David Ricks</w:t>
            </w:r>
          </w:p>
        </w:tc>
      </w:tr>
      <w:tr>
        <w:trPr>
          <w:trHeight w:val="220"/>
        </w:trPr>
        <w:tc>
          <w:tcPr>
            <w:tcW w:w="64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7"/>
                <w:szCs w:val="17"/>
                <w:color w:val="auto"/>
              </w:rPr>
              <w:t>Chair, President, and Chief Executive Officer</w:t>
            </w:r>
          </w:p>
        </w:tc>
      </w:tr>
    </w:tbl>
    <w:p>
      <w:pPr>
        <w:sectPr>
          <w:pgSz w:w="11900" w:h="16838" w:orient="portrait"/>
          <w:cols w:equalWidth="0" w:num="1">
            <w:col w:w="11240"/>
          </w:cols>
          <w:pgMar w:left="320" w:top="100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EXHIBIT 31.2 Rule 13a-14(a) Certification of Anat Ashkenazi, Executive Vice President and Chief Financial Officer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Anat Ashkenazi, Executive Vice President and Chief Financial Officer, certify that:</w:t>
      </w:r>
    </w:p>
    <w:p>
      <w:pPr>
        <w:spacing w:after="0" w:line="166" w:lineRule="exact"/>
        <w:rPr>
          <w:sz w:val="20"/>
          <w:szCs w:val="20"/>
          <w:color w:val="auto"/>
        </w:rPr>
      </w:pPr>
    </w:p>
    <w:p>
      <w:pPr>
        <w:ind w:left="300" w:hanging="297"/>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report on Form 10-Q of Eli Lilly and Company;</w:t>
      </w:r>
    </w:p>
    <w:p>
      <w:pPr>
        <w:spacing w:after="0" w:line="166" w:lineRule="exact"/>
        <w:rPr>
          <w:rFonts w:ascii="Arial" w:cs="Arial" w:eastAsia="Arial" w:hAnsi="Arial"/>
          <w:sz w:val="17"/>
          <w:szCs w:val="17"/>
          <w:color w:val="auto"/>
        </w:rPr>
      </w:pPr>
    </w:p>
    <w:p>
      <w:pPr>
        <w:jc w:val="both"/>
        <w:ind w:left="320" w:right="80" w:hanging="317"/>
        <w:spacing w:after="0" w:line="268" w:lineRule="auto"/>
        <w:tabs>
          <w:tab w:leader="none" w:pos="309"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7"/>
          <w:szCs w:val="17"/>
          <w:color w:val="auto"/>
        </w:rPr>
      </w:pPr>
    </w:p>
    <w:p>
      <w:pPr>
        <w:ind w:left="320" w:right="220" w:hanging="317"/>
        <w:spacing w:after="0" w:line="283" w:lineRule="auto"/>
        <w:tabs>
          <w:tab w:leader="none" w:pos="309"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jc w:val="both"/>
        <w:ind w:left="320" w:right="120" w:hanging="317"/>
        <w:spacing w:after="0" w:line="261" w:lineRule="auto"/>
        <w:tabs>
          <w:tab w:leader="none" w:pos="30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54" w:lineRule="exact"/>
        <w:rPr>
          <w:rFonts w:ascii="Arial" w:cs="Arial" w:eastAsia="Arial" w:hAnsi="Arial"/>
          <w:sz w:val="17"/>
          <w:szCs w:val="17"/>
          <w:color w:val="auto"/>
        </w:rPr>
      </w:pPr>
    </w:p>
    <w:p>
      <w:pPr>
        <w:ind w:left="940" w:hanging="316"/>
        <w:spacing w:after="0" w:line="268" w:lineRule="auto"/>
        <w:tabs>
          <w:tab w:leader="none" w:pos="93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940" w:hanging="316"/>
        <w:spacing w:after="0" w:line="268" w:lineRule="auto"/>
        <w:tabs>
          <w:tab w:leader="none" w:pos="93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7"/>
          <w:szCs w:val="17"/>
          <w:color w:val="auto"/>
        </w:rPr>
      </w:pPr>
    </w:p>
    <w:p>
      <w:pPr>
        <w:ind w:left="940" w:right="260" w:hanging="316"/>
        <w:spacing w:after="0" w:line="268" w:lineRule="auto"/>
        <w:tabs>
          <w:tab w:leader="none" w:pos="928"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940" w:right="40" w:hanging="316"/>
        <w:spacing w:after="0" w:line="268" w:lineRule="auto"/>
        <w:tabs>
          <w:tab w:leader="none" w:pos="93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left="320" w:right="160" w:hanging="317"/>
        <w:spacing w:after="0" w:line="283" w:lineRule="auto"/>
        <w:tabs>
          <w:tab w:leader="none" w:pos="30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940" w:right="420" w:hanging="316"/>
        <w:spacing w:after="0" w:line="283" w:lineRule="auto"/>
        <w:tabs>
          <w:tab w:leader="none" w:pos="93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940" w:right="40" w:hanging="316"/>
        <w:spacing w:after="0" w:line="283" w:lineRule="auto"/>
        <w:tabs>
          <w:tab w:leader="none" w:pos="93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5800" w:type="dxa"/>
            <w:vAlign w:val="bottom"/>
          </w:tcPr>
          <w:p>
            <w:pPr>
              <w:ind w:left="20"/>
              <w:spacing w:after="0"/>
              <w:rPr>
                <w:sz w:val="20"/>
                <w:szCs w:val="20"/>
                <w:color w:val="auto"/>
              </w:rPr>
            </w:pPr>
            <w:r>
              <w:rPr>
                <w:rFonts w:ascii="Arial" w:cs="Arial" w:eastAsia="Arial" w:hAnsi="Arial"/>
                <w:sz w:val="17"/>
                <w:szCs w:val="17"/>
                <w:color w:val="auto"/>
              </w:rPr>
              <w:t>November 2, 2023</w:t>
            </w:r>
          </w:p>
        </w:tc>
      </w:tr>
      <w:tr>
        <w:trPr>
          <w:trHeight w:val="478"/>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8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/s/ Anat Ashkenazi</w:t>
            </w:r>
          </w:p>
        </w:tc>
      </w:tr>
      <w:tr>
        <w:trPr>
          <w:trHeight w:val="213"/>
        </w:trPr>
        <w:tc>
          <w:tcPr>
            <w:tcW w:w="64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7"/>
                <w:szCs w:val="17"/>
                <w:color w:val="auto"/>
              </w:rPr>
              <w:t>Anat Ashkenazi</w:t>
            </w:r>
          </w:p>
        </w:tc>
      </w:tr>
      <w:tr>
        <w:trPr>
          <w:trHeight w:val="220"/>
        </w:trPr>
        <w:tc>
          <w:tcPr>
            <w:tcW w:w="64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7"/>
                <w:szCs w:val="17"/>
                <w:color w:val="auto"/>
              </w:rPr>
              <w:t>Executive Vice President and Chief Financial Officer</w:t>
            </w:r>
          </w:p>
        </w:tc>
      </w:tr>
    </w:tbl>
    <w:p>
      <w:pPr>
        <w:sectPr>
          <w:pgSz w:w="11900" w:h="16838" w:orient="portrait"/>
          <w:cols w:equalWidth="0" w:num="1">
            <w:col w:w="11240"/>
          </w:cols>
          <w:pgMar w:left="320" w:top="1099"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EXHIBIT 32 Section 1350 Certification</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The Quarterly Report on Form 10-Q for the quarter ended September 30,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5040" w:type="dxa"/>
            <w:vAlign w:val="bottom"/>
          </w:tcPr>
          <w:p>
            <w:pPr>
              <w:ind w:left="120"/>
              <w:spacing w:after="0"/>
              <w:rPr>
                <w:sz w:val="20"/>
                <w:szCs w:val="20"/>
                <w:color w:val="auto"/>
              </w:rPr>
            </w:pPr>
            <w:r>
              <w:rPr>
                <w:rFonts w:ascii="Arial" w:cs="Arial" w:eastAsia="Arial" w:hAnsi="Arial"/>
                <w:sz w:val="17"/>
                <w:szCs w:val="17"/>
                <w:color w:val="auto"/>
              </w:rPr>
              <w:t>November 2, 2023</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David Ricks</w:t>
            </w:r>
          </w:p>
        </w:tc>
      </w:tr>
      <w:tr>
        <w:trPr>
          <w:trHeight w:val="213"/>
        </w:trPr>
        <w:tc>
          <w:tcPr>
            <w:tcW w:w="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7"/>
                <w:szCs w:val="17"/>
                <w:color w:val="auto"/>
              </w:rPr>
              <w:t>David Ricks</w:t>
            </w:r>
          </w:p>
        </w:tc>
      </w:tr>
      <w:tr>
        <w:trPr>
          <w:trHeight w:val="220"/>
        </w:trPr>
        <w:tc>
          <w:tcPr>
            <w:tcW w:w="5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7"/>
                <w:szCs w:val="17"/>
                <w:color w:val="auto"/>
              </w:rPr>
              <w:t>Chair, President, and Chief Executive Officer</w:t>
            </w:r>
          </w:p>
        </w:tc>
      </w:tr>
      <w:tr>
        <w:trPr>
          <w:trHeight w:val="930"/>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5040" w:type="dxa"/>
            <w:vAlign w:val="bottom"/>
          </w:tcPr>
          <w:p>
            <w:pPr>
              <w:ind w:left="120"/>
              <w:spacing w:after="0"/>
              <w:rPr>
                <w:sz w:val="20"/>
                <w:szCs w:val="20"/>
                <w:color w:val="auto"/>
              </w:rPr>
            </w:pPr>
            <w:r>
              <w:rPr>
                <w:rFonts w:ascii="Arial" w:cs="Arial" w:eastAsia="Arial" w:hAnsi="Arial"/>
                <w:sz w:val="17"/>
                <w:szCs w:val="17"/>
                <w:color w:val="auto"/>
              </w:rPr>
              <w:t>November 2, 2023</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Anat Ashkenazi</w:t>
            </w:r>
          </w:p>
        </w:tc>
      </w:tr>
      <w:tr>
        <w:trPr>
          <w:trHeight w:val="213"/>
        </w:trPr>
        <w:tc>
          <w:tcPr>
            <w:tcW w:w="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7"/>
                <w:szCs w:val="17"/>
                <w:color w:val="auto"/>
              </w:rPr>
              <w:t>Anat Ashkenazi</w:t>
            </w:r>
          </w:p>
        </w:tc>
      </w:tr>
      <w:tr>
        <w:trPr>
          <w:trHeight w:val="220"/>
        </w:trPr>
        <w:tc>
          <w:tcPr>
            <w:tcW w:w="5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3"/>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15" Type="http://schemas.openxmlformats.org/officeDocument/2006/relationships/hyperlink" Target="https://www.sec.gov/Archives/edgar/data/59478/000005947823000082/lly-20221231.htm" TargetMode="External"/><Relationship Id="rId65" Type="http://schemas.openxmlformats.org/officeDocument/2006/relationships/hyperlink" Target="https://www.sec.gov/Archives/edgar/data/59478/000005947822000138/articlesofincorporationlly.htm" TargetMode="External"/><Relationship Id="rId66"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2023-11-02T10:31:58Z</dcterms:created>
  <dcterms:modified xsi:type="dcterms:W3CDTF">2023-11-02T10:31:58Z</dcterms:modified>
</cp:coreProperties>
</file>