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jc w:val="both"/>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ectPr>
          <w:pgSz w:w="11900" w:h="16838" w:orient="portrait"/>
          <w:cols w:equalWidth="0" w:num="1">
            <w:col w:w="11420"/>
          </w:cols>
          <w:pgMar w:left="240" w:top="1135" w:right="239" w:bottom="1440" w:gutter="0" w:footer="0" w:header="0"/>
        </w:sectPr>
      </w:pPr>
    </w:p>
    <w:p>
      <w:pPr>
        <w:spacing w:after="0" w:line="102" w:lineRule="exact"/>
        <w:rPr>
          <w:sz w:val="24"/>
          <w:szCs w:val="24"/>
          <w:color w:val="auto"/>
        </w:rPr>
      </w:pPr>
    </w:p>
    <w:p>
      <w:pPr>
        <w:ind w:left="70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9240" w:space="720"/>
            <w:col w:w="1460"/>
          </w:cols>
          <w:pgMar w:left="240" w:top="1135"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74" w:lineRule="exact"/>
        <w:rPr>
          <w:sz w:val="24"/>
          <w:szCs w:val="24"/>
          <w:color w:val="auto"/>
        </w:rPr>
      </w:pPr>
    </w:p>
    <w:p>
      <w:pPr>
        <w:sectPr>
          <w:pgSz w:w="11900" w:h="16838" w:orient="portrait"/>
          <w:cols w:equalWidth="0" w:num="3">
            <w:col w:w="2700" w:space="180"/>
            <w:col w:w="5500" w:space="720"/>
            <w:col w:w="2320"/>
          </w:cols>
          <w:pgMar w:left="240" w:top="1135" w:right="239" w:bottom="1440" w:gutter="0" w:footer="0" w:header="0"/>
          <w:type w:val="continuous"/>
        </w:sectPr>
      </w:pPr>
    </w:p>
    <w:p>
      <w:pPr>
        <w:ind w:left="912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1135" w:right="239" w:bottom="1440" w:gutter="0" w:footer="0" w:header="0"/>
          <w:type w:val="continuous"/>
        </w:sectPr>
      </w:pPr>
    </w:p>
    <w:p>
      <w:pPr>
        <w:spacing w:after="0" w:line="14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October 23, 2017:</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1,101,094,711</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40" w:type="dxa"/>
            <w:vAlign w:val="bottom"/>
            <w:gridSpan w:val="1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w:t>
              </w:r>
            </w:hyperlink>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1800" w:type="dxa"/>
            <w:vAlign w:val="bottom"/>
            <w:gridSpan w:val="5"/>
          </w:tcPr>
          <w:p>
            <w:pPr>
              <w:spacing w:after="0"/>
              <w:rPr>
                <w:sz w:val="21"/>
                <w:szCs w:val="21"/>
                <w:color w:val="auto"/>
              </w:rPr>
            </w:pPr>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730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35</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35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Revenue</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Financial Expectations</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1A.</w:t>
              </w:r>
            </w:hyperlink>
          </w:p>
        </w:tc>
        <w:tc>
          <w:tcPr>
            <w:tcW w:w="730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730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51</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1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2016, particularly under the captions “Forward-Looking Statements” and “Risk Factors.”</w:t>
      </w:r>
    </w:p>
    <w:p>
      <w:pPr>
        <w:spacing w:after="0" w:line="94"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4"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8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560" w:hanging="535"/>
        <w:spacing w:after="0"/>
        <w:tabs>
          <w:tab w:leader="none" w:pos="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5,658.0   </w:t>
      </w:r>
      <w:r>
        <w:rPr>
          <w:rFonts w:ascii="Arial" w:cs="Arial" w:eastAsia="Arial" w:hAnsi="Arial"/>
          <w:sz w:val="18"/>
          <w:szCs w:val="18"/>
          <w:color w:val="auto"/>
        </w:rPr>
        <w:t xml:space="preserve">$5,191.7   </w:t>
      </w:r>
      <w:r>
        <w:rPr>
          <w:rFonts w:ascii="Arial" w:cs="Arial" w:eastAsia="Arial" w:hAnsi="Arial"/>
          <w:sz w:val="18"/>
          <w:szCs w:val="18"/>
          <w:b w:val="1"/>
          <w:bCs w:val="1"/>
          <w:color w:val="auto"/>
        </w:rPr>
        <w:t>$   16,710.6</w:t>
      </w:r>
      <w:r>
        <w:rPr>
          <w:rFonts w:ascii="Arial" w:cs="Arial" w:eastAsia="Arial" w:hAnsi="Arial"/>
          <w:sz w:val="18"/>
          <w:szCs w:val="18"/>
          <w:color w:val="auto"/>
        </w:rPr>
        <w:t xml:space="preserve">   $    15,461.6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1,566.1</w:t>
            </w:r>
          </w:p>
        </w:tc>
        <w:tc>
          <w:tcPr>
            <w:tcW w:w="4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1,400.9</w:t>
            </w:r>
          </w:p>
        </w:tc>
        <w:tc>
          <w:tcPr>
            <w:tcW w:w="3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4,445.4</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4,188.9</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1,319.4</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1,236.4</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3,808.6</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3,793.3</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1,555.5</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1,565.4</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4,807.6</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4,661.9</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205.0</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1,062.6</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406.5</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670.4</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234.9</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w:t>
            </w:r>
          </w:p>
        </w:tc>
      </w:tr>
      <w:tr>
        <w:trPr>
          <w:trHeight w:val="250"/>
        </w:trPr>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5,066.4</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4,221.0</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14,797.3</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12,979.6</w:t>
            </w:r>
          </w:p>
        </w:tc>
      </w:tr>
      <w:tr>
        <w:trPr>
          <w:trHeight w:val="243"/>
        </w:trPr>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591.6</w:t>
            </w:r>
          </w:p>
        </w:tc>
        <w:tc>
          <w:tcPr>
            <w:tcW w:w="4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970.7</w:t>
            </w: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1,913.3</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2,482.0</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36.0</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192.7</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460.5</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516.2</w:t>
            </w:r>
          </w:p>
        </w:tc>
      </w:tr>
      <w:tr>
        <w:trPr>
          <w:trHeight w:val="264"/>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555.6</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778.0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1,452.8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1,965.8</w:t>
            </w:r>
          </w:p>
        </w:tc>
      </w:tr>
    </w:tbl>
    <w:p>
      <w:pPr>
        <w:spacing w:after="0" w:line="200" w:lineRule="exact"/>
        <w:rPr>
          <w:sz w:val="20"/>
          <w:szCs w:val="20"/>
          <w:color w:val="auto"/>
        </w:rPr>
      </w:pPr>
    </w:p>
    <w:p>
      <w:pPr>
        <w:sectPr>
          <w:pgSz w:w="11900" w:h="16838" w:orient="portrait"/>
          <w:cols w:equalWidth="0" w:num="2">
            <w:col w:w="5520" w:space="500"/>
            <w:col w:w="5400"/>
          </w:cols>
          <w:pgMar w:left="240" w:top="595" w:right="2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0.53</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77"/>
        </w:trPr>
        <w:tc>
          <w:tcPr>
            <w:tcW w:w="5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0.53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0.73</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0"/>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8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3"/>
        </w:trPr>
        <w:tc>
          <w:tcPr>
            <w:tcW w:w="518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1,053.4</w:t>
            </w:r>
          </w:p>
        </w:tc>
        <w:tc>
          <w:tcPr>
            <w:tcW w:w="4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1,057.7</w:t>
            </w:r>
          </w:p>
        </w:tc>
        <w:tc>
          <w:tcPr>
            <w:tcW w:w="4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1,054.8</w:t>
            </w:r>
          </w:p>
        </w:tc>
        <w:tc>
          <w:tcPr>
            <w:tcW w:w="4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1,058.4</w:t>
            </w:r>
          </w:p>
        </w:tc>
      </w:tr>
      <w:tr>
        <w:trPr>
          <w:trHeight w:val="277"/>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1,056.0</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1,060.8</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1,057.0</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1,061.1</w:t>
            </w:r>
          </w:p>
        </w:tc>
      </w:tr>
      <w:tr>
        <w:trPr>
          <w:trHeight w:val="324"/>
        </w:trPr>
        <w:tc>
          <w:tcPr>
            <w:tcW w:w="5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365"/>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8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459"/>
        </w:trPr>
        <w:tc>
          <w:tcPr>
            <w:tcW w:w="518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9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555.6</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778.0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1,452.8</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1,965.8</w:t>
            </w:r>
          </w:p>
        </w:tc>
      </w:tr>
      <w:tr>
        <w:trPr>
          <w:trHeight w:val="270"/>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Other comprehensive income, net of tax (Note 11)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167.7</w:t>
            </w:r>
          </w:p>
        </w:tc>
        <w:tc>
          <w:tcPr>
            <w:tcW w:w="5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113.5</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651.2</w:t>
            </w:r>
          </w:p>
        </w:tc>
        <w:tc>
          <w:tcPr>
            <w:tcW w:w="5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323.0</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723.3</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891.5</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2,104.0</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2,288.8</w:t>
            </w:r>
          </w:p>
        </w:tc>
      </w:tr>
    </w:tbl>
    <w:p>
      <w:pPr>
        <w:spacing w:after="0" w:line="167" w:lineRule="exact"/>
        <w:rPr>
          <w:sz w:val="20"/>
          <w:szCs w:val="20"/>
          <w:color w:val="auto"/>
        </w:rPr>
      </w:pPr>
    </w:p>
    <w:p>
      <w:pPr>
        <w:jc w:val="both"/>
        <w:ind w:left="180" w:right="300" w:hanging="172"/>
        <w:spacing w:after="0" w:line="230"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Other comprehensive income (loss) for the three and nine months ended September 30, 2017 consisted of $165.5 million and $664.6 million of other comprehensive income attributable to controlling interest, respectively, and $2.2 million and $(13.4) million of other comprehensive income (loss) attributable to non-controlling interest, respectively. Other comprehensive income (loss) for the three and nine months ended September 30, 2016 attributable to non-controlling interest is immaterial.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3,724.3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4,582.1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3,218.8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1,456.5</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$42.1 (2017)</w:t>
            </w:r>
            <w:r>
              <w:rPr>
                <w:rFonts w:ascii="Arial" w:cs="Arial" w:eastAsia="Arial" w:hAnsi="Arial"/>
                <w:sz w:val="18"/>
                <w:szCs w:val="18"/>
                <w:color w:val="auto"/>
              </w:rPr>
              <w:t xml:space="preserve"> and $40.3 (2016)</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4,401.3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4,029.4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613.2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736.9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4,406.9</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3,561.9</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1,063.9</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17,428.4</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15,101.4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6,148.7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5,207.5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4,365.6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3,972.7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4,271.6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4,357.9</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Sundry</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2,197.6</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1,913.8</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16,983.5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15,451.9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17,730.7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16,777.6</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(9,132.2)</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(8,525.0)</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8,598.5</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8,252.6</w:t>
            </w:r>
          </w:p>
        </w:tc>
      </w:tr>
      <w:tr>
        <w:trPr>
          <w:trHeight w:val="27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43,010.4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38,805.9</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3,538.1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1,937.4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1,200.1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1,349.3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821.1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896.9</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4,332.7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3,914.9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414.4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2,360.1</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2,220.9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12,666.5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10,986.6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9,926.6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8,367.8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2,458.1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2,453.9</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710.0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688.9</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2,288.6</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2,228.2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15,383.3</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13,738.8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10)</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Eli Lilly and Company Shareholders’ Equity (Note 7)</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688.5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5,754.7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5,640.6</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16,145.5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16,046.3</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18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(4,609.4)</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(5,274.0)</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(75.8)</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14,890.3</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14,007.7</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70.3</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14,960.6</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14,080.5</w:t>
            </w:r>
          </w:p>
        </w:tc>
      </w:tr>
      <w:tr>
        <w:trPr>
          <w:trHeight w:val="277"/>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43,010.4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38,805.9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54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543"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ectPr>
          <w:pgSz w:w="11900" w:h="16838" w:orient="portrait"/>
          <w:cols w:equalWidth="0" w:num="1">
            <w:col w:w="11400"/>
          </w:cols>
          <w:pgMar w:left="240" w:top="576" w:right="259" w:bottom="1440" w:gutter="0" w:footer="0" w:header="0"/>
        </w:sectPr>
      </w:pPr>
    </w:p>
    <w:p>
      <w:pPr>
        <w:spacing w:after="0" w:line="10"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Adjustments to Reconcile Net Income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180" w:right="1360"/>
        <w:spacing w:after="0" w:line="308" w:lineRule="auto"/>
        <w:rPr>
          <w:sz w:val="20"/>
          <w:szCs w:val="20"/>
          <w:color w:val="auto"/>
        </w:rPr>
      </w:pPr>
      <w:r>
        <w:rPr>
          <w:rFonts w:ascii="Arial" w:cs="Arial" w:eastAsia="Arial" w:hAnsi="Arial"/>
          <w:sz w:val="18"/>
          <w:szCs w:val="18"/>
          <w:color w:val="auto"/>
        </w:rPr>
        <w:t>Other changes in operating assets and liabilities, net of acquisitions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 (Note 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January 1</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at September 30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September 30,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526"/>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1,452.8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1,965.8</w:t>
            </w:r>
          </w:p>
        </w:tc>
      </w:tr>
      <w:tr>
        <w:trPr>
          <w:trHeight w:val="540"/>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1,155.4</w:t>
            </w:r>
          </w:p>
        </w:tc>
        <w:tc>
          <w:tcPr>
            <w:tcW w:w="500" w:type="dxa"/>
            <w:vAlign w:val="bottom"/>
          </w:tcPr>
          <w:p>
            <w:pPr>
              <w:spacing w:after="0"/>
              <w:rPr>
                <w:sz w:val="24"/>
                <w:szCs w:val="24"/>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1,152.0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151.7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350.8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209.1</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188.5</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1,062.6</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(525.2)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(1,110.8)</w:t>
            </w:r>
          </w:p>
        </w:tc>
      </w:tr>
      <w:tr>
        <w:trPr>
          <w:trHeight w:val="277"/>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365.7</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298.2</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3,872.1</w:t>
            </w:r>
          </w:p>
        </w:tc>
        <w:tc>
          <w:tcPr>
            <w:tcW w:w="5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2,844.5</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(633.3)</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(627.2)</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2,320.2</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1,245.9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(2,973.8)</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(425.7)</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1,686.9</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1,606.8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(3,739.6)</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(3,640.7)</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(882.1)</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(1,036.8)</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(178.0)</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(5,436.5)</w:t>
            </w: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(1,961.0)</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(1,643.8)</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(1,617.4)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1,226.8</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2,232.0</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1,206.6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(630.6)</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(199.9)</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(300.1)</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(299.6)</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684.9</w:t>
            </w: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(945.0)</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21.7</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r>
      <w:tr>
        <w:trPr>
          <w:trHeight w:val="527"/>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(857.8)</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4,582.1</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3,666.4</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3,724.3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3,489.0</w:t>
            </w:r>
          </w:p>
        </w:tc>
      </w:tr>
      <w:tr>
        <w:trPr>
          <w:trHeight w:val="34"/>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ectPr>
          <w:pgSz w:w="11900" w:h="16838" w:orient="portrait"/>
          <w:cols w:equalWidth="0" w:num="2">
            <w:col w:w="6900" w:space="720"/>
            <w:col w:w="3780"/>
          </w:cols>
          <w:pgMar w:left="240" w:top="576" w:right="2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2016. We issue our financial statements by filing with the Securities and Exchange Commission and have evaluated subsequent events up to the time of the filing.</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Certain reclassifications have been made to prior periods in the consolidated condensed financial statements and accompanying notes to conform with the current presentation. These reclassifications include $110.4 million that increased net cash provided by operating activities and increased net cash used for financing activities on the consolidated condensed statements of cash flows as a result of our adoption in the fourth quarter of 2016 of Accounting Standards Update 2016-09, </w:t>
      </w:r>
      <w:r>
        <w:rPr>
          <w:rFonts w:ascii="Arial" w:cs="Arial" w:eastAsia="Arial" w:hAnsi="Arial"/>
          <w:sz w:val="18"/>
          <w:szCs w:val="18"/>
          <w:i w:val="1"/>
          <w:iCs w:val="1"/>
          <w:color w:val="auto"/>
        </w:rPr>
        <w:t xml:space="preserve">Compensation - Stock Compensation: Improvements to Employee Share-Based Payment Accounting </w:t>
      </w:r>
      <w:r>
        <w:rPr>
          <w:rFonts w:ascii="Arial" w:cs="Arial" w:eastAsia="Arial" w:hAnsi="Arial"/>
          <w:sz w:val="18"/>
          <w:szCs w:val="18"/>
          <w:color w:val="auto"/>
        </w:rPr>
        <w:t>as discussed in our Annual Report on Form 10-K for the year ended December 31, 2016.</w:t>
      </w:r>
    </w:p>
    <w:p>
      <w:pPr>
        <w:spacing w:after="0" w:line="9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7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provides a brief description of accounting standards that have not yet been adopted and could have a material effect on our financial statements:</w:t>
      </w:r>
    </w:p>
    <w:p>
      <w:pPr>
        <w:spacing w:after="0" w:line="130"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Effect on the financial statements or other</w:t>
      </w:r>
    </w:p>
    <w:p>
      <w:pPr>
        <w:spacing w:after="0" w:line="19" w:lineRule="exact"/>
        <w:rPr>
          <w:sz w:val="20"/>
          <w:szCs w:val="20"/>
          <w:color w:val="auto"/>
        </w:rPr>
      </w:pPr>
    </w:p>
    <w:p>
      <w:pPr>
        <w:ind w:left="40"/>
        <w:spacing w:after="0"/>
        <w:tabs>
          <w:tab w:leader="none" w:pos="2080" w:val="left"/>
          <w:tab w:leader="none" w:pos="5740" w:val="left"/>
          <w:tab w:leader="none" w:pos="790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545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545330"/>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p>
      <w:pPr>
        <w:spacing w:after="0" w:line="59"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8"/>
          <w:szCs w:val="18"/>
          <w:color w:val="auto"/>
        </w:rPr>
        <w:t>This standard will replace existing revenue</w:t>
      </w:r>
    </w:p>
    <w:p>
      <w:pPr>
        <w:ind w:left="40"/>
        <w:spacing w:after="0"/>
        <w:tabs>
          <w:tab w:leader="none" w:pos="2080" w:val="left"/>
        </w:tabs>
        <w:rPr>
          <w:sz w:val="20"/>
          <w:szCs w:val="20"/>
          <w:color w:val="auto"/>
        </w:rPr>
      </w:pPr>
      <w:r>
        <w:rPr>
          <w:rFonts w:ascii="Arial" w:cs="Arial" w:eastAsia="Arial" w:hAnsi="Arial"/>
          <w:sz w:val="18"/>
          <w:szCs w:val="18"/>
          <w:color w:val="auto"/>
        </w:rPr>
        <w:t>Update 2014-09 and</w:t>
      </w:r>
      <w:r>
        <w:rPr>
          <w:sz w:val="20"/>
          <w:szCs w:val="20"/>
          <w:color w:val="auto"/>
        </w:rPr>
        <w:tab/>
      </w:r>
      <w:r>
        <w:rPr>
          <w:rFonts w:ascii="Arial" w:cs="Arial" w:eastAsia="Arial" w:hAnsi="Arial"/>
          <w:sz w:val="17"/>
          <w:szCs w:val="17"/>
          <w:color w:val="auto"/>
        </w:rPr>
        <w:t>recognition standards and will require</w:t>
      </w:r>
    </w:p>
    <w:p>
      <w:pPr>
        <w:ind w:left="40"/>
        <w:spacing w:after="0" w:line="235" w:lineRule="auto"/>
        <w:tabs>
          <w:tab w:leader="none" w:pos="2080" w:val="left"/>
        </w:tabs>
        <w:rPr>
          <w:sz w:val="20"/>
          <w:szCs w:val="20"/>
          <w:color w:val="auto"/>
        </w:rPr>
      </w:pPr>
      <w:r>
        <w:rPr>
          <w:rFonts w:ascii="Arial" w:cs="Arial" w:eastAsia="Arial" w:hAnsi="Arial"/>
          <w:sz w:val="18"/>
          <w:szCs w:val="18"/>
          <w:color w:val="auto"/>
        </w:rPr>
        <w:t>various other related</w:t>
      </w:r>
      <w:r>
        <w:rPr>
          <w:sz w:val="20"/>
          <w:szCs w:val="20"/>
          <w:color w:val="auto"/>
        </w:rPr>
        <w:tab/>
      </w:r>
      <w:r>
        <w:rPr>
          <w:rFonts w:ascii="Arial" w:cs="Arial" w:eastAsia="Arial" w:hAnsi="Arial"/>
          <w:sz w:val="18"/>
          <w:szCs w:val="18"/>
          <w:color w:val="auto"/>
        </w:rPr>
        <w:t>entities to recognize revenue to depict the</w:t>
      </w:r>
    </w:p>
    <w:p>
      <w:pPr>
        <w:ind w:left="40"/>
        <w:spacing w:after="0"/>
        <w:tabs>
          <w:tab w:leader="none" w:pos="2080" w:val="left"/>
        </w:tabs>
        <w:rPr>
          <w:sz w:val="20"/>
          <w:szCs w:val="20"/>
          <w:color w:val="auto"/>
        </w:rPr>
      </w:pPr>
      <w:r>
        <w:rPr>
          <w:rFonts w:ascii="Arial" w:cs="Arial" w:eastAsia="Arial" w:hAnsi="Arial"/>
          <w:sz w:val="18"/>
          <w:szCs w:val="18"/>
          <w:color w:val="auto"/>
        </w:rPr>
        <w:t xml:space="preserve">updates, </w:t>
      </w:r>
      <w:r>
        <w:rPr>
          <w:rFonts w:ascii="Arial" w:cs="Arial" w:eastAsia="Arial" w:hAnsi="Arial"/>
          <w:sz w:val="18"/>
          <w:szCs w:val="18"/>
          <w:i w:val="1"/>
          <w:iCs w:val="1"/>
          <w:color w:val="auto"/>
        </w:rPr>
        <w:t>Revenue from</w:t>
      </w:r>
      <w:r>
        <w:rPr>
          <w:sz w:val="20"/>
          <w:szCs w:val="20"/>
          <w:color w:val="auto"/>
        </w:rPr>
        <w:tab/>
      </w:r>
      <w:r>
        <w:rPr>
          <w:rFonts w:ascii="Arial" w:cs="Arial" w:eastAsia="Arial" w:hAnsi="Arial"/>
          <w:sz w:val="17"/>
          <w:szCs w:val="17"/>
          <w:color w:val="auto"/>
        </w:rPr>
        <w:t>transfer of promised goods or services to</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Contracts with</w:t>
      </w:r>
      <w:r>
        <w:rPr>
          <w:sz w:val="20"/>
          <w:szCs w:val="20"/>
          <w:color w:val="auto"/>
        </w:rPr>
        <w:tab/>
      </w:r>
      <w:r>
        <w:rPr>
          <w:rFonts w:ascii="Arial" w:cs="Arial" w:eastAsia="Arial" w:hAnsi="Arial"/>
          <w:sz w:val="17"/>
          <w:szCs w:val="17"/>
          <w:color w:val="auto"/>
        </w:rPr>
        <w:t>customers in an amount that reflects the</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Customers</w:t>
      </w:r>
      <w:r>
        <w:rPr>
          <w:sz w:val="20"/>
          <w:szCs w:val="20"/>
          <w:color w:val="auto"/>
        </w:rPr>
        <w:tab/>
      </w:r>
      <w:r>
        <w:rPr>
          <w:rFonts w:ascii="Arial" w:cs="Arial" w:eastAsia="Arial" w:hAnsi="Arial"/>
          <w:sz w:val="18"/>
          <w:szCs w:val="18"/>
          <w:color w:val="auto"/>
        </w:rPr>
        <w:t>consideration to which the entity expects to</w:t>
      </w:r>
    </w:p>
    <w:p>
      <w:pPr>
        <w:ind w:left="2100"/>
        <w:spacing w:after="0" w:line="236" w:lineRule="auto"/>
        <w:rPr>
          <w:sz w:val="20"/>
          <w:szCs w:val="20"/>
          <w:color w:val="auto"/>
        </w:rPr>
      </w:pPr>
      <w:r>
        <w:rPr>
          <w:rFonts w:ascii="Arial" w:cs="Arial" w:eastAsia="Arial" w:hAnsi="Arial"/>
          <w:sz w:val="18"/>
          <w:szCs w:val="18"/>
          <w:color w:val="auto"/>
        </w:rPr>
        <w:t>be entitled in exchange for those goods or services. An entity can apply the new revenue standard retrospectively to each prior reporting period presented or with the cumulative effect of initially applying the standard recognized at the date of initial application in retained earnings. We plan to use the latter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ind w:left="40"/>
        <w:spacing w:after="0"/>
        <w:tabs>
          <w:tab w:leader="none" w:pos="2080" w:val="left"/>
        </w:tabs>
        <w:rPr>
          <w:sz w:val="20"/>
          <w:szCs w:val="20"/>
          <w:color w:val="auto"/>
        </w:rPr>
      </w:pPr>
      <w:r>
        <w:rPr>
          <w:rFonts w:ascii="Arial" w:cs="Arial" w:eastAsia="Arial" w:hAnsi="Arial"/>
          <w:sz w:val="18"/>
          <w:szCs w:val="18"/>
          <w:color w:val="auto"/>
        </w:rPr>
        <w:t>Update 2016-01,</w:t>
      </w:r>
      <w:r>
        <w:rPr>
          <w:sz w:val="20"/>
          <w:szCs w:val="20"/>
          <w:color w:val="auto"/>
        </w:rPr>
        <w:tab/>
      </w:r>
      <w:r>
        <w:rPr>
          <w:rFonts w:ascii="Arial" w:cs="Arial" w:eastAsia="Arial" w:hAnsi="Arial"/>
          <w:sz w:val="17"/>
          <w:szCs w:val="17"/>
          <w:color w:val="auto"/>
        </w:rPr>
        <w:t>recognize changes in the fair value of</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Financial Instruments -</w:t>
      </w:r>
      <w:r>
        <w:rPr>
          <w:sz w:val="20"/>
          <w:szCs w:val="20"/>
          <w:color w:val="auto"/>
        </w:rPr>
        <w:tab/>
      </w:r>
      <w:r>
        <w:rPr>
          <w:rFonts w:ascii="Arial" w:cs="Arial" w:eastAsia="Arial" w:hAnsi="Arial"/>
          <w:sz w:val="17"/>
          <w:szCs w:val="17"/>
          <w:color w:val="auto"/>
        </w:rPr>
        <w:t>equity investments with readily</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Overall: Recognition</w:t>
      </w:r>
      <w:r>
        <w:rPr>
          <w:sz w:val="20"/>
          <w:szCs w:val="20"/>
          <w:color w:val="auto"/>
        </w:rPr>
        <w:tab/>
      </w:r>
      <w:r>
        <w:rPr>
          <w:rFonts w:ascii="Arial" w:cs="Arial" w:eastAsia="Arial" w:hAnsi="Arial"/>
          <w:sz w:val="18"/>
          <w:szCs w:val="18"/>
          <w:color w:val="auto"/>
        </w:rPr>
        <w:t>determinable fair values in net income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and Measurement of</w:t>
      </w:r>
      <w:r>
        <w:rPr>
          <w:sz w:val="20"/>
          <w:szCs w:val="20"/>
          <w:color w:val="auto"/>
        </w:rPr>
        <w:tab/>
      </w:r>
      <w:r>
        <w:rPr>
          <w:rFonts w:ascii="Arial" w:cs="Arial" w:eastAsia="Arial" w:hAnsi="Arial"/>
          <w:sz w:val="17"/>
          <w:szCs w:val="17"/>
          <w:color w:val="auto"/>
        </w:rPr>
        <w:t>(except for investments accounted for</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Financial Assets and</w:t>
      </w:r>
      <w:r>
        <w:rPr>
          <w:sz w:val="20"/>
          <w:szCs w:val="20"/>
          <w:color w:val="auto"/>
        </w:rPr>
        <w:tab/>
      </w:r>
      <w:r>
        <w:rPr>
          <w:rFonts w:ascii="Arial" w:cs="Arial" w:eastAsia="Arial" w:hAnsi="Arial"/>
          <w:sz w:val="18"/>
          <w:szCs w:val="18"/>
          <w:color w:val="auto"/>
        </w:rPr>
        <w:t>under the equity method of accounting or</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Financial Liabilities</w:t>
      </w:r>
      <w:r>
        <w:rPr>
          <w:sz w:val="20"/>
          <w:szCs w:val="20"/>
          <w:color w:val="auto"/>
        </w:rPr>
        <w:tab/>
      </w:r>
      <w:r>
        <w:rPr>
          <w:rFonts w:ascii="Arial" w:cs="Arial" w:eastAsia="Arial" w:hAnsi="Arial"/>
          <w:sz w:val="18"/>
          <w:szCs w:val="18"/>
          <w:color w:val="auto"/>
        </w:rPr>
        <w:t>those that result in consolidation of the</w:t>
      </w:r>
    </w:p>
    <w:p>
      <w:pPr>
        <w:ind w:left="2100" w:right="180"/>
        <w:spacing w:after="0" w:line="239" w:lineRule="auto"/>
        <w:rPr>
          <w:sz w:val="20"/>
          <w:szCs w:val="20"/>
          <w:color w:val="auto"/>
        </w:rPr>
      </w:pPr>
      <w:r>
        <w:rPr>
          <w:rFonts w:ascii="Arial" w:cs="Arial" w:eastAsia="Arial" w:hAnsi="Arial"/>
          <w:sz w:val="18"/>
          <w:szCs w:val="18"/>
          <w:color w:val="auto"/>
        </w:rPr>
        <w:t>investee). An entity should apply the new 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standard is effective January 1, 2018, and we will adopt on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standard is effective January 1, 2018, and we will adopt on that date.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are in the process of completing our evaluation of the impact of adopting the standard. We have identified two revenue streams from our contracts with customers:</w:t>
      </w:r>
    </w:p>
    <w:p>
      <w:pPr>
        <w:ind w:left="220" w:hanging="218"/>
        <w:spacing w:after="0" w:line="23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sales, which represented 96</w:t>
      </w:r>
    </w:p>
    <w:p>
      <w:pPr>
        <w:jc w:val="both"/>
        <w:ind w:right="140"/>
        <w:spacing w:after="0" w:line="257" w:lineRule="auto"/>
        <w:rPr>
          <w:rFonts w:ascii="Arial" w:cs="Arial" w:eastAsia="Arial" w:hAnsi="Arial"/>
          <w:sz w:val="18"/>
          <w:szCs w:val="18"/>
          <w:color w:val="auto"/>
        </w:rPr>
      </w:pPr>
      <w:r>
        <w:rPr>
          <w:rFonts w:ascii="Arial" w:cs="Arial" w:eastAsia="Arial" w:hAnsi="Arial"/>
          <w:sz w:val="17"/>
          <w:szCs w:val="17"/>
          <w:color w:val="auto"/>
        </w:rPr>
        <w:t>percent of our 2016 consolidated revenue and 2) licensing and other arrangements, which represented 4 percent of our 2016 consolidated revenue.</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evaluation of our contracts for product sales is substantially complete and, based upon the results of our work to date we currently do not expect the application of the new standard to these contracts to have a material impact to our consolidated statements of operations or balance sheets either at initial implementation or on an ongoing basis.</w:t>
      </w:r>
    </w:p>
    <w:p>
      <w:pPr>
        <w:spacing w:after="0" w:line="19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While we have completed most of our reviews of arrangements in which we have licensed or sold intellectual property, we are not yet able to estimate the anticipated impact to our consolidated financial statements from the application of the new standard to these arrangements as we continue to interpret and apply the principles in the new standard to our arrangements.</w:t>
      </w:r>
    </w:p>
    <w:p>
      <w:pPr>
        <w:spacing w:after="0" w:line="19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also evaluating the new disclosures required by the standard to determine what additional information will need to be disclosed.</w:t>
      </w:r>
    </w:p>
    <w:p>
      <w:pPr>
        <w:spacing w:after="0" w:line="40"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are unable to estimate the impact of adopting this standard as the significance of the impact will depend upon our equity investments as of the date of adoption.</w:t>
      </w:r>
    </w:p>
    <w:p>
      <w:pPr>
        <w:spacing w:after="0" w:line="1605" w:lineRule="exact"/>
        <w:rPr>
          <w:sz w:val="20"/>
          <w:szCs w:val="20"/>
          <w:color w:val="auto"/>
        </w:rPr>
      </w:pPr>
    </w:p>
    <w:p>
      <w:pPr>
        <w:sectPr>
          <w:pgSz w:w="11900" w:h="16838" w:orient="portrait"/>
          <w:cols w:equalWidth="0" w:num="3">
            <w:col w:w="5560" w:space="200"/>
            <w:col w:w="1980" w:space="180"/>
            <w:col w:w="3460"/>
          </w:cols>
          <w:pgMar w:left="240" w:top="576" w:right="279" w:bottom="1440" w:gutter="0" w:footer="0" w:header="0"/>
          <w:type w:val="continuous"/>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576" w:right="2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196"/>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28"/>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w:t>
            </w: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This standard was issued to increase</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This standard is effective</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are in the process of determining the</w:t>
            </w:r>
          </w:p>
        </w:tc>
      </w:tr>
      <w:tr>
        <w:trPr>
          <w:trHeight w:val="185"/>
        </w:trPr>
        <w:tc>
          <w:tcPr>
            <w:tcW w:w="194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color w:val="auto"/>
              </w:rPr>
              <w:t>Update 2016-02,</w:t>
            </w:r>
          </w:p>
        </w:tc>
        <w:tc>
          <w:tcPr>
            <w:tcW w:w="3720" w:type="dxa"/>
            <w:vAlign w:val="bottom"/>
            <w:shd w:val="clear" w:color="auto" w:fill="CCEEFF"/>
          </w:tcPr>
          <w:p>
            <w:pPr>
              <w:ind w:left="160"/>
              <w:spacing w:after="0" w:line="185" w:lineRule="exact"/>
              <w:rPr>
                <w:sz w:val="20"/>
                <w:szCs w:val="20"/>
                <w:color w:val="auto"/>
              </w:rPr>
            </w:pPr>
            <w:r>
              <w:rPr>
                <w:rFonts w:ascii="Arial" w:cs="Arial" w:eastAsia="Arial" w:hAnsi="Arial"/>
                <w:sz w:val="18"/>
                <w:szCs w:val="18"/>
                <w:color w:val="auto"/>
              </w:rPr>
              <w:t>transparency and comparability among</w:t>
            </w:r>
          </w:p>
        </w:tc>
        <w:tc>
          <w:tcPr>
            <w:tcW w:w="2180" w:type="dxa"/>
            <w:vAlign w:val="bottom"/>
            <w:shd w:val="clear" w:color="auto" w:fill="CCEEFF"/>
          </w:tcPr>
          <w:p>
            <w:pPr>
              <w:ind w:left="100"/>
              <w:spacing w:after="0" w:line="185" w:lineRule="exact"/>
              <w:rPr>
                <w:sz w:val="20"/>
                <w:szCs w:val="20"/>
                <w:color w:val="auto"/>
              </w:rPr>
            </w:pPr>
            <w:r>
              <w:rPr>
                <w:rFonts w:ascii="Arial" w:cs="Arial" w:eastAsia="Arial" w:hAnsi="Arial"/>
                <w:sz w:val="18"/>
                <w:szCs w:val="18"/>
                <w:color w:val="auto"/>
              </w:rPr>
              <w:t>January 1, 2019, with</w:t>
            </w:r>
          </w:p>
        </w:tc>
        <w:tc>
          <w:tcPr>
            <w:tcW w:w="3580" w:type="dxa"/>
            <w:vAlign w:val="bottom"/>
            <w:shd w:val="clear" w:color="auto" w:fill="CCEEFF"/>
          </w:tcPr>
          <w:p>
            <w:pPr>
              <w:ind w:left="80"/>
              <w:spacing w:after="0" w:line="185" w:lineRule="exact"/>
              <w:rPr>
                <w:sz w:val="20"/>
                <w:szCs w:val="20"/>
                <w:color w:val="auto"/>
              </w:rPr>
            </w:pPr>
            <w:r>
              <w:rPr>
                <w:rFonts w:ascii="Arial" w:cs="Arial" w:eastAsia="Arial" w:hAnsi="Arial"/>
                <w:sz w:val="18"/>
                <w:szCs w:val="18"/>
                <w:color w:val="auto"/>
              </w:rPr>
              <w:t>impact on our consolidated financial</w:t>
            </w:r>
          </w:p>
        </w:tc>
      </w:tr>
      <w:tr>
        <w:trPr>
          <w:trHeight w:val="221"/>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Leases</w:t>
            </w: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organizations by recognizing lease assets</w:t>
            </w:r>
          </w:p>
        </w:tc>
        <w:tc>
          <w:tcPr>
            <w:tcW w:w="2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early adoption permitted.</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statements.</w:t>
            </w: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lease liabilities, including leases</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 intend to adopt this</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classified as operating leases under current</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on January 1,</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GAAP, on the balance sheet and requiring</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2019.</w:t>
            </w: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disclosures about leasing</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arrangements. This standard requires a</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modified retrospective approach to</w:t>
            </w:r>
          </w:p>
        </w:tc>
        <w:tc>
          <w:tcPr>
            <w:tcW w:w="218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17"/>
        </w:trPr>
        <w:tc>
          <w:tcPr>
            <w:tcW w:w="1940" w:type="dxa"/>
            <w:vAlign w:val="bottom"/>
            <w:shd w:val="clear" w:color="auto" w:fill="CCEEFF"/>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adoption.</w:t>
            </w:r>
          </w:p>
        </w:tc>
        <w:tc>
          <w:tcPr>
            <w:tcW w:w="21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r>
      <w:tr>
        <w:trPr>
          <w:trHeight w:val="189"/>
        </w:trPr>
        <w:tc>
          <w:tcPr>
            <w:tcW w:w="1940" w:type="dxa"/>
            <w:vAlign w:val="bottom"/>
            <w:shd w:val="clear" w:color="auto" w:fill="CCEEFF"/>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r>
    </w:tbl>
    <w:p>
      <w:pPr>
        <w:spacing w:after="0" w:line="22" w:lineRule="exact"/>
        <w:rPr>
          <w:sz w:val="20"/>
          <w:szCs w:val="20"/>
          <w:color w:val="auto"/>
        </w:rPr>
      </w:pPr>
    </w:p>
    <w:p>
      <w:pPr>
        <w:sectPr>
          <w:pgSz w:w="11900" w:h="16838" w:orient="portrait"/>
          <w:cols w:equalWidth="0" w:num="1">
            <w:col w:w="11420"/>
          </w:cols>
          <w:pgMar w:left="240" w:top="910" w:right="239" w:bottom="1440" w:gutter="0" w:footer="0" w:header="0"/>
        </w:sect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ind w:left="40"/>
        <w:spacing w:after="0" w:line="234" w:lineRule="auto"/>
        <w:tabs>
          <w:tab w:leader="none" w:pos="2080" w:val="left"/>
        </w:tabs>
        <w:rPr>
          <w:sz w:val="20"/>
          <w:szCs w:val="20"/>
          <w:color w:val="auto"/>
        </w:rPr>
      </w:pPr>
      <w:r>
        <w:rPr>
          <w:rFonts w:ascii="Arial" w:cs="Arial" w:eastAsia="Arial" w:hAnsi="Arial"/>
          <w:sz w:val="18"/>
          <w:szCs w:val="18"/>
          <w:color w:val="auto"/>
        </w:rPr>
        <w:t>Update 2016-16,</w:t>
      </w:r>
      <w:r>
        <w:rPr>
          <w:sz w:val="20"/>
          <w:szCs w:val="20"/>
          <w:color w:val="auto"/>
        </w:rPr>
        <w:tab/>
      </w:r>
      <w:r>
        <w:rPr>
          <w:rFonts w:ascii="Arial" w:cs="Arial" w:eastAsia="Arial" w:hAnsi="Arial"/>
          <w:sz w:val="18"/>
          <w:szCs w:val="18"/>
          <w:color w:val="auto"/>
        </w:rPr>
        <w:t>recognize the income tax consequences of</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Income Taxes: Intra-</w:t>
      </w:r>
      <w:r>
        <w:rPr>
          <w:sz w:val="20"/>
          <w:szCs w:val="20"/>
          <w:color w:val="auto"/>
        </w:rPr>
        <w:tab/>
      </w:r>
      <w:r>
        <w:rPr>
          <w:rFonts w:ascii="Arial" w:cs="Arial" w:eastAsia="Arial" w:hAnsi="Arial"/>
          <w:sz w:val="17"/>
          <w:szCs w:val="17"/>
          <w:color w:val="auto"/>
        </w:rPr>
        <w:t>intra-entity transfers of assets other than</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Entity Transfers of</w:t>
      </w:r>
      <w:r>
        <w:rPr>
          <w:sz w:val="20"/>
          <w:szCs w:val="20"/>
          <w:color w:val="auto"/>
        </w:rPr>
        <w:tab/>
      </w:r>
      <w:r>
        <w:rPr>
          <w:rFonts w:ascii="Arial" w:cs="Arial" w:eastAsia="Arial" w:hAnsi="Arial"/>
          <w:sz w:val="17"/>
          <w:szCs w:val="17"/>
          <w:color w:val="auto"/>
        </w:rPr>
        <w:t>inventory at the time of transfer. This</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Assets Other Than</w:t>
      </w:r>
      <w:r>
        <w:rPr>
          <w:sz w:val="20"/>
          <w:szCs w:val="20"/>
          <w:color w:val="auto"/>
        </w:rPr>
        <w:tab/>
      </w:r>
      <w:r>
        <w:rPr>
          <w:rFonts w:ascii="Arial" w:cs="Arial" w:eastAsia="Arial" w:hAnsi="Arial"/>
          <w:sz w:val="17"/>
          <w:szCs w:val="17"/>
          <w:color w:val="auto"/>
        </w:rPr>
        <w:t>standard requires a modified</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Inventory</w:t>
      </w:r>
      <w:r>
        <w:rPr>
          <w:sz w:val="20"/>
          <w:szCs w:val="20"/>
          <w:color w:val="auto"/>
        </w:rPr>
        <w:tab/>
      </w:r>
      <w:r>
        <w:rPr>
          <w:rFonts w:ascii="Arial" w:cs="Arial" w:eastAsia="Arial" w:hAnsi="Arial"/>
          <w:sz w:val="18"/>
          <w:szCs w:val="18"/>
          <w:color w:val="auto"/>
        </w:rPr>
        <w:t>retrospective approach to adoption.</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Arial" w:cs="Arial" w:eastAsia="Arial" w:hAnsi="Arial"/>
          <w:sz w:val="17"/>
          <w:szCs w:val="17"/>
          <w:color w:val="auto"/>
        </w:rPr>
        <w:t>This standard is effective January 1, 2018, and we will adopt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1542415</wp:posOffset>
            </wp:positionV>
            <wp:extent cx="7246620" cy="3490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90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36" w:lineRule="auto"/>
        <w:rPr>
          <w:sz w:val="20"/>
          <w:szCs w:val="20"/>
          <w:color w:val="auto"/>
        </w:rPr>
      </w:pPr>
      <w:r>
        <w:rPr>
          <w:rFonts w:ascii="Arial" w:cs="Arial" w:eastAsia="Arial" w:hAnsi="Arial"/>
          <w:sz w:val="18"/>
          <w:szCs w:val="18"/>
          <w:color w:val="auto"/>
        </w:rPr>
        <w:t>We are continuing to assess the potential impact of this standard on our consolidated financial statements and currently estimate that the cumulative effect of initially applying the standard would result in an increase to deferred tax assets and the opening balance of retained earnings of approximately $2 billion on January 1, 2018. This estimate is subject to change based upon intra-entity transfers of assets other than inventory over the remainder of 2017 and ongoing assessments of the future deductibility and realizability of the deferred tax assets that would result from implementation.</w:t>
      </w:r>
    </w:p>
    <w:p>
      <w:pPr>
        <w:spacing w:after="0" w:line="35" w:lineRule="exact"/>
        <w:rPr>
          <w:sz w:val="20"/>
          <w:szCs w:val="20"/>
          <w:color w:val="auto"/>
        </w:rPr>
      </w:pPr>
    </w:p>
    <w:p>
      <w:pPr>
        <w:sectPr>
          <w:pgSz w:w="11900" w:h="16838" w:orient="portrait"/>
          <w:cols w:equalWidth="0" w:num="3">
            <w:col w:w="5520" w:space="240"/>
            <w:col w:w="1980" w:space="180"/>
            <w:col w:w="3500"/>
          </w:cols>
          <w:pgMar w:left="240" w:top="910" w:right="239" w:bottom="1440" w:gutter="0" w:footer="0" w:header="0"/>
          <w:type w:val="continuous"/>
        </w:sectPr>
      </w:pPr>
    </w:p>
    <w:p>
      <w:pPr>
        <w:ind w:left="40"/>
        <w:spacing w:after="0"/>
        <w:tabs>
          <w:tab w:leader="none" w:pos="208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was issued to improve the</w:t>
      </w:r>
    </w:p>
    <w:p>
      <w:pPr>
        <w:ind w:left="40"/>
        <w:spacing w:after="0"/>
        <w:tabs>
          <w:tab w:leader="none" w:pos="2080" w:val="left"/>
        </w:tabs>
        <w:rPr>
          <w:sz w:val="20"/>
          <w:szCs w:val="20"/>
          <w:color w:val="auto"/>
        </w:rPr>
      </w:pPr>
      <w:r>
        <w:rPr>
          <w:rFonts w:ascii="Arial" w:cs="Arial" w:eastAsia="Arial" w:hAnsi="Arial"/>
          <w:sz w:val="18"/>
          <w:szCs w:val="18"/>
          <w:color w:val="auto"/>
        </w:rPr>
        <w:t>Update 2017-07,</w:t>
      </w:r>
      <w:r>
        <w:rPr>
          <w:sz w:val="20"/>
          <w:szCs w:val="20"/>
          <w:color w:val="auto"/>
        </w:rPr>
        <w:tab/>
      </w:r>
      <w:r>
        <w:rPr>
          <w:rFonts w:ascii="Arial" w:cs="Arial" w:eastAsia="Arial" w:hAnsi="Arial"/>
          <w:sz w:val="17"/>
          <w:szCs w:val="17"/>
          <w:color w:val="auto"/>
        </w:rPr>
        <w:t>transparency and comparability among</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Compensation-</w:t>
      </w:r>
      <w:r>
        <w:rPr>
          <w:sz w:val="20"/>
          <w:szCs w:val="20"/>
          <w:color w:val="auto"/>
        </w:rPr>
        <w:tab/>
      </w:r>
      <w:r>
        <w:rPr>
          <w:rFonts w:ascii="Arial" w:cs="Arial" w:eastAsia="Arial" w:hAnsi="Arial"/>
          <w:sz w:val="17"/>
          <w:szCs w:val="17"/>
          <w:color w:val="auto"/>
        </w:rPr>
        <w:t>organizations by requiring entities to</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Retirement Benefits:</w:t>
      </w:r>
      <w:r>
        <w:rPr>
          <w:sz w:val="20"/>
          <w:szCs w:val="20"/>
          <w:color w:val="auto"/>
        </w:rPr>
        <w:tab/>
      </w:r>
      <w:r>
        <w:rPr>
          <w:rFonts w:ascii="Arial" w:cs="Arial" w:eastAsia="Arial" w:hAnsi="Arial"/>
          <w:sz w:val="17"/>
          <w:szCs w:val="17"/>
          <w:color w:val="auto"/>
        </w:rPr>
        <w:t>separate their net periodic pension cost</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Improving the</w:t>
      </w:r>
      <w:r>
        <w:rPr>
          <w:sz w:val="20"/>
          <w:szCs w:val="20"/>
          <w:color w:val="auto"/>
        </w:rPr>
        <w:tab/>
      </w:r>
      <w:r>
        <w:rPr>
          <w:rFonts w:ascii="Arial" w:cs="Arial" w:eastAsia="Arial" w:hAnsi="Arial"/>
          <w:sz w:val="18"/>
          <w:szCs w:val="18"/>
          <w:color w:val="auto"/>
        </w:rPr>
        <w:t>and net periodic postretirement benefit cost</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Presentation of Net</w:t>
      </w:r>
      <w:r>
        <w:rPr>
          <w:sz w:val="20"/>
          <w:szCs w:val="20"/>
          <w:color w:val="auto"/>
        </w:rPr>
        <w:tab/>
      </w:r>
      <w:r>
        <w:rPr>
          <w:rFonts w:ascii="Arial" w:cs="Arial" w:eastAsia="Arial" w:hAnsi="Arial"/>
          <w:sz w:val="18"/>
          <w:szCs w:val="18"/>
          <w:color w:val="auto"/>
        </w:rPr>
        <w:t>into a service cost component and other</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Periodic Pension Cost</w:t>
      </w:r>
      <w:r>
        <w:rPr>
          <w:sz w:val="20"/>
          <w:szCs w:val="20"/>
          <w:color w:val="auto"/>
        </w:rPr>
        <w:tab/>
      </w:r>
      <w:r>
        <w:rPr>
          <w:rFonts w:ascii="Arial" w:cs="Arial" w:eastAsia="Arial" w:hAnsi="Arial"/>
          <w:sz w:val="17"/>
          <w:szCs w:val="17"/>
          <w:color w:val="auto"/>
        </w:rPr>
        <w:t>components. Currently, the costs of the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and Net Periodic</w:t>
      </w:r>
      <w:r>
        <w:rPr>
          <w:sz w:val="20"/>
          <w:szCs w:val="20"/>
          <w:color w:val="auto"/>
        </w:rPr>
        <w:tab/>
      </w:r>
      <w:r>
        <w:rPr>
          <w:rFonts w:ascii="Arial" w:cs="Arial" w:eastAsia="Arial" w:hAnsi="Arial"/>
          <w:sz w:val="17"/>
          <w:szCs w:val="17"/>
          <w:color w:val="auto"/>
        </w:rPr>
        <w:t>other components along with the service</w:t>
      </w:r>
    </w:p>
    <w:p>
      <w:pPr>
        <w:ind w:left="40"/>
        <w:spacing w:after="0"/>
        <w:tabs>
          <w:tab w:leader="none" w:pos="2080" w:val="left"/>
        </w:tabs>
        <w:rPr>
          <w:sz w:val="20"/>
          <w:szCs w:val="20"/>
          <w:color w:val="auto"/>
        </w:rPr>
      </w:pPr>
      <w:r>
        <w:rPr>
          <w:rFonts w:ascii="Arial" w:cs="Arial" w:eastAsia="Arial" w:hAnsi="Arial"/>
          <w:sz w:val="18"/>
          <w:szCs w:val="18"/>
          <w:i w:val="1"/>
          <w:iCs w:val="1"/>
          <w:color w:val="auto"/>
        </w:rPr>
        <w:t>Postretirement Benefit</w:t>
      </w:r>
      <w:r>
        <w:rPr>
          <w:sz w:val="20"/>
          <w:szCs w:val="20"/>
          <w:color w:val="auto"/>
        </w:rPr>
        <w:tab/>
      </w:r>
      <w:r>
        <w:rPr>
          <w:rFonts w:ascii="Arial" w:cs="Arial" w:eastAsia="Arial" w:hAnsi="Arial"/>
          <w:sz w:val="17"/>
          <w:szCs w:val="17"/>
          <w:color w:val="auto"/>
        </w:rPr>
        <w:t>cost component are classified based upon</w:t>
      </w:r>
    </w:p>
    <w:p>
      <w:pPr>
        <w:ind w:left="40"/>
        <w:spacing w:after="0" w:line="235" w:lineRule="auto"/>
        <w:tabs>
          <w:tab w:leader="none" w:pos="2080" w:val="left"/>
        </w:tabs>
        <w:rPr>
          <w:sz w:val="20"/>
          <w:szCs w:val="20"/>
          <w:color w:val="auto"/>
        </w:rPr>
      </w:pPr>
      <w:r>
        <w:rPr>
          <w:rFonts w:ascii="Arial" w:cs="Arial" w:eastAsia="Arial" w:hAnsi="Arial"/>
          <w:sz w:val="18"/>
          <w:szCs w:val="18"/>
          <w:i w:val="1"/>
          <w:iCs w:val="1"/>
          <w:color w:val="auto"/>
        </w:rPr>
        <w:t>Cost</w:t>
      </w:r>
      <w:r>
        <w:rPr>
          <w:sz w:val="20"/>
          <w:szCs w:val="20"/>
          <w:color w:val="auto"/>
        </w:rPr>
        <w:tab/>
      </w:r>
      <w:r>
        <w:rPr>
          <w:rFonts w:ascii="Arial" w:cs="Arial" w:eastAsia="Arial" w:hAnsi="Arial"/>
          <w:sz w:val="18"/>
          <w:szCs w:val="18"/>
          <w:color w:val="auto"/>
        </w:rPr>
        <w:t>the function of the employee. This standard</w:t>
      </w:r>
    </w:p>
    <w:p>
      <w:pPr>
        <w:ind w:left="2100"/>
        <w:spacing w:after="0" w:line="235" w:lineRule="auto"/>
        <w:rPr>
          <w:sz w:val="20"/>
          <w:szCs w:val="20"/>
          <w:color w:val="auto"/>
        </w:rPr>
      </w:pPr>
      <w:r>
        <w:rPr>
          <w:rFonts w:ascii="Arial" w:cs="Arial" w:eastAsia="Arial" w:hAnsi="Arial"/>
          <w:sz w:val="18"/>
          <w:szCs w:val="18"/>
          <w:color w:val="auto"/>
        </w:rPr>
        <w:t>will require entities to classify the service cost component in the same financial statement line item or items as other compensation costs arising from services rendered by pertinent employees. The other components of net benefit cost will be presented separately from the line items that include the service cost component. When applicable, the service cost component will be the only component eligible for capitalization. An entity should apply the new standard retrospectively for the classification of the service cost and other components and prospectively for the capitalization of the service cost component.</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7"/>
          <w:szCs w:val="17"/>
          <w:color w:val="auto"/>
        </w:rPr>
        <w:t>This standard is effective January 1, 2018, and we will adopt this standard on that date.</w:t>
      </w:r>
    </w:p>
    <w:p>
      <w:pPr>
        <w:spacing w:after="0" w:line="20" w:lineRule="exact"/>
        <w:rPr>
          <w:sz w:val="20"/>
          <w:szCs w:val="20"/>
          <w:color w:val="auto"/>
        </w:rPr>
      </w:pPr>
      <w:r>
        <w:rPr>
          <w:sz w:val="20"/>
          <w:szCs w:val="20"/>
          <w:color w:val="auto"/>
        </w:rPr>
        <w:br w:type="column"/>
      </w:r>
    </w:p>
    <w:p>
      <w:pPr>
        <w:ind w:right="100"/>
        <w:spacing w:after="0" w:line="236" w:lineRule="auto"/>
        <w:rPr>
          <w:sz w:val="20"/>
          <w:szCs w:val="20"/>
          <w:color w:val="auto"/>
        </w:rPr>
      </w:pPr>
      <w:r>
        <w:rPr>
          <w:rFonts w:ascii="Arial" w:cs="Arial" w:eastAsia="Arial" w:hAnsi="Arial"/>
          <w:sz w:val="18"/>
          <w:szCs w:val="18"/>
          <w:color w:val="auto"/>
        </w:rPr>
        <w:t>Upon adoption of this standard, pension and postretirement benefit cost components other than service costs will be presented in other–net, (income) expense. We do not expect the application of the new standard to have a material impact on consolidated net income either at initial implementation or on an ongoing basis.</w:t>
      </w:r>
    </w:p>
    <w:p>
      <w:pPr>
        <w:spacing w:after="0" w:line="3636" w:lineRule="exact"/>
        <w:rPr>
          <w:sz w:val="20"/>
          <w:szCs w:val="20"/>
          <w:color w:val="auto"/>
        </w:rPr>
      </w:pPr>
    </w:p>
    <w:p>
      <w:pPr>
        <w:sectPr>
          <w:pgSz w:w="11900" w:h="16838" w:orient="portrait"/>
          <w:cols w:equalWidth="0" w:num="3">
            <w:col w:w="5560" w:space="200"/>
            <w:col w:w="1980" w:space="180"/>
            <w:col w:w="3500"/>
          </w:cols>
          <w:pgMar w:left="240" w:top="910" w:right="2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91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3, 2017, we completed the acquisition of Boehringer Ingelheim Vetmedica, Inc.'s United States (U.S.) feline, canine, and rabies vaccine portfolio and other related assets (BIVIVP).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are included in our consolidated condensed financial statements from the date of acquisition.</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acquisition of a business, we also acquired assets in development in the nine months ended September 30, 2017, which are further discussed in this note below in Asset Acquisitions. Upon acquisition, the acquired in-process research and development (IPR&amp;D) charges related to these products were immediately expensed because the products had no alternative future use. There were acquired IPR&amp;D charges of $205.0 million and $1.06 billion for the three and nine months ended September 30, 2017, respectively. There were no acquired IPR&amp;D charges for the three and nine months ended September 30, 2016.</w:t>
      </w:r>
    </w:p>
    <w:p>
      <w:pPr>
        <w:spacing w:after="0" w:line="9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October 2017, we entered into a global immuno-oncology collaboration agreement with CureVac AG (CureVac), to develop and commercialize up to five potential cancer vaccine products based on CureVac's proprietary RNActive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 This transaction is subject to clearance under the Hart-Scott-Rodino Antitrust Improvements Act and other customary closing conditions. Subject to the closing of this transaction, CureVac will receive from us an initial payment of $50.0 million. CureVac will also be eligible to receive potential development and commercialization milestones, as well as tiered royalty payments based on future sales. We anticipate recording an acquired IPR&amp;D charge of approximately $50 million upon the closing of the transaction.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acquired BIVIVP in an all-cash transaction for $882.1 million. Under the terms of the agreement, we acquired a manufacturing and research and development site, a U.S. vaccine portfolio, including vaccines used for the treatment of bordetella, Lyme disease, rabies, and parvovirus, among others.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access to BIVIVP information was limited prior to the acquisition. As a consequence, we are in the process of determining the fair values and tax bases of a significant portion of the assets acquired and liabilities assumed, including the identification and valuation of intangible assets, inventory, property and equipment, accrued expenses, and tax exposures. The final determination of these amounts will be completed as soon as possible but no later than one year from the acquisition date. The final determination may result in asset and liability fair values and tax bases that differ from, and require changes to, the preliminary amounts recognized.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3,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298.0</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560.0</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322.1</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10 years.</w:t>
      </w:r>
    </w:p>
    <w:p>
      <w:pPr>
        <w:spacing w:after="0" w:line="97" w:lineRule="exact"/>
        <w:rPr>
          <w:rFonts w:ascii="Arial" w:cs="Arial" w:eastAsia="Arial" w:hAnsi="Arial"/>
          <w:sz w:val="17"/>
          <w:szCs w:val="17"/>
          <w:color w:val="auto"/>
          <w:vertAlign w:val="superscript"/>
        </w:rPr>
      </w:pPr>
    </w:p>
    <w:p>
      <w:pPr>
        <w:ind w:left="180" w:right="300" w:hanging="172"/>
        <w:spacing w:after="0" w:line="230"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BIVIVP with our legacy animal health business, future unidentified projects and products, and the assembled workforce of BIVIVP. We anticipate that the goodwill associated with this acquisition will be deductible for tax purposes.</w:t>
      </w:r>
    </w:p>
    <w:p>
      <w:pPr>
        <w:spacing w:after="0" w:line="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consolidated condensed statement of operations for the three and nine months ended September 30, 2017, includes BIVIVP revenue of $61.2 million and $180.2 million, respectively. BIVIVP has been integrated into our animal health products segment and, as a result of these integration efforts, certain parts of the animal health business were operating on a combined basis during these periods, and we could not distinguish the operations between BIVIVP and our legacy animal health products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and narrative summarizes our asset acquisitions during the nine months ended September 30, 2017. There was no asset acquisition which resulted in acquired IPR&amp;D expense during the nine months ended September 30,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right"/>
              <w:ind w:right="157"/>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33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Counterparty</w:t>
            </w:r>
          </w:p>
        </w:tc>
        <w:tc>
          <w:tcPr>
            <w:tcW w:w="3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Compound(s) or Therapy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CoLucid Pharmaceuticals, Inc. (CoLucid)</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Oral therapy for the acute treatment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March 2017</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Phase III</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176"/>
        </w:trPr>
        <w:tc>
          <w:tcPr>
            <w:tcW w:w="3320" w:type="dxa"/>
            <w:vAlign w:val="bottom"/>
            <w:tcBorders>
              <w:bottom w:val="single" w:sz="8" w:color="auto"/>
            </w:tcBorders>
            <w:shd w:val="clear" w:color="auto" w:fill="CCEEFF"/>
          </w:tcPr>
          <w:p>
            <w:pPr>
              <w:spacing w:after="0"/>
              <w:rPr>
                <w:sz w:val="15"/>
                <w:szCs w:val="15"/>
                <w:color w:val="auto"/>
              </w:rPr>
            </w:pPr>
          </w:p>
        </w:tc>
        <w:tc>
          <w:tcPr>
            <w:tcW w:w="3080" w:type="dxa"/>
            <w:vAlign w:val="bottom"/>
            <w:tcBorders>
              <w:bottom w:val="single" w:sz="8" w:color="auto"/>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of migraine - lasmiditan</w:t>
            </w:r>
          </w:p>
        </w:tc>
        <w:tc>
          <w:tcPr>
            <w:tcW w:w="17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20" w:type="dxa"/>
            <w:vAlign w:val="bottom"/>
            <w:vMerge w:val="restart"/>
          </w:tcPr>
          <w:p>
            <w:pPr>
              <w:ind w:left="40"/>
              <w:spacing w:after="0"/>
              <w:rPr>
                <w:sz w:val="20"/>
                <w:szCs w:val="20"/>
                <w:color w:val="auto"/>
              </w:rPr>
            </w:pPr>
            <w:r>
              <w:rPr>
                <w:rFonts w:ascii="Arial" w:cs="Arial" w:eastAsia="Arial" w:hAnsi="Arial"/>
                <w:sz w:val="18"/>
                <w:szCs w:val="18"/>
                <w:color w:val="auto"/>
              </w:rPr>
              <w:t>KeyBioscience AG (KeyBioscience)</w:t>
            </w:r>
          </w:p>
        </w:tc>
        <w:tc>
          <w:tcPr>
            <w:tcW w:w="3080" w:type="dxa"/>
            <w:vAlign w:val="bottom"/>
          </w:tcPr>
          <w:p>
            <w:pPr>
              <w:ind w:left="40"/>
              <w:spacing w:after="0"/>
              <w:rPr>
                <w:sz w:val="20"/>
                <w:szCs w:val="20"/>
                <w:color w:val="auto"/>
              </w:rPr>
            </w:pPr>
            <w:r>
              <w:rPr>
                <w:rFonts w:ascii="Arial" w:cs="Arial" w:eastAsia="Arial" w:hAnsi="Arial"/>
                <w:sz w:val="18"/>
                <w:szCs w:val="18"/>
                <w:color w:val="auto"/>
              </w:rPr>
              <w:t>Multiple molecules for treatment of</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rPr>
              <w:t>July 2017</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17"/>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metabolic disorders</w:t>
            </w:r>
          </w:p>
        </w:tc>
        <w:tc>
          <w:tcPr>
            <w:tcW w:w="17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vMerge w:val="continue"/>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Nektar Therapeutics (Nektar)</w:t>
            </w:r>
          </w:p>
        </w:tc>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Immunological therapy - NKTR-358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August 2017</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Phase I</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11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and/or commercial milestones based on sales should these products be approved for commercialization and/or milestones based on the successful progress of the compounds through the development process.</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acquired lasmiditan by acquiring CoLucid. Under the terms of the agreement, we acquired all shares of CoLucid for a cash purchase price of $831.8 million, net of cash acquired, plus net accrued liabilities assumed of $25.8 million. Substantially all of the value of CoLucid was related to lasmiditan, its only significant asset. The acquired IPR&amp;D expense is not tax deductible.</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collaboration agreement with KeyBioscience provides us with access to KeyBioscience's Dual Amylin Calcitonin Receptor Agonists (DACRAs), a potential new class of treatments for metabolic disorders such as type 2 diabetes, along with multiple molecules. Prior to entering into the agreement, KeyBioscience had initiated Phase II development of the lead molecule. The other assets included in the collaboration range from pre-clinical to Phase I development. Under the terms of the agreement, we receive worldwide rights to develop and commercialize these molecules.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6" w:right="239" w:bottom="1440" w:gutter="0" w:footer="0" w:header="0"/>
        </w:sectPr>
      </w:pPr>
    </w:p>
    <w:bookmarkStart w:id="12" w:name="page13"/>
    <w:bookmarkEnd w:id="12"/>
    <w:p>
      <w:pPr>
        <w:ind w:right="200"/>
        <w:spacing w:after="0" w:line="256" w:lineRule="auto"/>
        <w:rPr>
          <w:sz w:val="20"/>
          <w:szCs w:val="20"/>
          <w:color w:val="auto"/>
        </w:rPr>
      </w:pPr>
      <w:r>
        <w:rPr>
          <w:rFonts w:ascii="Arial" w:cs="Arial" w:eastAsia="Arial" w:hAnsi="Arial"/>
          <w:sz w:val="18"/>
          <w:szCs w:val="18"/>
          <w:color w:val="auto"/>
        </w:rPr>
        <w:t>Our collaboration with Nektar is to co-develop Nektar's compound which has the potential to treat a number of autoimmune and other chronic inflammatory conditions. Under the terms of the agreement, we are responsible for all costs of global commercialization. Nektar will have an option to co-promote in the U.S. under certain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 related to products we sell pursuant to these arrangements are included in net product revenue, while other sources of revenue (e.g., royalties and profit-sharing due from our partner) are included in collaboration and other revenue.</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summarizes our collaboration and other revenue, which is included in revenue in the consolidated condensed statements of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334.2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216.5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869.1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607.3</w:t>
            </w: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Boehringer Ingelheim Diabetes Collaboration</w:t>
      </w:r>
    </w:p>
    <w:p>
      <w:pPr>
        <w:spacing w:after="0" w:line="11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(deferred) capitalized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jc w:val="center"/>
              <w:ind w:left="1457"/>
              <w:spacing w:after="0"/>
              <w:rPr>
                <w:sz w:val="20"/>
                <w:szCs w:val="20"/>
                <w:color w:val="auto"/>
              </w:rPr>
            </w:pPr>
            <w:r>
              <w:rPr>
                <w:rFonts w:ascii="Arial" w:cs="Arial" w:eastAsia="Arial" w:hAnsi="Arial"/>
                <w:sz w:val="14"/>
                <w:szCs w:val="14"/>
                <w:b w:val="1"/>
                <w:bCs w:val="1"/>
                <w:color w:val="auto"/>
              </w:rPr>
              <w:t>Milestones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17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Launched</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tcPr>
          <w:p>
            <w:pPr>
              <w:jc w:val="center"/>
              <w:ind w:left="1457"/>
              <w:spacing w:after="0"/>
              <w:rPr>
                <w:sz w:val="20"/>
                <w:szCs w:val="20"/>
                <w:color w:val="auto"/>
              </w:rPr>
            </w:pPr>
            <w:r>
              <w:rPr>
                <w:rFonts w:ascii="Arial" w:cs="Arial" w:eastAsia="Arial" w:hAnsi="Arial"/>
                <w:sz w:val="14"/>
                <w:szCs w:val="14"/>
                <w:b w:val="1"/>
                <w:bCs w:val="1"/>
                <w:color w:val="auto"/>
                <w:w w:val="99"/>
              </w:rPr>
              <w:t xml:space="preserve">(Deferred) Capitalized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8"/>
        </w:trPr>
        <w:tc>
          <w:tcPr>
            <w:tcW w:w="1740" w:type="dxa"/>
            <w:vAlign w:val="bottom"/>
          </w:tcPr>
          <w:p>
            <w:pPr>
              <w:ind w:left="300"/>
              <w:spacing w:after="0"/>
              <w:rPr>
                <w:sz w:val="20"/>
                <w:szCs w:val="20"/>
                <w:color w:val="auto"/>
              </w:rPr>
            </w:pPr>
            <w:r>
              <w:rPr>
                <w:rFonts w:ascii="Arial" w:cs="Arial" w:eastAsia="Arial" w:hAnsi="Arial"/>
                <w:sz w:val="14"/>
                <w:szCs w:val="14"/>
                <w:b w:val="1"/>
                <w:bCs w:val="1"/>
                <w:color w:val="auto"/>
              </w:rPr>
              <w:t>Product Family</w:t>
            </w:r>
          </w:p>
        </w:tc>
        <w:tc>
          <w:tcPr>
            <w:tcW w:w="1380" w:type="dxa"/>
            <w:vAlign w:val="bottom"/>
          </w:tcPr>
          <w:p>
            <w:pPr>
              <w:jc w:val="center"/>
              <w:ind w:left="14"/>
              <w:spacing w:after="0"/>
              <w:rPr>
                <w:sz w:val="20"/>
                <w:szCs w:val="20"/>
                <w:color w:val="auto"/>
              </w:rPr>
            </w:pPr>
            <w:r>
              <w:rPr>
                <w:rFonts w:ascii="Arial" w:cs="Arial" w:eastAsia="Arial" w:hAnsi="Arial"/>
                <w:sz w:val="14"/>
                <w:szCs w:val="14"/>
                <w:b w:val="1"/>
                <w:bCs w:val="1"/>
                <w:color w:val="auto"/>
              </w:rPr>
              <w:t>U.S.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Japan</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60" w:type="dxa"/>
            <w:vAlign w:val="bottom"/>
          </w:tcPr>
          <w:p>
            <w:pPr>
              <w:spacing w:after="0"/>
              <w:rPr>
                <w:sz w:val="17"/>
                <w:szCs w:val="17"/>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Amount</w:t>
            </w:r>
          </w:p>
        </w:tc>
      </w:tr>
      <w:tr>
        <w:trPr>
          <w:trHeight w:val="66"/>
        </w:trPr>
        <w:tc>
          <w:tcPr>
            <w:tcW w:w="17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38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9"/>
              </w:rPr>
              <w:t>2011</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2011</w:t>
            </w: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xml:space="preserve">Cumulative </w:t>
            </w:r>
            <w:r>
              <w:rPr>
                <w:rFonts w:ascii="Arial" w:cs="Arial" w:eastAsia="Arial" w:hAnsi="Arial"/>
                <w:sz w:val="21"/>
                <w:szCs w:val="21"/>
                <w:color w:val="auto"/>
                <w:w w:val="97"/>
                <w:vertAlign w:val="superscript"/>
              </w:rPr>
              <w:t>(4)</w:t>
            </w:r>
            <w:r>
              <w:rPr>
                <w:rFonts w:ascii="Arial" w:cs="Arial" w:eastAsia="Arial" w:hAnsi="Arial"/>
                <w:sz w:val="18"/>
                <w:szCs w:val="18"/>
                <w:color w:val="auto"/>
                <w:w w:val="97"/>
              </w:rPr>
              <w:t xml:space="preserve"> - all prior to 2016</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446.4</w:t>
            </w: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38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9"/>
              </w:rPr>
              <w:t>2014</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2014</w:t>
            </w: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xml:space="preserve">Cumulative </w:t>
            </w:r>
            <w:r>
              <w:rPr>
                <w:rFonts w:ascii="Arial" w:cs="Arial" w:eastAsia="Arial" w:hAnsi="Arial"/>
                <w:sz w:val="21"/>
                <w:szCs w:val="21"/>
                <w:color w:val="auto"/>
                <w:w w:val="97"/>
                <w:vertAlign w:val="superscript"/>
              </w:rPr>
              <w:t>(4)</w:t>
            </w:r>
            <w:r>
              <w:rPr>
                <w:rFonts w:ascii="Arial" w:cs="Arial" w:eastAsia="Arial" w:hAnsi="Arial"/>
                <w:sz w:val="18"/>
                <w:szCs w:val="18"/>
                <w:color w:val="auto"/>
                <w:w w:val="97"/>
              </w:rPr>
              <w:t xml:space="preserve"> - all prior to 2016</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299.5</w:t>
            </w:r>
          </w:p>
        </w:tc>
      </w:tr>
      <w:tr>
        <w:trPr>
          <w:trHeight w:val="250"/>
        </w:trPr>
        <w:tc>
          <w:tcPr>
            <w:tcW w:w="1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270"/>
        </w:trPr>
        <w:tc>
          <w:tcPr>
            <w:tcW w:w="1740" w:type="dxa"/>
            <w:vAlign w:val="bottom"/>
          </w:tcPr>
          <w:p>
            <w:pPr>
              <w:ind w:left="40"/>
              <w:spacing w:after="0"/>
              <w:rPr>
                <w:sz w:val="20"/>
                <w:szCs w:val="20"/>
                <w:color w:val="auto"/>
              </w:rPr>
            </w:pPr>
            <w:r>
              <w:rPr>
                <w:rFonts w:ascii="Arial" w:cs="Arial" w:eastAsia="Arial" w:hAnsi="Arial"/>
                <w:sz w:val="18"/>
                <w:szCs w:val="18"/>
                <w:color w:val="auto"/>
              </w:rPr>
              <w:t>Basaglar</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2016</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1380" w:type="dxa"/>
            <w:vAlign w:val="bottom"/>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2016</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84"/>
        </w:trPr>
        <w:tc>
          <w:tcPr>
            <w:tcW w:w="1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bl>
    <w:p>
      <w:pPr>
        <w:spacing w:after="0" w:line="113" w:lineRule="exact"/>
        <w:rPr>
          <w:sz w:val="20"/>
          <w:szCs w:val="20"/>
          <w:color w:val="auto"/>
        </w:rPr>
      </w:pPr>
    </w:p>
    <w:p>
      <w:pPr>
        <w:ind w:left="180" w:right="400" w:hanging="172"/>
        <w:spacing w:after="0" w:line="230" w:lineRule="auto"/>
        <w:tabs>
          <w:tab w:leader="none" w:pos="153"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Jentadueto is included in the Trajenta family of product results.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Glyxambi and Synjardy are included in the Jardiance family of product results.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The cumulative amount represents the total initial amounts that were (deferred) or capitalized from the start of this collaboration through the end of the reporting period.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6" w:right="239" w:bottom="1440" w:gutter="0" w:footer="0" w:header="0"/>
        </w:sectPr>
      </w:pPr>
    </w:p>
    <w:bookmarkStart w:id="13" w:name="page14"/>
    <w:bookmarkEnd w:id="13"/>
    <w:p>
      <w:pPr>
        <w:spacing w:after="0" w:line="251"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10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net product revenue recognized with respect to Basaglar: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153.3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115.4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408.2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330.8</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Jardiance</w:t>
            </w: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127.2</w:t>
            </w:r>
          </w:p>
        </w:tc>
        <w:tc>
          <w:tcPr>
            <w:tcW w:w="3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304.3</w:t>
            </w:r>
          </w:p>
        </w:tc>
        <w:tc>
          <w:tcPr>
            <w:tcW w:w="34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125.8</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145.7</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278.3</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46.6</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the U.S. and Canada (Merck KGaA). Certain rights to Erbitux outside the U.S. and Canada (collectively, North America) will remain with Merck KGaA (Merck) upon expiration of that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137.6</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155.9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403.3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455.8</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25.9</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73.7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77.5</w:t>
            </w:r>
          </w:p>
        </w:tc>
      </w:tr>
      <w:tr>
        <w:trPr>
          <w:trHeight w:val="26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163.5</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184.6</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477.0</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533.3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had been co-developing Erbitux in North America exclusively with BMS.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 consideration to BMS based upon a tiered percentage of net sales of Erbitux in North America estimated to average 38 percent through September 2018. The transfer of the commercialization rights was accounted for as an acquisition of a business. The consideration to be paid to BMS was accounted for as contingent consideration liability. See Note 6 for discussion regarding the estimation of this liability.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6" w:right="239" w:bottom="1440" w:gutter="0" w:footer="0" w:header="0"/>
        </w:sectPr>
      </w:pPr>
    </w:p>
    <w:bookmarkStart w:id="14" w:name="page15"/>
    <w:bookmarkEnd w:id="14"/>
    <w:p>
      <w:pPr>
        <w:ind w:right="30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the underlying sales occur. Royalties due to third parties are recorded as a reduction of collaboration and other revenue, net of any royalty reimbursements due from third parties.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29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rPr>
              <w:t>Marketing Rights</w:t>
            </w:r>
          </w:p>
        </w:tc>
        <w:tc>
          <w:tcPr>
            <w:tcW w:w="5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29"/>
        </w:trPr>
        <w:tc>
          <w:tcPr>
            <w:tcW w:w="3120" w:type="dxa"/>
            <w:vAlign w:val="bottom"/>
            <w:vMerge w:val="restart"/>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2980" w:type="dxa"/>
            <w:vAlign w:val="bottom"/>
            <w:vMerge w:val="restart"/>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tcPr>
          <w:p>
            <w:pPr>
              <w:jc w:val="center"/>
              <w:ind w:right="74"/>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09"/>
        </w:trPr>
        <w:tc>
          <w:tcPr>
            <w:tcW w:w="3120" w:type="dxa"/>
            <w:vAlign w:val="bottom"/>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5320" w:type="dxa"/>
            <w:vAlign w:val="bottom"/>
            <w:vMerge w:val="restart"/>
          </w:tcPr>
          <w:p>
            <w:pPr>
              <w:jc w:val="center"/>
              <w:ind w:right="74"/>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5"/>
        </w:trPr>
        <w:tc>
          <w:tcPr>
            <w:tcW w:w="31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Exclusive</w:t>
            </w:r>
          </w:p>
        </w:tc>
        <w:tc>
          <w:tcPr>
            <w:tcW w:w="53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rPr>
              <w:t>Daiichi Sankyo</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including the major European markets.</w:t>
      </w:r>
    </w:p>
    <w:p>
      <w:pPr>
        <w:spacing w:after="0" w:line="9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 Generic versions of Effient launched in the U.S. in the third quarter of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55.9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127.7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326.6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394.3</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Olumiant</w:t>
      </w:r>
      <w:r>
        <w:rPr>
          <w:rFonts w:ascii="Arial" w:cs="Arial" w:eastAsia="Arial" w:hAnsi="Arial"/>
          <w:sz w:val="21"/>
          <w:szCs w:val="21"/>
          <w:color w:val="auto"/>
          <w:vertAlign w:val="superscript"/>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rights to its Janus tyrosine kinase inhibitor compound, now known as baricitinib (trade name Olumiant), and certain follow-on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compounds, for the treatment of inflammatory and autoimmune diseases. Incyte has the right to receive tiered, double-digit royalty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future global sales with rates ranging up to 20 percent if the product is successfully commercialized. The agreement provides Incyte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options to co-develop these compounds on an indication-by-indication basis by funding 30 percent of the associated development costs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initiation of a Phase IIb trial through regulatory approval in exchange for increased tiered royalties ranging up to percentages in the high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twenties. Incyte exercised its option to co-develop Olumiant in rheumatoid arthritis in 2010 and psoriatic arthritis and atopic dermatitis in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agreement calls for payments by us to Incyte associated with certain development, success-based regulatory, and sales-based milestones.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we incurred milestone-related expenses of $55.0 million in connection with regulatory submissions in the U.S.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Europe, which were recorded as research and development expense. We capitalized as intangible assets $65.0 million in the first quarter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 and $15.0 million in the third quarter of 2017 of milestones in connection with regulatory approvals in Europe and Japan,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are being amortized to cost of sales over the term of the collaboration. As of September 30, 2017, Incyte is eligible to receive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$280.0 million of additional payments from us contingent upon certain development and success-based regulatory milestones, of which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relates to the U.S. regulatory decision for a first indication. Incyte is also eligible to receive up to $150.0 million of potential sales-based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milestones.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U.S. Food and Drug Administration's (FDA's) decision in March 2015 to lift the partial clinical hold on tanezumab, certain Phase III trials resumed in July 2015. Upon the FDA's lifting of the partial clinical hold and the decision to continue the collaboration with Pfizer, we paid an upfront fee of $200.0 million, which was expensed as acquired IPR&amp;D. As of September 30, 2017, Pfizer is eligible to receive up to $350.0 million in success-based regulatory milestones and up to $1.23 billion in a series of sales-based milestones, contingent upon the commercial success of tanezumab.</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Lanabecestat</w:t>
      </w:r>
    </w:p>
    <w:p>
      <w:pPr>
        <w:spacing w:after="0" w:line="11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a collaboration agreement with AstraZeneca for the worldwide co-development and co-commercialization of AstraZeneca’s lanabecestat, an oral beta-secretase cleaving enzyme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As a result of the molecule moving into Phase III testing in April 2016, we incurred a $100.0 million developmental milestone, which was recorded as research and development expense in the second quarter of 2016. In July 2017, as a result of the outcome of an interim analysis, we incurred a $50.0 million developmental milestone, which was recorded as research and development expense in the third quarter of 2017. As of September 30, 2017, AstraZeneca is eligible to receive up to $300.0 million of additional payments from us contingent upon the achievement of certain development and success-based regulatory milestones.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39"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165.7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277.1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5.8</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62.1</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37.0</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171.5</w:t>
            </w:r>
          </w:p>
        </w:tc>
        <w:tc>
          <w:tcPr>
            <w:tcW w:w="34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339.2</w:t>
            </w: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37.0</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25.0</w:t>
            </w:r>
          </w:p>
        </w:tc>
        <w:tc>
          <w:tcPr>
            <w:tcW w:w="34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25.0</w:t>
            </w: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210.0</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306.2</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197.9</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 impairment and other special charges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235.0</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37.2</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331.2</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197.9</w:t>
            </w: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406.5</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45.5</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670.4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234.9</w:t>
            </w:r>
          </w:p>
        </w:tc>
      </w:tr>
    </w:tbl>
    <w:p>
      <w:pPr>
        <w:spacing w:after="0" w:line="1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Severance costs recognized during the three months ended September 30, 2017 were incurred as a result of actions taken to reduce our cost structure. Severance costs recognized during the nine months ended September 30, 2017 were incurred as a result of actions taken to reduce our cost structure, as well as the integration of Novartis Animal Health (Novartis AH). Severance costs recognized during the three and nine months ended September 30, 2016 related primarily to the integration of Novartis AH. Severance costs recognized during the nine months ended September 30, 2016 also related to our decision to close an animal health manufacturing plant in Ireland. Substantially all of the severance costs incurred during the three and nine months ended September 30, 2017 are expected to be paid in the next 12 months.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16" w:name="page17"/>
    <w:bookmarkEnd w:id="16"/>
    <w:p>
      <w:pPr>
        <w:spacing w:after="0" w:line="248" w:lineRule="auto"/>
        <w:rPr>
          <w:sz w:val="20"/>
          <w:szCs w:val="20"/>
          <w:color w:val="auto"/>
        </w:rPr>
      </w:pPr>
      <w:r>
        <w:rPr>
          <w:rFonts w:ascii="Arial" w:cs="Arial" w:eastAsia="Arial" w:hAnsi="Arial"/>
          <w:sz w:val="18"/>
          <w:szCs w:val="18"/>
          <w:color w:val="auto"/>
        </w:rPr>
        <w:t>Substantially all of the asset impairment and other special charges related to animal health products recognized during the three months ended September 30, 2017 related to lower projected revenue for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The company is exploring strategic options for Posilac, including seeking a buyer for the molecule and its Augusta manufacturing site. The assets associated with Posilac were written down to their fair values, which were determined based upon a discounted cash flow valuation. The remaining book value of assets associated with Posilac subsequent to the impairment charge are not material. Other asset impairment and other special charges recognized during the three months ended September 30, 2017 related to exit costs associated with site closures. Asset impairment and other special charges recognized during the nine months ended September 30, 2017 resulted primarily from charges associated with the Posilac impairment, integration costs of Novartis AH, as well as asset impairments due to site closures. Asset impairment and other special charges recognized during the three months ended September 30, 2016 related primarily to integration costs related to our acquisition of Novartis AH. Asset impairment and other special charges recognized during the nine months ended September 30, 2016 resulted primarily from $87.2 million of asset impairment and other charges related to our decision to close an animal health manufacturing plant in Ireland. The manufacturing plant was written down to its estimated fair value, which was based primarily on recent sales of similar assets. The remaining asset impairment and other special charges recognized during the nine months ended September 30, 2016 consisted of integration costs related to our acquisition of Novartis AH.</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September 2017, we announced plans to reduce our cost structure by streamlining our operations, including a U.S. voluntary early retirement program. In addition to the asset impairment, restructuring, and other special charges discussed above that were incurred during the three months ended September 30, 2017, we expect to incur additional charges of approximately $800 million in the fourth quarter of 2017 related to these plans. The fourth quarter charge could vary depending on the composition of participants within the U.S. voluntary early retirement program, as well as other actions taken to improve our cost 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6" w:right="239" w:bottom="1440" w:gutter="0" w:footer="0" w:header="0"/>
        </w:sectPr>
      </w:pPr>
    </w:p>
    <w:bookmarkStart w:id="17" w:name="page18"/>
    <w:bookmarkEnd w:id="17"/>
    <w:p>
      <w:pPr>
        <w:ind w:right="2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September 30, 2017, we had outstanding foreign currency forward commitments to purchase 502.9 million U.S. dollars and sell 422.1 million euro, commitments to purchase 735.7 million euro and sell 878.1 million U.S. dollars, commitments to purchase 428.4 million U.S. dollars and sell 47.90 billion Japanese yen, commitments to purchase 295.9 million British pounds and sell 334.8 million euro, and commitments to purchase 287.3 million U.S. dollars and sell 212.2 million British pounds, which will all settle within 30 days.</w:t>
      </w:r>
    </w:p>
    <w:p>
      <w:pPr>
        <w:spacing w:after="0" w:line="1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$3.67 billion and $3.34 billion as of September 30, 2017 and December 31, 2016, respectively, and have been designated as, and are effective as, economic hedges of net investments in certain of our euro-denominated and Swiss franc-denominated foreign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September 30, 2017, substantially all of our total long-term debt is at a fixed rate. We have converted approximately 30 percent of our long-term fixed-rate notes to floating rates through the use of interest rate swaps.</w:t>
      </w:r>
    </w:p>
    <w:p>
      <w:pPr>
        <w:spacing w:after="0" w:line="101"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May 2017, we issued $750.0 million of 2.35 percent fixed-rate notes due in May 2022, $750.0 million of 3.10 percent fixed-rate notes due in May 2027, and $750.0 million of 3.95 percent fixed-rate notes due in May 2047, with interest to be paid semi-annually. We are using the net proceeds of $2.23 billion from the sale of these notes for general corporate purposes, which may include the repayment of notes due in 2018 and 2019. Prior to such uses, we may temporarily invest the net proceeds in investment securities.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May 2016, we issued Swiss franc-denominated notes consisting of Fr.200.0 million of 0.00 percent fixed-rate notes due in May 2018, Fr.600.0 million of 0.15 percent fixed-rate notes due in May 2024, and Fr.400.0 million of 0.45 percent fixed-rate notes due in May 2028, with interest to be paid annually. We are using the net cash proceeds of the offering of $ 1.21 billion for general corporate purposes, which included the repayment at maturity of certain of our U.S. dollar denominated fixed-rate notes due March 2017.</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0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3.6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4.0</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11.1</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w:t>
            </w:r>
          </w:p>
        </w:tc>
        <w:tc>
          <w:tcPr>
            <w:tcW w:w="240" w:type="dxa"/>
            <w:vAlign w:val="bottom"/>
          </w:tcPr>
          <w:p>
            <w:pPr>
              <w:spacing w:after="0"/>
              <w:rPr>
                <w:sz w:val="19"/>
                <w:szCs w:val="19"/>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79.2</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nine months ended September 30, 2017 and 2016, net losses related to ineffectiveness, as well as net losses related to the portion of our risk-management hedging instruments, fair value hedges, and cash flow hedges that were excluded from the assessment of effectiveness,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(58.7)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(332.0)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(38.2)</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(95.8)</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63"/>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Pr>
          <w:p>
            <w:pPr>
              <w:spacing w:after="0"/>
              <w:rPr>
                <w:sz w:val="22"/>
                <w:szCs w:val="22"/>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31.9</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57"/>
        </w:trPr>
        <w:tc>
          <w:tcPr>
            <w:tcW w:w="6940" w:type="dxa"/>
            <w:vAlign w:val="bottom"/>
          </w:tcPr>
          <w:p>
            <w:pPr>
              <w:ind w:left="24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tcPr>
          <w:p>
            <w:pPr>
              <w:spacing w:after="0"/>
              <w:rPr>
                <w:sz w:val="22"/>
                <w:szCs w:val="22"/>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13.0</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21"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During the next 12 months, we expect to reclassify $14.7 million of pretax net losses on cash flow hedges from accumulated other comprehensive loss to other–net, (income) expense.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following tables summarize certain fair value information at September 30, 2017 and December 31, 2016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202"/>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2,066.7</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2,066.7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1,611.0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455.7</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2,066.7</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742.2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742.7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742.2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742.2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2,322.9</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2,322.4</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2,322.9</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2,322.9</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149.8</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149.8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149.8</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149.8</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3.9</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3.9</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3.9</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3.9</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3,218.8</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411.7</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415.3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411.7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411.7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3,913.2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3,903.8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3,913.2</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3,913.2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165.1</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166.0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165.1</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165.1</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638.8</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639.2</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638.8</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638.8</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130.7</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75.5</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130.7</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130.7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344.7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127.5</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344.7</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344.7</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544.5</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6,148.7</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2,986.8</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2,986.8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2,699.4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287.4</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2,986.8</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232.5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232.5</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1,219.2</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1,219.1</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1,219.2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1,219.2</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0.5</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0.5</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1,456.5</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318.9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323.8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318.9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318.9</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3,062.2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3,074.3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3,062.2</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3,062.2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183.1</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185.4</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183.1</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183.1</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502.7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503.5</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502.7</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502.7</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153.7</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77.6</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153.7</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153.7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418.2</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91.9</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418.2</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418.2</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568.7</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5,207.5</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bl>
    <w:p>
      <w:pPr>
        <w:spacing w:after="0" w:line="101"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Fair value disclosures are not applicable for cost method and equity method investments.</w:t>
      </w:r>
    </w:p>
    <w:p>
      <w:pPr>
        <w:sectPr>
          <w:pgSz w:w="11900" w:h="16838" w:orient="portrait"/>
          <w:cols w:equalWidth="0" w:num="1">
            <w:col w:w="11420"/>
          </w:cols>
          <w:pgMar w:left="240" w:top="742"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42"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5"/>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196"/>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September 30, 2017</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(2,526.0)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(2,523.7)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(2,523.7)</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(1,299.3)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(1,299.3)</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(10,938.7)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(11,448.4)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(11,448.4)</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(9,005.9)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(9,419.1)</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(9,419.1)</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2017</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2.0</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43.0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43.0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43.0</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(0.4)</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(43.4)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(43.4)</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(20.5)</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(20.5)</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(20.5)</w:t>
            </w: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21.0</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21.0</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(13.9)</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(92.2)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(92.2)</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(92.2)</w:t>
            </w:r>
          </w:p>
        </w:tc>
      </w:tr>
      <w:tr>
        <w:trPr>
          <w:trHeight w:val="331"/>
        </w:trPr>
        <w:tc>
          <w:tcPr>
            <w:tcW w:w="4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37.0</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(215.9)</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r>
    </w:tbl>
    <w:p>
      <w:pPr>
        <w:spacing w:after="0" w:line="101"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Contingent consideration liabilities primarily relate to the Erbitux arrangement with BMS discussed in Note 4.</w:t>
      </w:r>
    </w:p>
    <w:p>
      <w:pPr>
        <w:spacing w:after="0" w:line="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10" w:right="239" w:bottom="1440" w:gutter="0" w:footer="0" w:header="0"/>
        </w:sectPr>
      </w:pPr>
    </w:p>
    <w:bookmarkStart w:id="22" w:name="page23"/>
    <w:bookmarkEnd w:id="22"/>
    <w:p>
      <w:pPr>
        <w:ind w:right="160"/>
        <w:spacing w:after="0" w:line="254"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cost and equity method investments are not readily available.</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nine months ended September 30, 2017 was due primarily to cash payments of $ 151.3 million related to Erbitux. The change in the fair value of the contingent consideration liabilities recognized in earnings during the three and nine months ended September 30, 2017 and 2016 due to changes in time value of money was not material.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8,343.7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3,214.9</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4,795.2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211.2</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2017</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2016</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259.7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352.6</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8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27.2</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34.1</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8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3,400.7</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1,869.7</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8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4,013.9</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3,262.3</w:t>
            </w:r>
          </w:p>
        </w:tc>
      </w:tr>
    </w:tbl>
    <w:p>
      <w:pPr>
        <w:spacing w:after="0" w:line="12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periodically assess our investment securities for other-than-temporary impairment losses. There were no other-than-temporary impairment losses in the three and nine months ended September 30, 2017. Other-than-temporary impairment losses recognized during the three and nine months ended September 30, 2016 were $11.4 million and $53.0 million, respectively.</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September 30, 2017, the securities in an unrealized loss position include primarily fixed-rate debt securities of varying maturities, which are sensitive to changes in the yield curve and other market conditions. Approximately 95 percent of the fixed-rate debt securities in a loss position are investment-grade debt securities. As of September 30, 2017,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951.5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926.3</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3,003.0</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2,503.4</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9.0</w:t>
            </w:r>
          </w:p>
        </w:tc>
        <w:tc>
          <w:tcPr>
            <w:tcW w:w="3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12.8</w:t>
            </w:r>
          </w:p>
        </w:tc>
        <w:tc>
          <w:tcPr>
            <w:tcW w:w="1140" w:type="dxa"/>
            <w:vAlign w:val="bottom"/>
          </w:tcPr>
          <w:p>
            <w:pPr>
              <w:jc w:val="right"/>
              <w:ind w:right="39"/>
              <w:spacing w:after="0"/>
              <w:rPr>
                <w:sz w:val="20"/>
                <w:szCs w:val="20"/>
                <w:color w:val="auto"/>
              </w:rPr>
            </w:pPr>
            <w:r>
              <w:rPr>
                <w:rFonts w:ascii="Arial" w:cs="Arial" w:eastAsia="Arial" w:hAnsi="Arial"/>
                <w:sz w:val="18"/>
                <w:szCs w:val="18"/>
                <w:b w:val="1"/>
                <w:bCs w:val="1"/>
                <w:color w:val="auto"/>
              </w:rPr>
              <w:t>82.9</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18.0</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0.8</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3.2</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r>
    </w:tbl>
    <w:p>
      <w:pPr>
        <w:spacing w:after="0" w:line="1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$678.9 million and $661.6 million of accounts receivable as of September 30, 2017 and December 31, 2016, respectively, under these factoring arrangements. The cost of factoring such accounts receivable on our consolidated condensed results of operations for the nine months ended September 30, 2017 and 2016 was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the nine months ended September 30, 2017 and 2016, we repurchased $259.9 million and $300.1 million of shares, respectively, associated with our $5.00 billion share repurchase program announced in October 2013. A payment of $60.0 million was made in the fourth quarter of 2016 for shares repurchased in 2017. As of September 30, 2017, there were $2.15 billion of shares remaining in that program.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Income Taxes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effective tax rates were 6.1 percent and 24.1 percent for the three and nine months ended September 30, 2017, respectively, compared with 19.9 percent and 20.8 percent for the same respective periods of 2016. The decrease in the effective tax rate for the third quarter of 2017 is primarily due to the income tax benefit of acquired IPR&amp;D charges and asset impairment, restructuring, and other special charges. The increase in the effective tax rate for the first nine months of 2017 is primarily due to the non-tax deductible $857.6 million acquired IPR&amp;D charge for the acquisition of CoLucid, partially offset by the income tax benefit of acquired IPR&amp;D charges and asset impairment, restructuring, and other special charges.</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first quarter of 2016, we completed and effectively settled the U.S. examination of tax years 2010-2012. As a result of this resolution, our gross uncertain tax positions were reduced by approximately $ 140 million, and our consolidated condensed results of operations benefited from an immaterial reduction in income tax expense. During 2016, we made cash payments of approximately $150 million related to tax years 2010-2012 after application of available tax credit carryforwards and carrybacks. The U.S. examination of tax years 2013-2015 began in 2016 and is ongoing. The resolution of matters in this audit period will likely extend beyond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Defined Benefit Pension Plans</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54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6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2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6"/>
              <w:spacing w:after="0"/>
              <w:rPr>
                <w:sz w:val="20"/>
                <w:szCs w:val="20"/>
                <w:color w:val="auto"/>
              </w:rPr>
            </w:pPr>
            <w:r>
              <w:rPr>
                <w:rFonts w:ascii="Arial" w:cs="Arial" w:eastAsia="Arial" w:hAnsi="Arial"/>
                <w:sz w:val="18"/>
                <w:szCs w:val="18"/>
                <w:b w:val="1"/>
                <w:bCs w:val="1"/>
                <w:color w:val="auto"/>
              </w:rPr>
              <w:t>86.0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70.2</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251.6</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212.2</w:t>
            </w:r>
          </w:p>
        </w:tc>
      </w:tr>
      <w:tr>
        <w:trPr>
          <w:trHeight w:val="277"/>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103.6</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104.2</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309.2</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314.4</w:t>
            </w:r>
          </w:p>
        </w:tc>
      </w:tr>
      <w:tr>
        <w:trPr>
          <w:trHeight w:val="263"/>
        </w:trPr>
        <w:tc>
          <w:tcPr>
            <w:tcW w:w="62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(196.4)</w:t>
            </w:r>
          </w:p>
        </w:tc>
        <w:tc>
          <w:tcPr>
            <w:tcW w:w="320" w:type="dxa"/>
            <w:vAlign w:val="bottom"/>
          </w:tcPr>
          <w:p>
            <w:pPr>
              <w:spacing w:after="0"/>
              <w:rPr>
                <w:sz w:val="22"/>
                <w:szCs w:val="22"/>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(187.6)</w:t>
            </w:r>
          </w:p>
        </w:tc>
        <w:tc>
          <w:tcPr>
            <w:tcW w:w="3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(585.7)</w:t>
            </w: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(566.7)</w:t>
            </w:r>
          </w:p>
        </w:tc>
      </w:tr>
      <w:tr>
        <w:trPr>
          <w:trHeight w:val="277"/>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1.4</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4.3</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64"/>
        </w:trPr>
        <w:tc>
          <w:tcPr>
            <w:tcW w:w="6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72.5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71.0</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215.6</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213.4</w:t>
            </w:r>
          </w:p>
        </w:tc>
      </w:tr>
      <w:tr>
        <w:trPr>
          <w:trHeight w:val="277"/>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67.1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60.7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195.0</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181.9</w:t>
            </w:r>
          </w:p>
        </w:tc>
      </w:tr>
      <w:tr>
        <w:trPr>
          <w:trHeight w:val="507"/>
        </w:trPr>
        <w:tc>
          <w:tcPr>
            <w:tcW w:w="6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Retiree Health Benefit Plans</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5"/>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54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6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2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6"/>
              <w:spacing w:after="0"/>
              <w:rPr>
                <w:sz w:val="20"/>
                <w:szCs w:val="20"/>
                <w:color w:val="auto"/>
              </w:rPr>
            </w:pPr>
            <w:r>
              <w:rPr>
                <w:rFonts w:ascii="Arial" w:cs="Arial" w:eastAsia="Arial" w:hAnsi="Arial"/>
                <w:sz w:val="18"/>
                <w:szCs w:val="18"/>
                <w:b w:val="1"/>
                <w:bCs w:val="1"/>
                <w:color w:val="auto"/>
              </w:rPr>
              <w:t>11.6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9.7</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b w:val="1"/>
                <w:bCs w:val="1"/>
                <w:color w:val="auto"/>
              </w:rPr>
              <w:t>34.8</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29.3</w:t>
            </w:r>
          </w:p>
        </w:tc>
      </w:tr>
      <w:tr>
        <w:trPr>
          <w:trHeight w:val="277"/>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13.2</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39.6</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r>
      <w:tr>
        <w:trPr>
          <w:trHeight w:val="263"/>
        </w:trPr>
        <w:tc>
          <w:tcPr>
            <w:tcW w:w="62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320" w:type="dxa"/>
            <w:vAlign w:val="bottom"/>
          </w:tcPr>
          <w:p>
            <w:pPr>
              <w:spacing w:after="0"/>
              <w:rPr>
                <w:sz w:val="22"/>
                <w:szCs w:val="22"/>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(37.6)</w:t>
            </w:r>
          </w:p>
        </w:tc>
        <w:tc>
          <w:tcPr>
            <w:tcW w:w="3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color w:val="auto"/>
              </w:rPr>
              <w:t>(120.6)</w:t>
            </w: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77"/>
        </w:trPr>
        <w:tc>
          <w:tcPr>
            <w:tcW w:w="6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(67.5)</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64"/>
        </w:trPr>
        <w:tc>
          <w:tcPr>
            <w:tcW w:w="6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4.6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13.8</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r>
      <w:tr>
        <w:trPr>
          <w:trHeight w:val="277"/>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(99.9)</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r>
    </w:tbl>
    <w:p>
      <w:pPr>
        <w:spacing w:after="0" w:line="107"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have contributed approximately $30 million required to satisfy minimum funding requirements to our defined benefit pension and retiree health benefit plans during the nine months ended September 30, 2017. Additional discretionary funding in the aggregate was not material during the nine months ended September 30, 2017. During the remainder of 2017, we expect to make contributions to our defined benefit pension and retiree health benefit plans of approximately $10 million to satisfy minimum funding requirements. No additional discretionary funding for the remainder of 2017 has been approved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9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6" w:right="239" w:bottom="1440" w:gutter="0" w:footer="0" w:header="0"/>
        </w:sectPr>
      </w:pPr>
    </w:p>
    <w:bookmarkStart w:id="25" w:name="page26"/>
    <w:bookmarkEnd w:id="25"/>
    <w:p>
      <w:pPr>
        <w:jc w:val="both"/>
        <w:ind w:right="220"/>
        <w:spacing w:after="0" w:line="238" w:lineRule="auto"/>
        <w:rPr>
          <w:sz w:val="20"/>
          <w:szCs w:val="20"/>
          <w:color w:val="auto"/>
        </w:rPr>
      </w:pPr>
      <w:r>
        <w:rPr>
          <w:rFonts w:ascii="Arial" w:cs="Arial" w:eastAsia="Arial" w:hAnsi="Arial"/>
          <w:sz w:val="18"/>
          <w:szCs w:val="18"/>
          <w:color w:val="auto"/>
        </w:rPr>
        <w:t>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 for the product in the relevant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A trial occurred in August 2013; the sole issue before the district court at that time was to determine patent validity. In March 2014, the district court ruled that the asserted claims of the vitamin regimen patent are valid. The U.S. District Court for the Southern District of Indiana held a hearing on the issue of infringement in May 2015. In September 2015, the district court ruled that the vitamin regimen patent would be infringed by the generic challengers' proposed products. Teva and APP appealed all of the district court’s substantive decisions. In January 2017, the U.S. Court of Appeals for the Federal Circuit affirmed the district court’s decisions concerning validity and infringement. The defendants did not file for writ of certiorari with the U.S. Supreme Court, making the Court of Appeal's decision final.</w:t>
      </w:r>
    </w:p>
    <w:p>
      <w:pPr>
        <w:spacing w:after="0" w:line="98"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From 2012 through 2017, we filed similar lawsuits against other ANDA defendants seeking a ruling that our patents are valid and infringed. As a result of the completion of the Teva/APP litigation, the U.S. District Court for the Southern District of Indiana has entered a judgment against five companies. Cases remain pending against an additional six ANDA defendants.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filed lawsuits in the U.S. District Court for the Southern District of Indiana alleging infringement against Dr. Reddy's Laboratories (Dr. Reddy's), Hospira, Inc. (Hospira), Apotex, and Actavis LLC in response to their alternative forms of pemetrexed products. In November 2017, the court is expected to hold a hearing on a motion for summary judgment filed by Dr. Reddy's. If that motion is denied, trial is expected in early 2018. We have also filed a lawsuit against Eagle Pharmaceuticals (Eagle) in the U.S. District Court for Delaware. Eagle has filed suit against us in U.S. District Court of New Jersey alleging violations of federal competition law relating to its application for an alternative salt form of pemetrexed (the active ingredient in Alimta).</w:t>
      </w:r>
    </w:p>
    <w:p>
      <w:pPr>
        <w:spacing w:after="0" w:line="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June 2016, the U.S. Patent and Trademark Office (USPTO) granted petitions by Neptune Generics, LLC and Sandoz Inc. seeking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(IPR) of our vitamin regimen patent. Several additional generic companies filed petitions and joined these proceedings.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2017, the USPTO ruled in our favor, finding that the claims of the vitamin regimen patent are valid. The generic companies which filed petitions with the USPTO may appeal these rulings to the U.S. Court of Appeals for the Federal Circuit.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the United Kingdom (U.K.), Actavis Group ehf and other Actavis companies (collectively, Actavis) filed litigation asking for a declaratory judgment that commercialization of certain salt forms of pemetrexed would not infringe the vitamin regimen patents for Alimta in the U.K., Italy, France, and Spain. In trial court and court of appeal decisions, the alternative salt forms were found to indirectly infringe the Alimta vitamin regimen patent when reconstituted in saline, but not to directly infringe the patents as an equivalent. We appealed. In July 2017, the U.K. Supreme Court ruled that Actavis’s products directly infringe our vitamin regimen patents in the U.K., Italy, France, and Spain. The U.K. Supreme Court also affirmed an earlier finding by the U.K. Court of Appeal that the Alimta vitamin regimen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57" w:right="239" w:bottom="1440" w:gutter="0" w:footer="0" w:header="0"/>
        </w:sectPr>
      </w:pPr>
    </w:p>
    <w:bookmarkStart w:id="26" w:name="page27"/>
    <w:bookmarkEnd w:id="26"/>
    <w:p>
      <w:pPr>
        <w:ind w:right="340"/>
        <w:spacing w:after="0" w:line="262" w:lineRule="auto"/>
        <w:rPr>
          <w:sz w:val="20"/>
          <w:szCs w:val="20"/>
          <w:color w:val="auto"/>
        </w:rPr>
      </w:pPr>
      <w:r>
        <w:rPr>
          <w:rFonts w:ascii="Arial" w:cs="Arial" w:eastAsia="Arial" w:hAnsi="Arial"/>
          <w:sz w:val="18"/>
          <w:szCs w:val="18"/>
          <w:color w:val="auto"/>
        </w:rPr>
        <w:t>patent would be indirectly infringed by commercialization of Actavis’s products diluted in saline. We intend to pursue Actavis and others that launched at risk for damages.</w:t>
      </w:r>
    </w:p>
    <w:p>
      <w:pPr>
        <w:spacing w:after="0" w:line="8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Actavis sought a declaration of non-infringement from the U.K. High Court for a different proposed product diluted in dextrose solution. In February 2016, the trial court ruled that Actavis’ commercialization of this product would not infringe the patent in the U.K., Italy, France, and Spain. We are still seeking to appeal this ruling for procedural purposes, although it has now been superseded by the U.K. Supreme Court's recent decision.</w:t>
      </w:r>
    </w:p>
    <w:p>
      <w:pPr>
        <w:spacing w:after="0" w:line="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commenced separate infringement proceedings against certain Actavis companies in Germany. In April 2014, the German trial court ruled in our favor. The defendants appealed and the German Court of Appeal overturned the trial court and ruled that our vitamin regimen patent in Germany would not be infringed by a dipotassium salt form of pemetrexed. In June 2016, the German Federal Supreme Court granted our appeal, vacating the prior decision denying infringement, and returned the case to the German Court of Appeal to reconsider issues relating to infringement.</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separate proceedings, in May 2016 and June 2016, the German courts confirmed preliminary injunctions against Hexal AG (Hexal), which had stated its intention to launch a generic disodium salt product diluted in saline solution, and ratiopharm GmbH (ratiopharm), a subsidiary of Teva, which had stated its intention to launch a proposed alternative salt form of pemetrexed product diluted in dextrose solution. The German Court of Appeal affirmed the preliminary injunction against ratiopharm in May 2017. The preliminary injunctions against both Hexal and ratiopharm will remain in place pending the outcome of the cases on the merits.</w:t>
      </w:r>
    </w:p>
    <w:p>
      <w:pPr>
        <w:spacing w:after="0" w:line="97"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In late 2016, the German courts issued preliminary injunctions against two other companies that had stated their intentions to launch a proposed alternative salt form of pemetrexed product diluted in dextrose solution.</w:t>
      </w:r>
    </w:p>
    <w:p>
      <w:pPr>
        <w:spacing w:after="0" w:line="8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Hexal and Stada Arzneimittel AG have separately challenged the validity of our vitamin regimen patent before the German Federal Patent court. The hearing will take place in mid-2018.</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do not anticipate any generic entry into the German market at least until the German Court of Appeal considers the issues remanded by the German Federal Supreme Court in the proceedings against Actavis, or if the injunctions are lifted.</w:t>
      </w:r>
    </w:p>
    <w:p>
      <w:pPr>
        <w:spacing w:after="0" w:line="8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Additional legal proceedings are ongoing in various national courts of other European countries. We are aware that generic competitors have received approval to market generic versions of pemetrexed in major European markets, and that a generic product is currently on the market in at least one major European market. In light of the U.K. Supreme Court's judgment finding infringement in the U.K., Italy, France, and Spain, Actavis has withdrawn its previously launched-at-risk generic products from these markets. We will continue to seek to remove any generic pemetrexed products launched at risk in other European markets.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Three separate sets of demands for invalidation of our two vitamin regimen patents, involving several companies, were filed with the Japanese Patent Office (JPO). In November 2015, the JPO issued written decisions in the invalidation trials initiated by Sawai Pharmaceutical Co., Ltd. (Sawai), which had been joined by three other companies, upholding both vitamin regimen patents. In February 2017, the Japan Intellectual Property High Court confirmed the decisions of the JPO and ruled in our favor in the invalidation trials initiated by Sawai. The Japan Intellectual Property High Court’s decisions regarding the demands initiated by Sawai are now final. In May 2017, the JPO resumed one of the two remaining sets of demands, brought by Nipro Corporation. We expect a decision from the JPO on those demands in the first half of 2018. The other set of demands, brought by Hospira and Hospira Japan remain suspended. If upheld through all challenges, these patents provide intellectual property protection for Alimta until June 2021.</w:t>
      </w:r>
    </w:p>
    <w:p>
      <w:pPr>
        <w:spacing w:after="0" w:line="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Notwithstanding our patents, generic versions of Alimta were approved in Japan starting in February 2016. We do not currently anticipate that generic versions of Alimta will proceed to pricing approval.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 Patent Litigation and Administrative Proceedings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10 different companies have submitted ANDAs seeking approval to market generic versions of Effient prior to the expiration of Daiichi Sankyo’s and Ube’s patents (expiring in 2023) covering methods of using Effient with aspirin, and alleging the patents are invalid. One of these ANDAs also alleged that the compound patent for Effient (which expired in April 2017) was invalid. Beginning in March 2014, we filed lawsuits in the U.S. District Court for the Southern District of Indiana against these companies, seeking a ruling that the patents are valid and infringed. Following the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6" w:right="239" w:bottom="1440" w:gutter="0" w:footer="0" w:header="0"/>
        </w:sectPr>
      </w:pPr>
    </w:p>
    <w:bookmarkStart w:id="27" w:name="page28"/>
    <w:bookmarkEnd w:id="27"/>
    <w:p>
      <w:pPr>
        <w:ind w:right="180"/>
        <w:spacing w:after="0" w:line="262" w:lineRule="auto"/>
        <w:rPr>
          <w:sz w:val="20"/>
          <w:szCs w:val="20"/>
          <w:color w:val="auto"/>
        </w:rPr>
      </w:pPr>
      <w:r>
        <w:rPr>
          <w:rFonts w:ascii="Arial" w:cs="Arial" w:eastAsia="Arial" w:hAnsi="Arial"/>
          <w:sz w:val="18"/>
          <w:szCs w:val="18"/>
          <w:color w:val="auto"/>
        </w:rPr>
        <w:t>settlement related to the compound patent challenge, generic products launched in the U.S. in the third quarter of 2017. The remaining cases have been consolidated and stayed. The entry of generic competition has caused a rapid and severe decline in revenue for the product.</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method-of-use patents. In September 2016, the USPTO determined that the method-of-use patents are invalid. Daiichi Sankyo and Ube have appealed these decisions to the U.S. Court of Appeals for the Federal Circuit. We expect a final decision in late 2017. The consolidated lawsuit is currently stayed with respect to all parties pending the outcome of this appeal.</w:t>
      </w:r>
    </w:p>
    <w:p>
      <w:pPr>
        <w:spacing w:after="0" w:line="9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believe the Effient method-of-use patents are valid and enforceable against these generic manufacturers. However, it is not possible to determine the outcome of the proceedings, and accordingly, we can provide no assurance that we will prevail.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5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were named along with Takeda Chemical Industries, Ltd. and Takeda affiliates (collectively, Takeda) as a defendant in approximately 6,700 product liability cases in the U.S. related to the diabetes medication Actos, which we co-promoted with Takeda in the U.S. from 1999 until 2006. In general, plaintiffs in these actions alleged that Actos caused or contributed to their bladder cancer. Almost all of these cases were included as part of a resolution program announced by Takeda in April 2015 in which Takeda agreed to pay approximately $2.4 billion to resolve the vast majority of the U.S. product liability lawsuits involving Actos. Although the vast majority of U.S. product liability lawsuits involving Actos are included in the resolution program, there may be additional cases pending against Takeda and us following completion of the resolution program.</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w:t>
      </w:r>
      <w:r>
        <w:rPr>
          <w:rFonts w:ascii="Arial" w:cs="Arial" w:eastAsia="Arial" w:hAnsi="Arial"/>
          <w:sz w:val="18"/>
          <w:szCs w:val="18"/>
          <w:color w:val="auto"/>
        </w:rPr>
        <w:t xml:space="preserve"> </w:t>
      </w:r>
      <w:r>
        <w:rPr>
          <w:rFonts w:ascii="Arial" w:cs="Arial" w:eastAsia="Arial" w:hAnsi="Arial"/>
          <w:sz w:val="18"/>
          <w:szCs w:val="18"/>
          <w:i w:val="1"/>
          <w:iCs w:val="1"/>
          <w:color w:val="auto"/>
        </w:rPr>
        <w:t>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5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October 2012, 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xml:space="preserve">) involving Cymbalta. The plaintiffs, purporting to represent a class of all persons within the U.S. who 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suits and plaintiffs appealed to the U.S. Court of Appeals for the Ninth Circuit. In June 2017, we moved to dismiss the appeal for lack of jurisdiction based on the U.S. Supreme Court's recent decision in </w:t>
      </w:r>
      <w:r>
        <w:rPr>
          <w:rFonts w:ascii="Arial" w:cs="Arial" w:eastAsia="Arial" w:hAnsi="Arial"/>
          <w:sz w:val="18"/>
          <w:szCs w:val="18"/>
          <w:i w:val="1"/>
          <w:iCs w:val="1"/>
          <w:color w:val="auto"/>
        </w:rPr>
        <w:t>Microsoft v. Baker</w:t>
      </w:r>
      <w:r>
        <w:rPr>
          <w:rFonts w:ascii="Arial" w:cs="Arial" w:eastAsia="Arial" w:hAnsi="Arial"/>
          <w:sz w:val="18"/>
          <w:szCs w:val="18"/>
          <w:color w:val="auto"/>
        </w:rPr>
        <w:t>. In October 2017, the U.S. Court of Appeals for the Ninth Circuit granted our motion.</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named in approximately 140 lawsuits involving approximately 1,470 plaintiffs filed in various federal and state courts alleging injuries arising from discontinuation of treatment with Cymbalta. These include approximately 40 individual and multi-plaintiff cases filed in California state court, centralized in a California Judicial Counsel Coordination Proceeding pending in Los Angeles. The first individual product liability cases were tried in August 2015 and resulted in defense verdicts against approximately five plaintiffs. We believe all these Cymbalta lawsuits and claims are without merit. We have reached a settlement framework which provides for a comprehensive resolution of nearly all of these personal injury claims, filed or unfiled, alleging injuries from discontinuing treatment with Cymbalta. There can be no assurances, however, that a final settlement will be reached.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60" w:right="239" w:bottom="1440" w:gutter="0" w:footer="0" w:header="0"/>
        </w:sectPr>
      </w:pPr>
    </w:p>
    <w:bookmarkStart w:id="28" w:name="page29"/>
    <w:bookmarkEnd w:id="28"/>
    <w:p>
      <w:pPr>
        <w:ind w:right="20"/>
        <w:spacing w:after="0" w:line="252" w:lineRule="auto"/>
        <w:rPr>
          <w:sz w:val="20"/>
          <w:szCs w:val="20"/>
          <w:color w:val="auto"/>
        </w:rPr>
      </w:pPr>
      <w:r>
        <w:rPr>
          <w:rFonts w:ascii="Arial" w:cs="Arial" w:eastAsia="Arial" w:hAnsi="Arial"/>
          <w:sz w:val="18"/>
          <w:szCs w:val="18"/>
          <w:color w:val="auto"/>
        </w:rPr>
        <w:t>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$315 million as of September 30, 2017) plus interest. We strongly disagree with the decision and filed an appeal in May 2014. We expect a ruling on this appeal before the end of the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40 lawsuits filed in the same court by individual former employees making similar claims.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Lilly Brasil and Elanco Quimica Ltda. have also been named in a lawsuit in 15th Region in the Labor Court of Paulinia, State of Sao Paulo, involving approximately 305 individuals alleging that the companies failed to provide warnings regarding exposure to heavy metals or proper equipment at the former Cosmopolis facility, and that this alleged failure could result in possible harm to employees, former employees, and their dependents. In June 2017, the court denied the plaintiffs' request for a preliminary injunction. In September 2017, the court dismissed all claims except the one filed by the first named plaintiff. The other plaintiffs have filed a motion for clarification, which may lead to the filing of an appeal.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prepared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760" w:right="379" w:bottom="1440" w:gutter="0" w:footer="0" w:header="0"/>
        </w:sectPr>
      </w:pPr>
    </w:p>
    <w:bookmarkStart w:id="29" w:name="page30"/>
    <w:bookmarkEnd w:id="29"/>
    <w:p>
      <w:pPr>
        <w:spacing w:after="0"/>
        <w:tabs>
          <w:tab w:leader="none" w:pos="9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(1,349.4)</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(3,348.5)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(197.6)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(4,742.3)</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135.8</w:t>
            </w:r>
          </w:p>
        </w:tc>
        <w:tc>
          <w:tcPr>
            <w:tcW w:w="34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33.9</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(28.7)</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141.0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8.1</w:t>
            </w:r>
          </w:p>
        </w:tc>
        <w:tc>
          <w:tcPr>
            <w:tcW w:w="340" w:type="dxa"/>
            <w:vAlign w:val="bottom"/>
          </w:tcPr>
          <w:p>
            <w:pPr>
              <w:spacing w:after="0"/>
              <w:rPr>
                <w:sz w:val="19"/>
                <w:szCs w:val="19"/>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(23.9)</w:t>
            </w:r>
          </w:p>
        </w:tc>
        <w:tc>
          <w:tcPr>
            <w:tcW w:w="26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40.1</w:t>
            </w:r>
          </w:p>
        </w:tc>
        <w:tc>
          <w:tcPr>
            <w:tcW w:w="200" w:type="dxa"/>
            <w:vAlign w:val="bottom"/>
          </w:tcPr>
          <w:p>
            <w:pPr>
              <w:spacing w:after="0"/>
              <w:rPr>
                <w:sz w:val="19"/>
                <w:szCs w:val="19"/>
                <w:color w:val="auto"/>
              </w:rPr>
            </w:pPr>
          </w:p>
        </w:tc>
        <w:tc>
          <w:tcPr>
            <w:tcW w:w="1300" w:type="dxa"/>
            <w:vAlign w:val="bottom"/>
            <w:vMerge w:val="restart"/>
          </w:tcPr>
          <w:p>
            <w:pPr>
              <w:jc w:val="right"/>
              <w:ind w:right="138"/>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143.9</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10.0</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11.4</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167.7</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September 30, 2017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(1,205.5)</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(3,337.1)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(195.2)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(4,574.6)</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(1,273.0)</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(2,919.1)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(215.9)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(4,371.2)</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48.9</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48.5</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September 30, 2016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(1,267.2)</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85.3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(2,862.4)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(213.4)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(4,257.7)</w:t>
            </w: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91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8"/>
              </w:rPr>
              <w:t>Gains (Losses)</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2017 </w:t>
            </w:r>
            <w:r>
              <w:rPr>
                <w:rFonts w:ascii="Arial" w:cs="Arial" w:eastAsia="Arial" w:hAnsi="Arial"/>
                <w:sz w:val="21"/>
                <w:szCs w:val="21"/>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(1,867.3)</w:t>
            </w:r>
          </w:p>
        </w:tc>
        <w:tc>
          <w:tcPr>
            <w:tcW w:w="360" w:type="dxa"/>
            <w:vAlign w:val="bottom"/>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224.0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(3,371.6)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(5,225.8)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653.7</w:t>
            </w: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9.6</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(83.3)</w:t>
            </w:r>
          </w:p>
        </w:tc>
        <w:tc>
          <w:tcPr>
            <w:tcW w:w="22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8.4</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588.4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8.1</w:t>
            </w:r>
          </w:p>
        </w:tc>
        <w:tc>
          <w:tcPr>
            <w:tcW w:w="360" w:type="dxa"/>
            <w:vAlign w:val="bottom"/>
          </w:tcPr>
          <w:p>
            <w:pPr>
              <w:spacing w:after="0"/>
              <w:rPr>
                <w:sz w:val="19"/>
                <w:szCs w:val="19"/>
                <w:color w:val="auto"/>
              </w:rPr>
            </w:pPr>
          </w:p>
        </w:tc>
        <w:tc>
          <w:tcPr>
            <w:tcW w:w="120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(70.4)</w:t>
            </w:r>
          </w:p>
        </w:tc>
        <w:tc>
          <w:tcPr>
            <w:tcW w:w="260" w:type="dxa"/>
            <w:vAlign w:val="bottom"/>
          </w:tcPr>
          <w:p>
            <w:pPr>
              <w:spacing w:after="0"/>
              <w:rPr>
                <w:sz w:val="19"/>
                <w:szCs w:val="19"/>
                <w:color w:val="auto"/>
              </w:rPr>
            </w:pPr>
          </w:p>
        </w:tc>
        <w:tc>
          <w:tcPr>
            <w:tcW w:w="1280" w:type="dxa"/>
            <w:vAlign w:val="bottom"/>
            <w:vMerge w:val="restart"/>
          </w:tcPr>
          <w:p>
            <w:pPr>
              <w:jc w:val="right"/>
              <w:ind w:right="160"/>
              <w:spacing w:after="0"/>
              <w:rPr>
                <w:sz w:val="20"/>
                <w:szCs w:val="20"/>
                <w:color w:val="auto"/>
              </w:rPr>
            </w:pPr>
            <w:r>
              <w:rPr>
                <w:rFonts w:ascii="Arial" w:cs="Arial" w:eastAsia="Arial" w:hAnsi="Arial"/>
                <w:sz w:val="18"/>
                <w:szCs w:val="18"/>
                <w:b w:val="1"/>
                <w:bCs w:val="1"/>
                <w:color w:val="auto"/>
              </w:rPr>
              <w:t>117.8</w:t>
            </w:r>
          </w:p>
        </w:tc>
        <w:tc>
          <w:tcPr>
            <w:tcW w:w="220" w:type="dxa"/>
            <w:vAlign w:val="bottom"/>
          </w:tcPr>
          <w:p>
            <w:pPr>
              <w:spacing w:after="0"/>
              <w:rPr>
                <w:sz w:val="19"/>
                <w:szCs w:val="19"/>
                <w:color w:val="auto"/>
              </w:rPr>
            </w:pPr>
          </w:p>
        </w:tc>
        <w:tc>
          <w:tcPr>
            <w:tcW w:w="130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7.3</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62.8</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661.8</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(60.8)</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34.5</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15.7</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651.2</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September 30, 2017 </w:t>
            </w:r>
            <w:r>
              <w:rPr>
                <w:rFonts w:ascii="Arial" w:cs="Arial" w:eastAsia="Arial" w:hAnsi="Arial"/>
                <w:sz w:val="21"/>
                <w:szCs w:val="21"/>
                <w:color w:val="auto"/>
                <w:vertAlign w:val="superscript"/>
              </w:rPr>
              <w:t>(2)</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(1,205.5)</w:t>
            </w:r>
          </w:p>
        </w:tc>
        <w:tc>
          <w:tcPr>
            <w:tcW w:w="3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163.2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(3,337.1)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(195.2)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(4,574.6)</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1560" w:type="dxa"/>
            <w:vAlign w:val="bottom"/>
            <w:gridSpan w:val="2"/>
          </w:tcPr>
          <w:p>
            <w:pPr>
              <w:jc w:val="center"/>
              <w:ind w:left="22"/>
              <w:spacing w:after="0" w:line="135" w:lineRule="exact"/>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60" w:type="dxa"/>
            <w:vAlign w:val="bottom"/>
          </w:tcPr>
          <w:p>
            <w:pPr>
              <w:spacing w:after="0"/>
              <w:rPr>
                <w:sz w:val="11"/>
                <w:szCs w:val="11"/>
                <w:color w:val="auto"/>
              </w:rPr>
            </w:pPr>
          </w:p>
        </w:tc>
        <w:tc>
          <w:tcPr>
            <w:tcW w:w="1200" w:type="dxa"/>
            <w:vAlign w:val="bottom"/>
          </w:tcPr>
          <w:p>
            <w:pPr>
              <w:jc w:val="center"/>
              <w:ind w:right="194"/>
              <w:spacing w:after="0" w:line="135" w:lineRule="exact"/>
              <w:rPr>
                <w:sz w:val="20"/>
                <w:szCs w:val="20"/>
                <w:color w:val="auto"/>
              </w:rPr>
            </w:pPr>
            <w:r>
              <w:rPr>
                <w:rFonts w:ascii="Arial" w:cs="Arial" w:eastAsia="Arial" w:hAnsi="Arial"/>
                <w:sz w:val="13"/>
                <w:szCs w:val="13"/>
                <w:b w:val="1"/>
                <w:bCs w:val="1"/>
                <w:color w:val="auto"/>
                <w:w w:val="97"/>
              </w:rPr>
              <w:t>(Losses)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3"/>
                <w:szCs w:val="13"/>
                <w:b w:val="1"/>
                <w:bCs w:val="1"/>
                <w:color w:val="auto"/>
                <w:w w:val="97"/>
              </w:rPr>
              <w:t>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2016 </w:t>
            </w:r>
            <w:r>
              <w:rPr>
                <w:rFonts w:ascii="Arial" w:cs="Arial" w:eastAsia="Arial" w:hAnsi="Arial"/>
                <w:sz w:val="21"/>
                <w:szCs w:val="21"/>
                <w:color w:val="auto"/>
                <w:vertAlign w:val="superscript"/>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(1,360.2)</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(3,012.1)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(4,580.7)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74.5</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110.5</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75.2</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149.7</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September 30, 2016 </w:t>
            </w:r>
            <w:r>
              <w:rPr>
                <w:rFonts w:ascii="Arial" w:cs="Arial" w:eastAsia="Arial" w:hAnsi="Arial"/>
                <w:sz w:val="21"/>
                <w:szCs w:val="21"/>
                <w:color w:val="auto"/>
                <w:vertAlign w:val="superscript"/>
              </w:rPr>
              <w:t>(2)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(1,267.2)</w:t>
            </w: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85.3</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(2,862.4)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(213.4)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(4,257.7)</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180" w:hanging="172"/>
        <w:spacing w:after="0" w:line="264"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2017 consists of $5,274.0 million of accumulated other comprehensive loss attributable to controlling interest and $48.2 million of accumulated other comprehensive income attributable to non-controlling interest. The accumulated other comprehensive loss attributable to non-controlling interest as of January 1, 2016 is immaterial.</w:t>
      </w:r>
    </w:p>
    <w:p>
      <w:pPr>
        <w:spacing w:after="0" w:line="136" w:lineRule="exact"/>
        <w:rPr>
          <w:rFonts w:ascii="Arial" w:cs="Arial" w:eastAsia="Arial" w:hAnsi="Arial"/>
          <w:sz w:val="21"/>
          <w:szCs w:val="21"/>
          <w:color w:val="auto"/>
          <w:vertAlign w:val="superscript"/>
        </w:rPr>
      </w:pPr>
    </w:p>
    <w:p>
      <w:pPr>
        <w:jc w:val="both"/>
        <w:ind w:left="180" w:hanging="172"/>
        <w:spacing w:after="0" w:line="296" w:lineRule="auto"/>
        <w:tabs>
          <w:tab w:leader="none" w:pos="175"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Accumulated other comprehensive loss as of September 30, 2017 consists of $4,609.4 million of accumulated other comprehensive loss attributable to controlling interest and $34.8 million of accumulated other comprehensive income attributable to non-controlling interest. The accumulated other comprehensive loss attributable to non-controlling interest as of September 30, 2016 is immaterial.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18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33.9</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14.4</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149.7</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2"/>
                <w:szCs w:val="22"/>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b w:val="1"/>
                <w:bCs w:val="1"/>
                <w:color w:val="auto"/>
              </w:rPr>
              <w:t>(4.2)</w:t>
            </w:r>
          </w:p>
        </w:tc>
        <w:tc>
          <w:tcPr>
            <w:tcW w:w="42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(26.1)</w:t>
            </w:r>
          </w:p>
        </w:tc>
        <w:tc>
          <w:tcPr>
            <w:tcW w:w="440" w:type="dxa"/>
            <w:vAlign w:val="bottom"/>
          </w:tcPr>
          <w:p>
            <w:pPr>
              <w:spacing w:after="0"/>
              <w:rPr>
                <w:sz w:val="22"/>
                <w:szCs w:val="22"/>
                <w:color w:val="auto"/>
              </w:rPr>
            </w:pPr>
          </w:p>
        </w:tc>
        <w:tc>
          <w:tcPr>
            <w:tcW w:w="900" w:type="dxa"/>
            <w:vAlign w:val="bottom"/>
          </w:tcPr>
          <w:p>
            <w:pPr>
              <w:jc w:val="right"/>
              <w:ind w:right="177"/>
              <w:spacing w:after="0"/>
              <w:rPr>
                <w:sz w:val="20"/>
                <w:szCs w:val="20"/>
                <w:color w:val="auto"/>
              </w:rPr>
            </w:pPr>
            <w:r>
              <w:rPr>
                <w:rFonts w:ascii="Arial" w:cs="Arial" w:eastAsia="Arial" w:hAnsi="Arial"/>
                <w:sz w:val="18"/>
                <w:szCs w:val="18"/>
                <w:b w:val="1"/>
                <w:bCs w:val="1"/>
                <w:color w:val="auto"/>
              </w:rPr>
              <w:t>25.4</w:t>
            </w:r>
          </w:p>
        </w:tc>
        <w:tc>
          <w:tcPr>
            <w:tcW w:w="420" w:type="dxa"/>
            <w:vAlign w:val="bottom"/>
          </w:tcPr>
          <w:p>
            <w:pPr>
              <w:spacing w:after="0"/>
              <w:rPr>
                <w:sz w:val="22"/>
                <w:szCs w:val="22"/>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7"/>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(9.4)</w:t>
            </w: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(9.5)</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(24.0)</w:t>
            </w: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(1.3)</w:t>
            </w: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(8.4)</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19.0</w:t>
            </w:r>
          </w:p>
        </w:tc>
        <w:tc>
          <w:tcPr>
            <w:tcW w:w="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142.7</w:t>
            </w:r>
          </w:p>
        </w:tc>
        <w:tc>
          <w:tcPr>
            <w:tcW w:w="4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items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94"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80" w:type="dxa"/>
            <w:vAlign w:val="bottom"/>
            <w:vMerge w:val="restart"/>
          </w:tcPr>
          <w:p>
            <w:pPr>
              <w:jc w:val="center"/>
              <w:ind w:right="548"/>
              <w:spacing w:after="0"/>
              <w:rPr>
                <w:sz w:val="20"/>
                <w:szCs w:val="20"/>
                <w:color w:val="auto"/>
              </w:rPr>
            </w:pPr>
            <w:r>
              <w:rPr>
                <w:rFonts w:ascii="Arial" w:cs="Arial" w:eastAsia="Arial" w:hAnsi="Arial"/>
                <w:sz w:val="14"/>
                <w:szCs w:val="14"/>
                <w:b w:val="1"/>
                <w:bCs w:val="1"/>
                <w:color w:val="auto"/>
              </w:rPr>
              <w:t>Details about Accumulated Other</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3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2980" w:type="dxa"/>
            <w:vAlign w:val="bottom"/>
            <w:vMerge w:val="continue"/>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980" w:type="dxa"/>
            <w:vAlign w:val="bottom"/>
            <w:vMerge w:val="continue"/>
          </w:tcPr>
          <w:p>
            <w:pPr>
              <w:spacing w:after="0"/>
              <w:rPr>
                <w:sz w:val="5"/>
                <w:szCs w:val="5"/>
                <w:color w:val="auto"/>
              </w:rPr>
            </w:pP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10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980" w:type="dxa"/>
            <w:vAlign w:val="bottom"/>
          </w:tcPr>
          <w:p>
            <w:pPr>
              <w:jc w:val="center"/>
              <w:ind w:right="528"/>
              <w:spacing w:after="0"/>
              <w:rPr>
                <w:sz w:val="20"/>
                <w:szCs w:val="20"/>
                <w:color w:val="auto"/>
              </w:rPr>
            </w:pPr>
            <w:r>
              <w:rPr>
                <w:rFonts w:ascii="Arial" w:cs="Arial" w:eastAsia="Arial" w:hAnsi="Arial"/>
                <w:sz w:val="14"/>
                <w:szCs w:val="14"/>
                <w:b w:val="1"/>
                <w:bCs w:val="1"/>
                <w:color w:val="auto"/>
              </w:rPr>
              <w:t>Comprehensive Loss Components</w:t>
            </w:r>
          </w:p>
        </w:tc>
        <w:tc>
          <w:tcPr>
            <w:tcW w:w="10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3000" w:type="dxa"/>
            <w:vAlign w:val="bottom"/>
          </w:tcPr>
          <w:p>
            <w:pPr>
              <w:jc w:val="center"/>
              <w:ind w:left="308"/>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195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Prior service benefits, net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3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(63.2)</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3"/>
        </w:trPr>
        <w:tc>
          <w:tcPr>
            <w:tcW w:w="3480" w:type="dxa"/>
            <w:vAlign w:val="bottom"/>
            <w:vMerge w:val="continue"/>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Actuarial losses, net</w:t>
            </w:r>
          </w:p>
        </w:tc>
        <w:tc>
          <w:tcPr>
            <w:tcW w:w="320" w:type="dxa"/>
            <w:vAlign w:val="bottom"/>
          </w:tcPr>
          <w:p>
            <w:pPr>
              <w:spacing w:after="0"/>
              <w:rPr>
                <w:sz w:val="14"/>
                <w:szCs w:val="14"/>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77.1</w:t>
            </w:r>
          </w:p>
        </w:tc>
        <w:tc>
          <w:tcPr>
            <w:tcW w:w="380" w:type="dxa"/>
            <w:vAlign w:val="bottom"/>
          </w:tcPr>
          <w:p>
            <w:pPr>
              <w:spacing w:after="0"/>
              <w:rPr>
                <w:sz w:val="14"/>
                <w:szCs w:val="14"/>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76.2</w:t>
            </w:r>
          </w:p>
        </w:tc>
        <w:tc>
          <w:tcPr>
            <w:tcW w:w="340" w:type="dxa"/>
            <w:vAlign w:val="bottom"/>
          </w:tcPr>
          <w:p>
            <w:pPr>
              <w:spacing w:after="0"/>
              <w:rPr>
                <w:sz w:val="14"/>
                <w:szCs w:val="14"/>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229.4</w:t>
            </w:r>
          </w:p>
        </w:tc>
        <w:tc>
          <w:tcPr>
            <w:tcW w:w="360" w:type="dxa"/>
            <w:vAlign w:val="bottom"/>
          </w:tcPr>
          <w:p>
            <w:pPr>
              <w:spacing w:after="0"/>
              <w:rPr>
                <w:sz w:val="14"/>
                <w:szCs w:val="14"/>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228.9</w:t>
            </w:r>
          </w:p>
        </w:tc>
        <w:tc>
          <w:tcPr>
            <w:tcW w:w="3380" w:type="dxa"/>
            <w:vAlign w:val="bottom"/>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480" w:type="dxa"/>
            <w:vAlign w:val="bottom"/>
            <w:tcBorders>
              <w:bottom w:val="single" w:sz="8" w:color="CCEEFF"/>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33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Total before tax</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56.0</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57.6</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166.2</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173.2</w:t>
            </w:r>
          </w:p>
        </w:tc>
        <w:tc>
          <w:tcPr>
            <w:tcW w:w="3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(48.4)</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3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Net of tax</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40.1</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38.0</w:t>
            </w: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117.8</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3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gains/losses on available-for-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securities:</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480" w:type="dxa"/>
            <w:vAlign w:val="bottom"/>
          </w:tcPr>
          <w:p>
            <w:pPr>
              <w:ind w:left="160"/>
              <w:spacing w:after="0"/>
              <w:rPr>
                <w:sz w:val="20"/>
                <w:szCs w:val="20"/>
                <w:color w:val="auto"/>
              </w:rPr>
            </w:pPr>
            <w:r>
              <w:rPr>
                <w:rFonts w:ascii="Arial" w:cs="Arial" w:eastAsia="Arial" w:hAnsi="Arial"/>
                <w:sz w:val="18"/>
                <w:szCs w:val="18"/>
                <w:color w:val="auto"/>
              </w:rPr>
              <w:t>Realized gains, net before tax</w:t>
            </w:r>
          </w:p>
        </w:tc>
        <w:tc>
          <w:tcPr>
            <w:tcW w:w="32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(36.7)</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(108.2)</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3380" w:type="dxa"/>
            <w:vAlign w:val="bottom"/>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losses</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3"/>
        </w:trPr>
        <w:tc>
          <w:tcPr>
            <w:tcW w:w="3480" w:type="dxa"/>
            <w:vAlign w:val="bottom"/>
          </w:tcPr>
          <w:p>
            <w:pPr>
              <w:jc w:val="right"/>
              <w:ind w:right="50"/>
              <w:spacing w:after="0"/>
              <w:rPr>
                <w:sz w:val="20"/>
                <w:szCs w:val="20"/>
                <w:color w:val="auto"/>
              </w:rPr>
            </w:pPr>
            <w:r>
              <w:rPr>
                <w:rFonts w:ascii="Arial" w:cs="Arial" w:eastAsia="Arial" w:hAnsi="Arial"/>
                <w:sz w:val="18"/>
                <w:szCs w:val="18"/>
                <w:color w:val="auto"/>
              </w:rPr>
              <w:t>Total before tax</w:t>
            </w:r>
          </w:p>
        </w:tc>
        <w:tc>
          <w:tcPr>
            <w:tcW w:w="32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(36.7)</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(108.2)</w:t>
            </w:r>
          </w:p>
        </w:tc>
        <w:tc>
          <w:tcPr>
            <w:tcW w:w="3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Tax (benefit) expense</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12.8</w:t>
            </w: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37.8</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480" w:type="dxa"/>
            <w:vAlign w:val="bottom"/>
          </w:tcPr>
          <w:p>
            <w:pPr>
              <w:jc w:val="right"/>
              <w:ind w:right="50"/>
              <w:spacing w:after="0"/>
              <w:rPr>
                <w:sz w:val="20"/>
                <w:szCs w:val="20"/>
                <w:color w:val="auto"/>
              </w:rPr>
            </w:pPr>
            <w:r>
              <w:rPr>
                <w:rFonts w:ascii="Arial" w:cs="Arial" w:eastAsia="Arial" w:hAnsi="Arial"/>
                <w:sz w:val="18"/>
                <w:szCs w:val="18"/>
                <w:color w:val="auto"/>
              </w:rPr>
              <w:t>Net of tax</w:t>
            </w:r>
          </w:p>
        </w:tc>
        <w:tc>
          <w:tcPr>
            <w:tcW w:w="32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(23.9)</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(70.4)</w:t>
            </w:r>
          </w:p>
        </w:tc>
        <w:tc>
          <w:tcPr>
            <w:tcW w:w="3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net of tax </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10.5</w:t>
            </w: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15.4</w:t>
            </w:r>
          </w:p>
        </w:tc>
        <w:tc>
          <w:tcPr>
            <w:tcW w:w="3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81.8</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26.7</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auto"/>
              </w:rPr>
              <w:t>40.1</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62.8</w:t>
            </w: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205.6</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0"/>
              <w:spacing w:after="0"/>
              <w:rPr>
                <w:sz w:val="20"/>
                <w:szCs w:val="20"/>
                <w:color w:val="auto"/>
              </w:rPr>
            </w:pPr>
            <w:r>
              <w:rPr>
                <w:rFonts w:ascii="Arial" w:cs="Arial" w:eastAsia="Arial" w:hAnsi="Arial"/>
                <w:sz w:val="18"/>
                <w:szCs w:val="18"/>
                <w:color w:val="auto"/>
              </w:rPr>
              <w:t>of tax)</w:t>
            </w:r>
          </w:p>
        </w:tc>
        <w:tc>
          <w:tcPr>
            <w:tcW w:w="3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These accumulated other comprehensive loss components are included in the computation of net periodic benefit (income) cost (see Note 9).</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Amount for the nine months ended September 30, 2016 included primarily $74.5 million of foreign currency translation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61.9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162.1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133.8</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(45.1)</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b w:val="1"/>
                <w:bCs w:val="1"/>
                <w:color w:val="auto"/>
              </w:rPr>
              <w:t>(114.6)</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Venezuela charge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203.9</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(44.8)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r>
      <w:tr>
        <w:trPr>
          <w:trHeight w:val="26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13.9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100.6</w:t>
            </w:r>
          </w:p>
        </w:tc>
      </w:tr>
    </w:tbl>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Due to the financial crisis in Venezuela and the significant deterioration of the bolívar, we changed the exchange rate used to translate the assets and liabilities of our subsidiaries in Venezuela which resulted in a first quarter of 2016 charge of $203.9 million. Prior to this change, we used the Supplementary Foreign Currency Administration System (SICAD) rate; however, this official rate was discontinued in the first quarter of 2016. After considering several factors, including the future uncertainty of the Venezuelan economy, published exchange rates, and the limited amount of foreign currency exchanged, we changed to the Divisa Complementaria (DICOM)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0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Segment Information</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46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1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696.2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640.8</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2,083.0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1,949.0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527.7</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243.6</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1,380.8</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588.5</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441.7</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391.2</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1,235.8</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1,077.5</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300.5</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322.0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972.8</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1,010.6</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Trajenta</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153.3</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115.4</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408.2</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330.8</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441.3</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262.8</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1,094.4</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734.5</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Endocrinology</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2,560.7</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1,975.8</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7,175.0</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5,690.9</w:t>
            </w:r>
          </w:p>
        </w:tc>
      </w:tr>
      <w:tr>
        <w:trPr>
          <w:trHeight w:val="128"/>
        </w:trPr>
        <w:tc>
          <w:tcPr>
            <w:tcW w:w="46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Oncology:</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Alimta</w:t>
            </w:r>
          </w:p>
        </w:tc>
        <w:tc>
          <w:tcPr>
            <w:tcW w:w="1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514.5</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570.4</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1,537.3</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1,741.7</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196.0</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159.0</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553.5</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437.0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Erbitux</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163.5</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184.6</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477.0</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533.3</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1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83.6</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33.3</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232.7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100.3</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957.6</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947.3</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2,800.5</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2,812.3</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Cardiovascular:</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564.9</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588.2</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1,725.7</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1,795.3</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Effient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55.9</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127.7</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326.6</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394.3</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1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42.1</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57.6</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120.2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165.4</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Cardiovascular</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662.9</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773.5</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2,172.5</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2,355.0</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 xml:space="preserve">Cymbalta </w:t>
            </w:r>
            <w:r>
              <w:rPr>
                <w:rFonts w:ascii="Arial" w:cs="Arial" w:eastAsia="Arial" w:hAnsi="Arial"/>
                <w:sz w:val="21"/>
                <w:szCs w:val="21"/>
                <w:i w:val="1"/>
                <w:iCs w:val="1"/>
                <w:color w:val="auto"/>
                <w:vertAlign w:val="superscript"/>
              </w:rPr>
              <w:t>(1)</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183.2</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313.5</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564.4</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748.7</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137.1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519.9</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611.5</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140.6</w:t>
            </w:r>
          </w:p>
        </w:tc>
        <w:tc>
          <w:tcPr>
            <w:tcW w:w="3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148.9</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428.9</w:t>
            </w:r>
          </w:p>
        </w:tc>
        <w:tc>
          <w:tcPr>
            <w:tcW w:w="3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572.3</w:t>
            </w:r>
          </w:p>
        </w:tc>
      </w:tr>
      <w:tr>
        <w:trPr>
          <w:trHeight w:val="264"/>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18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46.8</w:t>
            </w: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160.5</w:t>
            </w: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Neuroscience</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507.7</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708.5</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1,673.7</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2,069.9</w:t>
            </w:r>
          </w:p>
        </w:tc>
      </w:tr>
      <w:tr>
        <w:trPr>
          <w:trHeight w:val="128"/>
        </w:trPr>
        <w:tc>
          <w:tcPr>
            <w:tcW w:w="46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63"/>
        </w:trPr>
        <w:tc>
          <w:tcPr>
            <w:tcW w:w="4620" w:type="dxa"/>
            <w:vAlign w:val="bottom"/>
          </w:tcPr>
          <w:p>
            <w:pPr>
              <w:ind w:left="380"/>
              <w:spacing w:after="0"/>
              <w:rPr>
                <w:sz w:val="20"/>
                <w:szCs w:val="20"/>
                <w:color w:val="auto"/>
              </w:rPr>
            </w:pPr>
            <w:r>
              <w:rPr>
                <w:rFonts w:ascii="Arial" w:cs="Arial" w:eastAsia="Arial" w:hAnsi="Arial"/>
                <w:sz w:val="18"/>
                <w:szCs w:val="18"/>
                <w:color w:val="auto"/>
              </w:rPr>
              <w:t>Immunology:</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151.3</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386.7</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Immunology</w:t>
            </w:r>
          </w:p>
        </w:tc>
        <w:tc>
          <w:tcPr>
            <w:tcW w:w="1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16.3</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Immunology</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167.6</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409.6</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pharmaceuticals</w:t>
            </w:r>
          </w:p>
        </w:tc>
        <w:tc>
          <w:tcPr>
            <w:tcW w:w="18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60.9</w:t>
            </w: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184.5</w:t>
            </w: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161.1</w:t>
            </w: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Total human pharmaceutical products</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4,917.4</w:t>
            </w:r>
          </w:p>
        </w:tc>
        <w:tc>
          <w:tcPr>
            <w:tcW w:w="38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4,485.5</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14,415.8</w:t>
            </w:r>
          </w:p>
        </w:tc>
        <w:tc>
          <w:tcPr>
            <w:tcW w:w="32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13,141.1</w:t>
            </w: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740.6</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706.2</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2,294.8</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2,320.5</w:t>
            </w:r>
          </w:p>
        </w:tc>
      </w:tr>
      <w:tr>
        <w:trPr>
          <w:trHeight w:val="277"/>
        </w:trPr>
        <w:tc>
          <w:tcPr>
            <w:tcW w:w="4620" w:type="dxa"/>
            <w:vAlign w:val="bottom"/>
          </w:tcPr>
          <w:p>
            <w:pPr>
              <w:ind w:left="40"/>
              <w:spacing w:after="0"/>
              <w:rPr>
                <w:sz w:val="20"/>
                <w:szCs w:val="20"/>
                <w:color w:val="auto"/>
              </w:rPr>
            </w:pPr>
            <w:r>
              <w:rPr>
                <w:rFonts w:ascii="Arial" w:cs="Arial" w:eastAsia="Arial" w:hAnsi="Arial"/>
                <w:sz w:val="18"/>
                <w:szCs w:val="18"/>
                <w:color w:val="auto"/>
              </w:rPr>
              <w:t>Revenue</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5,658.0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5,191.7</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16,710.6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15,461.6</w:t>
            </w: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459"/>
        </w:trPr>
        <w:tc>
          <w:tcPr>
            <w:tcW w:w="4620" w:type="dxa"/>
            <w:vAlign w:val="bottom"/>
          </w:tcPr>
          <w:p>
            <w:pPr>
              <w:spacing w:after="0"/>
              <w:rPr>
                <w:sz w:val="24"/>
                <w:szCs w:val="24"/>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16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Segment profits: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Human pharmaceutical products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1,242.5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1,089.0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3,765.7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2,975.3</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121.9</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104.9</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422.6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464.3</w:t>
            </w:r>
          </w:p>
        </w:tc>
      </w:tr>
      <w:tr>
        <w:trPr>
          <w:trHeight w:val="27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profits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1,364.4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1,193.9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4,188.3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3,439.6</w:t>
            </w:r>
          </w:p>
        </w:tc>
      </w:tr>
      <w:tr>
        <w:trPr>
          <w:trHeight w:val="122"/>
        </w:trPr>
        <w:tc>
          <w:tcPr>
            <w:tcW w:w="6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Segment profits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1,364.4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1,193.9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4,188.3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3,439.6</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profits (losses):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280" w:type="dxa"/>
            <w:vAlign w:val="bottom"/>
          </w:tcPr>
          <w:p>
            <w:pPr>
              <w:spacing w:after="0"/>
              <w:rPr>
                <w:sz w:val="22"/>
                <w:szCs w:val="22"/>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(205.0)</w:t>
            </w:r>
          </w:p>
        </w:tc>
        <w:tc>
          <w:tcPr>
            <w:tcW w:w="340" w:type="dxa"/>
            <w:vAlign w:val="bottom"/>
          </w:tcPr>
          <w:p>
            <w:pPr>
              <w:spacing w:after="0"/>
              <w:rPr>
                <w:sz w:val="22"/>
                <w:szCs w:val="22"/>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(1,062.6)</w:t>
            </w: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(155.8)</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(177.7)</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(510.0)</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280" w:type="dxa"/>
            <w:vAlign w:val="bottom"/>
          </w:tcPr>
          <w:p>
            <w:pPr>
              <w:spacing w:after="0"/>
              <w:rPr>
                <w:sz w:val="22"/>
                <w:szCs w:val="22"/>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(406.5)</w:t>
            </w:r>
          </w:p>
        </w:tc>
        <w:tc>
          <w:tcPr>
            <w:tcW w:w="34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(670.4)</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Inventory fair value adjustment related to BIVIVP (Note 3)</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(5.5)</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Venezuela charge (Note 12)</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r>
      <w:tr>
        <w:trPr>
          <w:trHeight w:val="27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income before taxes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591.6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970.7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1,913.3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2,482.0</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80" w:right="500" w:hanging="172"/>
        <w:spacing w:after="0" w:line="225" w:lineRule="auto"/>
        <w:tabs>
          <w:tab w:leader="none" w:pos="153"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Cymbalta revenues include reductions to the reserve for expected product returns of approximately $145 million and $175 million during the three and nine months ended September 30, 2016, respectively.</w:t>
      </w:r>
    </w:p>
    <w:p>
      <w:pPr>
        <w:spacing w:after="0" w:line="10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w:t>
      </w:r>
    </w:p>
    <w:p>
      <w:pPr>
        <w:spacing w:after="0" w:line="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Item 1A, “Risk Factors,” of Part I of our Annual Report on Form 10-K for the year ended December 31, 2016, may cause our actual results and cash generated from operations to differ materially from these forward-looking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5,658.0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5,191.7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16,710.6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15,461.6</w:t>
            </w:r>
          </w:p>
        </w:tc>
        <w:tc>
          <w:tcPr>
            <w:tcW w:w="10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4,091.9</w:t>
            </w:r>
          </w:p>
        </w:tc>
        <w:tc>
          <w:tcPr>
            <w:tcW w:w="52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3,790.8</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80" w:type="dxa"/>
            <w:vAlign w:val="bottom"/>
          </w:tcPr>
          <w:p>
            <w:pPr>
              <w:spacing w:after="0"/>
              <w:rPr>
                <w:sz w:val="22"/>
                <w:szCs w:val="22"/>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12,265.2</w:t>
            </w:r>
          </w:p>
        </w:tc>
        <w:tc>
          <w:tcPr>
            <w:tcW w:w="360" w:type="dxa"/>
            <w:vAlign w:val="bottom"/>
          </w:tcPr>
          <w:p>
            <w:pPr>
              <w:spacing w:after="0"/>
              <w:rPr>
                <w:sz w:val="22"/>
                <w:szCs w:val="22"/>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11,272.7</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2,874.9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2,801.8</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8,616.2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8,455.2</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w:t>
            </w: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205.0</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1,062.6</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32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w:t>
            </w:r>
          </w:p>
        </w:tc>
        <w:tc>
          <w:tcPr>
            <w:tcW w:w="320" w:type="dxa"/>
            <w:vAlign w:val="bottom"/>
          </w:tcPr>
          <w:p>
            <w:pPr>
              <w:spacing w:after="0"/>
              <w:rPr>
                <w:sz w:val="19"/>
                <w:szCs w:val="19"/>
                <w:color w:val="auto"/>
              </w:rPr>
            </w:pPr>
          </w:p>
        </w:tc>
        <w:tc>
          <w:tcPr>
            <w:tcW w:w="106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406.5</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670.4</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45.5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234.9</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185</w:t>
            </w:r>
          </w:p>
        </w:tc>
        <w:tc>
          <w:tcPr>
            <w:tcW w:w="0" w:type="dxa"/>
            <w:vAlign w:val="bottom"/>
          </w:tcPr>
          <w:p>
            <w:pPr>
              <w:spacing w:after="0"/>
              <w:rPr>
                <w:sz w:val="1"/>
                <w:szCs w:val="1"/>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555.6</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778.0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(29)</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1,452.8</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1,965.8</w:t>
            </w:r>
          </w:p>
        </w:tc>
        <w:tc>
          <w:tcPr>
            <w:tcW w:w="10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0.53</w:t>
            </w:r>
          </w:p>
        </w:tc>
        <w:tc>
          <w:tcPr>
            <w:tcW w:w="52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0.73</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280" w:type="dxa"/>
            <w:vAlign w:val="bottom"/>
          </w:tcPr>
          <w:p>
            <w:pPr>
              <w:spacing w:after="0"/>
              <w:rPr>
                <w:sz w:val="22"/>
                <w:szCs w:val="22"/>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1.37</w:t>
            </w:r>
          </w:p>
        </w:tc>
        <w:tc>
          <w:tcPr>
            <w:tcW w:w="360" w:type="dxa"/>
            <w:vAlign w:val="bottom"/>
          </w:tcPr>
          <w:p>
            <w:pPr>
              <w:spacing w:after="0"/>
              <w:rPr>
                <w:sz w:val="22"/>
                <w:szCs w:val="22"/>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1.85</w:t>
            </w:r>
          </w:p>
        </w:tc>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4220" w:firstLine="8"/>
        <w:spacing w:after="0" w:line="307" w:lineRule="auto"/>
        <w:tabs>
          <w:tab w:leader="none" w:pos="135" w:val="left"/>
        </w:tabs>
        <w:numPr>
          <w:ilvl w:val="0"/>
          <w:numId w:val="12"/>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September 2017, we announced plans to reduce our cost structure by streamlining our operations. Global workforce reductions, including those from a U.S. voluntary early retirement program, are expected to impact approximately 3,500 positions. These plans are expected to result in charges of approximately $1.2 billion (pretax). In addition to the asset impairment, restructuring, and other special charges of $406.5 million that were incurred during the three months ended September 30, 2017, which are discussed further below, we expect to incur additional charges of approximately $800 million in the fourth quarter of 2017 related to these plans. The fourth quarter charge could vary depending on the composition of participants within the United States (U.S.) voluntary early retirement program, as well as other actions taken to improve our cost structure.</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reviewing strategic alternatives for Elanco Animal Health (our animal health segment), including an initial public offering, merger, sale, or retention of the business, and will provide an update no later than the middle of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76" w:right="239" w:bottom="1440" w:gutter="0" w:footer="0" w:header="0"/>
        </w:sectPr>
      </w:pPr>
    </w:p>
    <w:bookmarkStart w:id="35" w:name="page36"/>
    <w:bookmarkEnd w:id="35"/>
    <w:p>
      <w:pPr>
        <w:ind w:right="80"/>
        <w:spacing w:after="0" w:line="235" w:lineRule="auto"/>
        <w:rPr>
          <w:sz w:val="20"/>
          <w:szCs w:val="20"/>
          <w:color w:val="auto"/>
        </w:rPr>
      </w:pPr>
      <w:r>
        <w:rPr>
          <w:rFonts w:ascii="Arial" w:cs="Arial" w:eastAsia="Arial" w:hAnsi="Arial"/>
          <w:sz w:val="18"/>
          <w:szCs w:val="18"/>
          <w:color w:val="auto"/>
        </w:rPr>
        <w:t>Revenue increased for the three and nine months ended September 30, 2017 primarily driven by increased volume for Trulicity</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Basaglar</w:t>
      </w:r>
      <w:r>
        <w:rPr>
          <w:rFonts w:ascii="Arial" w:cs="Arial" w:eastAsia="Arial" w:hAnsi="Arial"/>
          <w:sz w:val="21"/>
          <w:szCs w:val="21"/>
          <w:color w:val="auto"/>
          <w:vertAlign w:val="superscript"/>
        </w:rPr>
        <w:t>®</w:t>
      </w:r>
      <w:r>
        <w:rPr>
          <w:rFonts w:ascii="Arial" w:cs="Arial" w:eastAsia="Arial" w:hAnsi="Arial"/>
          <w:sz w:val="18"/>
          <w:szCs w:val="18"/>
          <w:color w:val="auto"/>
        </w:rPr>
        <w:t>, and other new pharmaceutical products. Operating expense increased for the three months ended September 30, 2017, driven by an increase in research and development expense. Operating expense increased for the nine months ended September 30, 2017 driven by an increase in marketing, selling, and administrative expense. The following highlighted items also affect comparisons of our financial results for the three and nine months ended September 30, 2017 and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and development (IPR&amp;D) (Note 3 to the consolidated condensed financial statements)</w:t>
      </w:r>
    </w:p>
    <w:p>
      <w:pPr>
        <w:spacing w:after="0" w:line="117" w:lineRule="exact"/>
        <w:rPr>
          <w:sz w:val="20"/>
          <w:szCs w:val="20"/>
          <w:color w:val="auto"/>
        </w:rPr>
      </w:pPr>
    </w:p>
    <w:p>
      <w:pPr>
        <w:jc w:val="both"/>
        <w:ind w:left="660" w:hanging="328"/>
        <w:spacing w:after="0" w:line="25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acquired IPR&amp;D charges of $205.0 million (pretax), or $0.13 per share, and $1.06 billion (pretax), or $0.94 per share, for the three and nine months ended September 30, respectively, related to upfront fees paid in connection with the collaboration agreements with Nektar Therapeutics (Nektar) and KeyBioscience AG (KeyBioscience). The charges for the nine months ended September 30 also included the charge associated with the acquisition of CoLucid Pharmaceuticals, Inc. (CoLucid) which was not tax-deductible.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4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charges of $406.5 million (pretax), or $0.29 per share, and $670.4 million (pretax), or $0.48 per share, for the three and nine months ended September 30, respectively. The charges for the third quarter were partially associated with asset impairments related to lower projected revenue for Posilac</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(rbST), as well as severance costs incurred as a result of actions taken to reduce the company's cost structure as discussed above. The charges for the nine months ended September 30 were primarily due to severance costs incurred as a result of actions taken to reduce our cost structure, charges associated with the Posilac impairment, integration costs related to the acquisition of Novartis Animal Health (Novartis AH), asset impairments and other charges related to animal health assets, as well as exit costs due to site 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charges of $45.5 million (pretax), or $0.03 per share, and $234.9 million (pretax), or $0.19 per share, for the three and nine months ended September 30, respectively, related to the integration costs for our acquisition of Novartis AH and severance costs. The charges for the nine months ended September 30 also included asset impairment charges related to the closure of an animal health manufacturing facility in Ireland.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12 to the consolidated condensed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in the first quarter, related to the impact of the Venezuelan financial crisis, including the significant deterioration of the bolívar.</w:t>
      </w:r>
    </w:p>
    <w:p>
      <w:pPr>
        <w:spacing w:after="0" w:line="88"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The decreases in net income and EPS for the third quarter of 2017 were due to higher asset impairment, restructuring, and other special charges, higher acquired IPR&amp;D charges, and, to a lesser extent, higher operating expenses, partially offset by a higher gross margin and lower income taxes. The decreases in net income and EPS for the nine months ended September 30, 2017, were due to higher acquired IPR&amp;D charges and, to a lesser extent, asset impairment, restructuring, and other special charges, and higher operating expenses, partially offset by a higher gross margin and, to a lesser extent, the 2016 charge related to the Venezuelan financial crisis, including the significant deterioration of the bolívar.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0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50 potential new drugs in human testing or under regulatory review, and a larger number of projects in preclinical research.</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diseases described. The first quarter in which each NME initially was approved in any major geography for any indication is shown in parentheses:</w:t>
      </w:r>
    </w:p>
    <w:p>
      <w:pPr>
        <w:spacing w:after="0" w:line="72" w:lineRule="exact"/>
        <w:rPr>
          <w:sz w:val="20"/>
          <w:szCs w:val="20"/>
          <w:color w:val="auto"/>
        </w:rPr>
      </w:pPr>
    </w:p>
    <w:p>
      <w:pPr>
        <w:ind w:left="660" w:right="80"/>
        <w:spacing w:after="0" w:line="248" w:lineRule="auto"/>
        <w:rPr>
          <w:sz w:val="20"/>
          <w:szCs w:val="20"/>
          <w:color w:val="auto"/>
        </w:rPr>
      </w:pPr>
      <w:r>
        <w:rPr>
          <w:rFonts w:ascii="Arial" w:cs="Arial" w:eastAsia="Arial" w:hAnsi="Arial"/>
          <w:sz w:val="18"/>
          <w:szCs w:val="18"/>
          <w:b w:val="1"/>
          <w:bCs w:val="1"/>
          <w:color w:val="auto"/>
        </w:rPr>
        <w:t>Abemaciclib (Verzenio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2017)</w:t>
      </w:r>
      <w:r>
        <w:rPr>
          <w:rFonts w:ascii="Arial" w:cs="Arial" w:eastAsia="Arial" w:hAnsi="Arial"/>
          <w:sz w:val="18"/>
          <w:szCs w:val="18"/>
          <w:color w:val="auto"/>
        </w:rPr>
        <w:t>—a small molecule cell-cycle inhibitor, selective for cyclin-dependent kinases 4 and 6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metastatic breast cancer. In the U.S., abemaciclib is protected by a compound patent (2029, not including possible patent extension).</w:t>
      </w:r>
    </w:p>
    <w:p>
      <w:pPr>
        <w:spacing w:after="0" w:line="79" w:lineRule="exact"/>
        <w:rPr>
          <w:sz w:val="20"/>
          <w:szCs w:val="20"/>
          <w:color w:val="auto"/>
        </w:rPr>
      </w:pPr>
    </w:p>
    <w:p>
      <w:pPr>
        <w:ind w:left="660" w:right="580"/>
        <w:spacing w:after="0" w:line="247"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NME has been submitted for regulatory review in at least one of the major geographies for potential use in the disease 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in which the NME initially was submitted in any major geography for any indication is shown in parentheses:</w:t>
      </w:r>
    </w:p>
    <w:p>
      <w:pPr>
        <w:spacing w:after="0" w:line="95" w:lineRule="exact"/>
        <w:rPr>
          <w:sz w:val="20"/>
          <w:szCs w:val="20"/>
          <w:color w:val="auto"/>
        </w:rPr>
      </w:pPr>
    </w:p>
    <w:p>
      <w:pPr>
        <w:jc w:val="both"/>
        <w:ind w:left="660" w:right="660"/>
        <w:spacing w:after="0" w:line="269" w:lineRule="auto"/>
        <w:rPr>
          <w:sz w:val="20"/>
          <w:szCs w:val="20"/>
          <w:color w:val="auto"/>
        </w:rPr>
      </w:pPr>
      <w:r>
        <w:rPr>
          <w:rFonts w:ascii="Arial" w:cs="Arial" w:eastAsia="Arial" w:hAnsi="Arial"/>
          <w:sz w:val="18"/>
          <w:szCs w:val="18"/>
          <w:b w:val="1"/>
          <w:bCs w:val="1"/>
          <w:color w:val="auto"/>
        </w:rPr>
        <w:t>Galcanezumab* (Q3 2017)</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prevention. In the U.S., galcanezumab is protected by a compound patent (2033). Refer to Item 1, "Legal Proceedings—Other Patent Matters" for discussion of the lawsuit filed by Teva Pharmaceuticals International GMBH.</w:t>
      </w:r>
    </w:p>
    <w:p>
      <w:pPr>
        <w:spacing w:after="0" w:line="8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first quarter in which each NME and diagnostic agent initially entered Phase III for any indication is shown in parentheses: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insulin* (Q3 2017)</w:t>
      </w:r>
      <w:r>
        <w:rPr>
          <w:rFonts w:ascii="Arial" w:cs="Arial" w:eastAsia="Arial" w:hAnsi="Arial"/>
          <w:sz w:val="18"/>
          <w:szCs w:val="18"/>
          <w:color w:val="auto"/>
        </w:rPr>
        <w:t>—an ultra-rapid insulin for the treatment of type 1 and type 2 diabetes.</w:t>
      </w:r>
    </w:p>
    <w:p>
      <w:pPr>
        <w:spacing w:after="0" w:line="117"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45"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b w:val="1"/>
          <w:bCs w:val="1"/>
          <w:color w:val="auto"/>
        </w:rPr>
        <w:t>Lanabecestat (Q2 2016)</w:t>
      </w:r>
      <w:r>
        <w:rPr>
          <w:rFonts w:ascii="Arial" w:cs="Arial" w:eastAsia="Arial" w:hAnsi="Arial"/>
          <w:sz w:val="18"/>
          <w:szCs w:val="18"/>
          <w:color w:val="auto"/>
        </w:rPr>
        <w:t>—an oral beta-secretase cleaving enzyme (BACE) inhibitor for the treatment of early and mild Alzheimer's</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(in collaboration with AstraZeneca).</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(Q2 2015)</w:t>
      </w:r>
      <w:r>
        <w:rPr>
          <w:rFonts w:ascii="Arial" w:cs="Arial" w:eastAsia="Arial" w:hAnsi="Arial"/>
          <w:sz w:val="18"/>
          <w:szCs w:val="18"/>
          <w:color w:val="auto"/>
        </w:rPr>
        <w:t>—an oral 5-HT</w:t>
      </w:r>
      <w:r>
        <w:rPr>
          <w:rFonts w:ascii="Arial" w:cs="Arial" w:eastAsia="Arial" w:hAnsi="Arial"/>
          <w:sz w:val="21"/>
          <w:szCs w:val="21"/>
          <w:color w:val="auto"/>
          <w:vertAlign w:val="subscript"/>
        </w:rPr>
        <w:t>1F</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acute treatment of migraine.</w:t>
      </w:r>
    </w:p>
    <w:p>
      <w:pPr>
        <w:spacing w:after="0" w:line="115"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17" w:lineRule="exact"/>
        <w:rPr>
          <w:sz w:val="20"/>
          <w:szCs w:val="20"/>
          <w:color w:val="auto"/>
        </w:rPr>
      </w:pPr>
    </w:p>
    <w:p>
      <w:pPr>
        <w:ind w:left="660" w:right="34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67" w:lineRule="exact"/>
        <w:rPr>
          <w:sz w:val="20"/>
          <w:szCs w:val="20"/>
          <w:color w:val="auto"/>
        </w:rPr>
      </w:pPr>
    </w:p>
    <w:p>
      <w:pPr>
        <w:ind w:left="340" w:right="4040" w:hanging="8"/>
        <w:spacing w:after="0" w:line="387" w:lineRule="auto"/>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42" w:right="259" w:bottom="1440" w:gutter="0" w:footer="0" w:header="0"/>
        </w:sectPr>
      </w:pPr>
    </w:p>
    <w:bookmarkStart w:id="37" w:name="page38"/>
    <w:bookmarkEnd w:id="37"/>
    <w:p>
      <w:pPr>
        <w:ind w:right="760"/>
        <w:spacing w:after="0" w:line="26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2017:</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6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44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3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Severe</w:t>
            </w:r>
          </w:p>
        </w:tc>
        <w:tc>
          <w:tcPr>
            <w:tcW w:w="1600" w:type="dxa"/>
            <w:vAlign w:val="bottom"/>
          </w:tcPr>
          <w:p>
            <w:pPr>
              <w:spacing w:after="0"/>
              <w:rPr>
                <w:sz w:val="19"/>
                <w:szCs w:val="19"/>
                <w:color w:val="auto"/>
              </w:rPr>
            </w:pPr>
          </w:p>
        </w:tc>
        <w:tc>
          <w:tcPr>
            <w:tcW w:w="1160" w:type="dxa"/>
            <w:vAlign w:val="bottom"/>
            <w:vMerge w:val="restart"/>
          </w:tcPr>
          <w:p>
            <w:pPr>
              <w:ind w:left="420"/>
              <w:spacing w:after="0"/>
              <w:rPr>
                <w:sz w:val="20"/>
                <w:szCs w:val="20"/>
                <w:color w:val="auto"/>
              </w:rPr>
            </w:pPr>
            <w:r>
              <w:rPr>
                <w:rFonts w:ascii="Arial" w:cs="Arial" w:eastAsia="Arial" w:hAnsi="Arial"/>
                <w:sz w:val="18"/>
                <w:szCs w:val="18"/>
                <w:color w:val="auto"/>
              </w:rPr>
              <w:t>Phase III</w:t>
            </w:r>
          </w:p>
        </w:tc>
        <w:tc>
          <w:tcPr>
            <w:tcW w:w="4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Development of commercial manufacturing</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6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process is ongoing.</w:t>
            </w: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Ultra-rapid insulin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1600" w:type="dxa"/>
            <w:vAlign w:val="bottom"/>
          </w:tcPr>
          <w:p>
            <w:pPr>
              <w:spacing w:after="0"/>
              <w:rPr>
                <w:sz w:val="19"/>
                <w:szCs w:val="19"/>
                <w:color w:val="auto"/>
              </w:rPr>
            </w:pPr>
          </w:p>
        </w:tc>
        <w:tc>
          <w:tcPr>
            <w:tcW w:w="1160" w:type="dxa"/>
            <w:vAlign w:val="bottom"/>
            <w:vMerge w:val="restart"/>
          </w:tcPr>
          <w:p>
            <w:pPr>
              <w:ind w:left="420"/>
              <w:spacing w:after="0"/>
              <w:rPr>
                <w:sz w:val="20"/>
                <w:szCs w:val="20"/>
                <w:color w:val="auto"/>
              </w:rPr>
            </w:pPr>
            <w:r>
              <w:rPr>
                <w:rFonts w:ascii="Arial" w:cs="Arial" w:eastAsia="Arial" w:hAnsi="Arial"/>
                <w:sz w:val="18"/>
                <w:szCs w:val="18"/>
                <w:color w:val="auto"/>
              </w:rPr>
              <w:t>Phase III</w:t>
            </w:r>
          </w:p>
        </w:tc>
        <w:tc>
          <w:tcPr>
            <w:tcW w:w="4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in third quarter of</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and launched in Europe in first</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2017. Received complete</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response letter from the U.S. Food and</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w:t>
            </w:r>
          </w:p>
        </w:tc>
        <w:tc>
          <w:tcPr>
            <w:tcW w:w="16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Drug Administration (FDA) in second</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Olumiant</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w w:val="99"/>
              </w:rPr>
              <w:t>See Developments</w:t>
            </w:r>
          </w:p>
        </w:tc>
        <w:tc>
          <w:tcPr>
            <w:tcW w:w="1160" w:type="dxa"/>
            <w:vAlign w:val="bottom"/>
          </w:tcPr>
          <w:p>
            <w:pPr>
              <w:spacing w:after="0"/>
              <w:rPr>
                <w:sz w:val="8"/>
                <w:szCs w:val="8"/>
                <w:color w:val="auto"/>
              </w:rPr>
            </w:pPr>
          </w:p>
        </w:tc>
        <w:tc>
          <w:tcPr>
            <w:tcW w:w="2040" w:type="dxa"/>
            <w:vAlign w:val="bottom"/>
            <w:tcBorders>
              <w:right w:val="single" w:sz="8" w:color="auto"/>
            </w:tcBorders>
            <w:gridSpan w:val="2"/>
            <w:vMerge w:val="restart"/>
          </w:tcPr>
          <w:p>
            <w:pPr>
              <w:jc w:val="center"/>
              <w:ind w:right="1090"/>
              <w:spacing w:after="0" w:line="202" w:lineRule="exact"/>
              <w:rPr>
                <w:sz w:val="20"/>
                <w:szCs w:val="20"/>
                <w:color w:val="auto"/>
              </w:rPr>
            </w:pPr>
            <w:r>
              <w:rPr>
                <w:rFonts w:ascii="Arial" w:cs="Arial" w:eastAsia="Arial" w:hAnsi="Arial"/>
                <w:sz w:val="18"/>
                <w:szCs w:val="18"/>
                <w:color w:val="auto"/>
                <w:w w:val="98"/>
              </w:rPr>
              <w:t>Launched</w:t>
            </w: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2017. After discussions with</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arthritis</w:t>
            </w:r>
          </w:p>
        </w:tc>
        <w:tc>
          <w:tcPr>
            <w:tcW w:w="1600" w:type="dxa"/>
            <w:vAlign w:val="bottom"/>
            <w:tcBorders>
              <w:right w:val="single" w:sz="8" w:color="auto"/>
            </w:tcBorders>
            <w:vMerge w:val="continue"/>
          </w:tcPr>
          <w:p>
            <w:pPr>
              <w:spacing w:after="0"/>
              <w:rPr>
                <w:sz w:val="9"/>
                <w:szCs w:val="9"/>
                <w:color w:val="auto"/>
              </w:rPr>
            </w:pPr>
          </w:p>
        </w:tc>
        <w:tc>
          <w:tcPr>
            <w:tcW w:w="1160" w:type="dxa"/>
            <w:vAlign w:val="bottom"/>
          </w:tcPr>
          <w:p>
            <w:pPr>
              <w:spacing w:after="0"/>
              <w:rPr>
                <w:sz w:val="9"/>
                <w:szCs w:val="9"/>
                <w:color w:val="auto"/>
              </w:rPr>
            </w:pPr>
          </w:p>
        </w:tc>
        <w:tc>
          <w:tcPr>
            <w:tcW w:w="204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FDA, resubmission in the U.S. is expected</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before the end of January 2018. Approved</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 launched in Japan in third quarter of</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Flortaucipir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9"/>
                <w:szCs w:val="19"/>
                <w:color w:val="auto"/>
              </w:rPr>
            </w:pPr>
          </w:p>
        </w:tc>
        <w:tc>
          <w:tcPr>
            <w:tcW w:w="1160" w:type="dxa"/>
            <w:vAlign w:val="bottom"/>
            <w:vMerge w:val="restart"/>
          </w:tcPr>
          <w:p>
            <w:pPr>
              <w:ind w:left="420"/>
              <w:spacing w:after="0"/>
              <w:rPr>
                <w:sz w:val="20"/>
                <w:szCs w:val="20"/>
                <w:color w:val="auto"/>
              </w:rPr>
            </w:pPr>
            <w:r>
              <w:rPr>
                <w:rFonts w:ascii="Arial" w:cs="Arial" w:eastAsia="Arial" w:hAnsi="Arial"/>
                <w:sz w:val="18"/>
                <w:szCs w:val="18"/>
                <w:color w:val="auto"/>
              </w:rPr>
              <w:t>Phase III</w:t>
            </w:r>
          </w:p>
        </w:tc>
        <w:tc>
          <w:tcPr>
            <w:tcW w:w="4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Phase III</w:t>
            </w:r>
          </w:p>
        </w:tc>
        <w:tc>
          <w:tcPr>
            <w:tcW w:w="44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Galcanezumab</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w:t>
            </w:r>
          </w:p>
        </w:tc>
        <w:tc>
          <w:tcPr>
            <w:tcW w:w="160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Three Phase III trials met primary</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380"/>
              <w:spacing w:after="0" w:line="202" w:lineRule="exact"/>
              <w:rPr>
                <w:sz w:val="20"/>
                <w:szCs w:val="20"/>
                <w:color w:val="auto"/>
              </w:rPr>
            </w:pPr>
            <w:r>
              <w:rPr>
                <w:rFonts w:ascii="Arial" w:cs="Arial" w:eastAsia="Arial" w:hAnsi="Arial"/>
                <w:sz w:val="18"/>
                <w:szCs w:val="18"/>
                <w:color w:val="auto"/>
              </w:rPr>
              <w:t>Submitted</w:t>
            </w:r>
          </w:p>
        </w:tc>
        <w:tc>
          <w:tcPr>
            <w:tcW w:w="1160" w:type="dxa"/>
            <w:vAlign w:val="bottom"/>
          </w:tcPr>
          <w:p>
            <w:pPr>
              <w:spacing w:after="0"/>
              <w:rPr>
                <w:sz w:val="8"/>
                <w:szCs w:val="8"/>
                <w:color w:val="auto"/>
              </w:rPr>
            </w:pPr>
          </w:p>
        </w:tc>
        <w:tc>
          <w:tcPr>
            <w:tcW w:w="2040" w:type="dxa"/>
            <w:vAlign w:val="bottom"/>
            <w:tcBorders>
              <w:right w:val="single" w:sz="8" w:color="auto"/>
            </w:tcBorders>
            <w:gridSpan w:val="2"/>
            <w:vMerge w:val="restart"/>
          </w:tcPr>
          <w:p>
            <w:pPr>
              <w:jc w:val="center"/>
              <w:ind w:right="1090"/>
              <w:spacing w:after="0" w:line="202" w:lineRule="exact"/>
              <w:rPr>
                <w:sz w:val="20"/>
                <w:szCs w:val="20"/>
                <w:color w:val="auto"/>
              </w:rPr>
            </w:pPr>
            <w:r>
              <w:rPr>
                <w:rFonts w:ascii="Arial" w:cs="Arial" w:eastAsia="Arial" w:hAnsi="Arial"/>
                <w:sz w:val="18"/>
                <w:szCs w:val="18"/>
                <w:color w:val="auto"/>
                <w:w w:val="98"/>
              </w:rPr>
              <w:t>Phase III</w:t>
            </w: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endpoints. Submitted to FDA in third</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1600" w:type="dxa"/>
            <w:vAlign w:val="bottom"/>
            <w:tcBorders>
              <w:right w:val="single" w:sz="8" w:color="auto"/>
            </w:tcBorders>
            <w:vMerge w:val="continue"/>
          </w:tcPr>
          <w:p>
            <w:pPr>
              <w:spacing w:after="0"/>
              <w:rPr>
                <w:sz w:val="9"/>
                <w:szCs w:val="9"/>
                <w:color w:val="auto"/>
              </w:rPr>
            </w:pPr>
          </w:p>
        </w:tc>
        <w:tc>
          <w:tcPr>
            <w:tcW w:w="1160" w:type="dxa"/>
            <w:vAlign w:val="bottom"/>
          </w:tcPr>
          <w:p>
            <w:pPr>
              <w:spacing w:after="0"/>
              <w:rPr>
                <w:sz w:val="9"/>
                <w:szCs w:val="9"/>
                <w:color w:val="auto"/>
              </w:rPr>
            </w:pPr>
          </w:p>
        </w:tc>
        <w:tc>
          <w:tcPr>
            <w:tcW w:w="204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2017.</w:t>
            </w: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and mild</w:t>
            </w: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Lanabecestat</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7"/>
                <w:szCs w:val="17"/>
                <w:color w:val="auto"/>
              </w:rPr>
            </w:pPr>
          </w:p>
        </w:tc>
        <w:tc>
          <w:tcPr>
            <w:tcW w:w="1160" w:type="dxa"/>
            <w:vAlign w:val="bottom"/>
          </w:tcPr>
          <w:p>
            <w:pPr>
              <w:ind w:left="420"/>
              <w:spacing w:after="0" w:line="202" w:lineRule="exact"/>
              <w:rPr>
                <w:sz w:val="20"/>
                <w:szCs w:val="20"/>
                <w:color w:val="auto"/>
              </w:rPr>
            </w:pPr>
            <w:r>
              <w:rPr>
                <w:rFonts w:ascii="Arial" w:cs="Arial" w:eastAsia="Arial" w:hAnsi="Arial"/>
                <w:sz w:val="18"/>
                <w:szCs w:val="18"/>
                <w:color w:val="auto"/>
              </w:rPr>
              <w:t>Phase III</w:t>
            </w: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Acquired from CoLucid in first quarter of</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2017. In third quarter of 2017, announced</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met primary endpoint.</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Lasmiditan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w:t>
            </w:r>
          </w:p>
        </w:tc>
        <w:tc>
          <w:tcPr>
            <w:tcW w:w="1600" w:type="dxa"/>
            <w:vAlign w:val="bottom"/>
          </w:tcPr>
          <w:p>
            <w:pPr>
              <w:spacing w:after="0"/>
              <w:rPr>
                <w:sz w:val="17"/>
                <w:szCs w:val="17"/>
                <w:color w:val="auto"/>
              </w:rPr>
            </w:pPr>
          </w:p>
        </w:tc>
        <w:tc>
          <w:tcPr>
            <w:tcW w:w="1160" w:type="dxa"/>
            <w:vAlign w:val="bottom"/>
            <w:vMerge w:val="restart"/>
          </w:tcPr>
          <w:p>
            <w:pPr>
              <w:ind w:left="420"/>
              <w:spacing w:after="0"/>
              <w:rPr>
                <w:sz w:val="20"/>
                <w:szCs w:val="20"/>
                <w:color w:val="auto"/>
              </w:rPr>
            </w:pPr>
            <w:r>
              <w:rPr>
                <w:rFonts w:ascii="Arial" w:cs="Arial" w:eastAsia="Arial" w:hAnsi="Arial"/>
                <w:sz w:val="18"/>
                <w:szCs w:val="18"/>
                <w:color w:val="auto"/>
              </w:rPr>
              <w:t>Phase III</w:t>
            </w: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Submission to FDA expected in second</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half of 2018. See Note 3 to the</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consolidated condensed financial</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statements for information on the</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600" w:type="dxa"/>
            <w:vAlign w:val="bottom"/>
          </w:tcPr>
          <w:p>
            <w:pPr>
              <w:spacing w:after="0"/>
              <w:rPr>
                <w:sz w:val="17"/>
                <w:szCs w:val="17"/>
                <w:color w:val="auto"/>
              </w:rPr>
            </w:pPr>
          </w:p>
        </w:tc>
        <w:tc>
          <w:tcPr>
            <w:tcW w:w="1160" w:type="dxa"/>
            <w:vAlign w:val="bottom"/>
          </w:tcPr>
          <w:p>
            <w:pPr>
              <w:ind w:left="420"/>
              <w:spacing w:after="0" w:line="202" w:lineRule="exact"/>
              <w:rPr>
                <w:sz w:val="20"/>
                <w:szCs w:val="20"/>
                <w:color w:val="auto"/>
              </w:rPr>
            </w:pPr>
            <w:r>
              <w:rPr>
                <w:rFonts w:ascii="Arial" w:cs="Arial" w:eastAsia="Arial" w:hAnsi="Arial"/>
                <w:sz w:val="18"/>
                <w:szCs w:val="18"/>
                <w:color w:val="auto"/>
              </w:rPr>
              <w:t>Phase III</w:t>
            </w:r>
          </w:p>
        </w:tc>
        <w:tc>
          <w:tcPr>
            <w:tcW w:w="4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6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Phase III</w:t>
            </w:r>
          </w:p>
        </w:tc>
        <w:tc>
          <w:tcPr>
            <w:tcW w:w="44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Granted Fast Track 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 the</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w:t>
            </w:r>
          </w:p>
        </w:tc>
        <w:tc>
          <w:tcPr>
            <w:tcW w:w="1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1600" w:type="dxa"/>
            <w:vAlign w:val="bottom"/>
            <w:tcBorders>
              <w:right w:val="single" w:sz="8" w:color="auto"/>
            </w:tcBorders>
            <w:vMerge w:val="continue"/>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vMerge w:val="restart"/>
          </w:tcPr>
          <w:p>
            <w:pPr>
              <w:ind w:left="420"/>
              <w:spacing w:after="0"/>
              <w:rPr>
                <w:sz w:val="20"/>
                <w:szCs w:val="20"/>
                <w:color w:val="auto"/>
              </w:rPr>
            </w:pPr>
            <w:r>
              <w:rPr>
                <w:rFonts w:ascii="Arial" w:cs="Arial" w:eastAsia="Arial" w:hAnsi="Arial"/>
                <w:sz w:val="18"/>
                <w:szCs w:val="18"/>
                <w:color w:val="auto"/>
              </w:rPr>
              <w:t>Phase III</w:t>
            </w:r>
          </w:p>
        </w:tc>
        <w:tc>
          <w:tcPr>
            <w:tcW w:w="44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FDA in second quarter of 2017.</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6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52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 pain</w:t>
            </w:r>
          </w:p>
        </w:tc>
        <w:tc>
          <w:tcPr>
            <w:tcW w:w="1600" w:type="dxa"/>
            <w:vAlign w:val="bottom"/>
          </w:tcPr>
          <w:p>
            <w:pPr>
              <w:spacing w:after="0"/>
              <w:rPr>
                <w:sz w:val="21"/>
                <w:szCs w:val="21"/>
                <w:color w:val="auto"/>
              </w:rPr>
            </w:pPr>
          </w:p>
        </w:tc>
        <w:tc>
          <w:tcPr>
            <w:tcW w:w="1160" w:type="dxa"/>
            <w:vAlign w:val="bottom"/>
            <w:vMerge w:val="restart"/>
          </w:tcPr>
          <w:p>
            <w:pPr>
              <w:ind w:left="420"/>
              <w:spacing w:after="0"/>
              <w:rPr>
                <w:sz w:val="20"/>
                <w:szCs w:val="20"/>
                <w:color w:val="auto"/>
              </w:rPr>
            </w:pPr>
            <w:r>
              <w:rPr>
                <w:rFonts w:ascii="Arial" w:cs="Arial" w:eastAsia="Arial" w:hAnsi="Arial"/>
                <w:sz w:val="18"/>
                <w:szCs w:val="18"/>
                <w:color w:val="auto"/>
              </w:rPr>
              <w:t>Phase III</w:t>
            </w:r>
          </w:p>
        </w:tc>
        <w:tc>
          <w:tcPr>
            <w:tcW w:w="44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06" w:right="219" w:bottom="1440" w:gutter="0" w:footer="0" w:header="0"/>
        </w:sectPr>
      </w:pPr>
    </w:p>
    <w:bookmarkStart w:id="38" w:name="page39"/>
    <w:bookmarkEnd w:id="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2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8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42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60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35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w:t>
            </w: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in third quarter of</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15"/>
        </w:trPr>
        <w:tc>
          <w:tcPr>
            <w:tcW w:w="1520" w:type="dxa"/>
            <w:vAlign w:val="bottom"/>
            <w:tcBorders>
              <w:left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vMerge w:val="continue"/>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35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Two Phase III trials met primary endpoints.</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Approved and launched in the U.S. in the</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Metastatic breast</w:t>
            </w:r>
          </w:p>
        </w:tc>
        <w:tc>
          <w:tcPr>
            <w:tcW w:w="1180" w:type="dxa"/>
            <w:vAlign w:val="bottom"/>
            <w:vMerge w:val="restart"/>
          </w:tcPr>
          <w:p>
            <w:pPr>
              <w:ind w:left="400"/>
              <w:spacing w:after="0"/>
              <w:rPr>
                <w:sz w:val="20"/>
                <w:szCs w:val="20"/>
                <w:color w:val="auto"/>
              </w:rPr>
            </w:pPr>
            <w:r>
              <w:rPr>
                <w:rFonts w:ascii="Arial" w:cs="Arial" w:eastAsia="Arial" w:hAnsi="Arial"/>
                <w:sz w:val="18"/>
                <w:szCs w:val="18"/>
                <w:color w:val="auto"/>
                <w:w w:val="96"/>
              </w:rPr>
              <w:t>Launched</w:t>
            </w:r>
          </w:p>
        </w:tc>
        <w:tc>
          <w:tcPr>
            <w:tcW w:w="420" w:type="dxa"/>
            <w:vAlign w:val="bottom"/>
            <w:tcBorders>
              <w:right w:val="single" w:sz="8" w:color="auto"/>
            </w:tcBorders>
          </w:tcPr>
          <w:p>
            <w:pPr>
              <w:spacing w:after="0"/>
              <w:rPr>
                <w:sz w:val="17"/>
                <w:szCs w:val="17"/>
                <w:color w:val="auto"/>
              </w:rPr>
            </w:pPr>
          </w:p>
        </w:tc>
        <w:tc>
          <w:tcPr>
            <w:tcW w:w="3200" w:type="dxa"/>
            <w:vAlign w:val="bottom"/>
            <w:tcBorders>
              <w:right w:val="single" w:sz="8" w:color="auto"/>
            </w:tcBorders>
            <w:gridSpan w:val="2"/>
            <w:vMerge w:val="restart"/>
          </w:tcPr>
          <w:p>
            <w:pPr>
              <w:ind w:left="1180"/>
              <w:spacing w:after="0"/>
              <w:rPr>
                <w:sz w:val="20"/>
                <w:szCs w:val="20"/>
                <w:color w:val="auto"/>
              </w:rPr>
            </w:pPr>
            <w:r>
              <w:rPr>
                <w:rFonts w:ascii="Arial" w:cs="Arial" w:eastAsia="Arial" w:hAnsi="Arial"/>
                <w:sz w:val="18"/>
                <w:szCs w:val="18"/>
                <w:color w:val="auto"/>
              </w:rPr>
              <w:t>Submitted</w:t>
            </w: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third and fourth quarters of 2017,</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cancer</w:t>
            </w:r>
          </w:p>
        </w:tc>
        <w:tc>
          <w:tcPr>
            <w:tcW w:w="1180" w:type="dxa"/>
            <w:vAlign w:val="bottom"/>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320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respectively. Submitted to regulatory</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Verzenio</w:t>
            </w:r>
          </w:p>
        </w:tc>
        <w:tc>
          <w:tcPr>
            <w:tcW w:w="160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authorities in Europe and Japan in third</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of 2017.</w:t>
            </w: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fourth quarter of 2017, announced</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KRAS-mutant non-</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did not meet primary</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small cell lung</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6"/>
              </w:rPr>
              <w:t>Terminated</w:t>
            </w: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endpoint and further development of</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cancer</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monotherapy in this indication has been</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discontinued.</w:t>
            </w:r>
          </w:p>
        </w:tc>
        <w:tc>
          <w:tcPr>
            <w:tcW w:w="0" w:type="dxa"/>
            <w:vAlign w:val="bottom"/>
          </w:tcPr>
          <w:p>
            <w:pPr>
              <w:spacing w:after="0"/>
              <w:rPr>
                <w:sz w:val="1"/>
                <w:szCs w:val="1"/>
                <w:color w:val="auto"/>
              </w:rPr>
            </w:pPr>
          </w:p>
        </w:tc>
      </w:tr>
      <w:tr>
        <w:trPr>
          <w:trHeight w:val="229"/>
        </w:trPr>
        <w:tc>
          <w:tcPr>
            <w:tcW w:w="15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18"/>
                <w:szCs w:val="18"/>
                <w:color w:val="auto"/>
                <w:w w:val="99"/>
              </w:rPr>
              <w:t>Granted accelerated approval</w:t>
            </w:r>
            <w:r>
              <w:rPr>
                <w:rFonts w:ascii="Arial" w:cs="Arial" w:eastAsia="Arial" w:hAnsi="Arial"/>
                <w:sz w:val="21"/>
                <w:szCs w:val="21"/>
                <w:color w:val="auto"/>
                <w:w w:val="99"/>
                <w:vertAlign w:val="superscript"/>
              </w:rPr>
              <w:t>(2)</w:t>
            </w:r>
            <w:r>
              <w:rPr>
                <w:rFonts w:ascii="Arial" w:cs="Arial" w:eastAsia="Arial" w:hAnsi="Arial"/>
                <w:sz w:val="18"/>
                <w:szCs w:val="18"/>
                <w:color w:val="auto"/>
                <w:w w:val="99"/>
              </w:rPr>
              <w:t xml:space="preserve"> by the FDA</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fourth quarter of 2016 based on phase II</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data. Launched in the U.S. in the fourth</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vMerge w:val="restart"/>
          </w:tcPr>
          <w:p>
            <w:pPr>
              <w:ind w:left="40"/>
              <w:spacing w:after="0" w:line="201" w:lineRule="exact"/>
              <w:rPr>
                <w:sz w:val="20"/>
                <w:szCs w:val="20"/>
                <w:color w:val="auto"/>
              </w:rPr>
            </w:pPr>
            <w:r>
              <w:rPr>
                <w:rFonts w:ascii="Arial" w:cs="Arial" w:eastAsia="Arial" w:hAnsi="Arial"/>
                <w:sz w:val="18"/>
                <w:szCs w:val="18"/>
                <w:color w:val="auto"/>
              </w:rPr>
              <w:t>Lartruvo</w:t>
            </w:r>
          </w:p>
        </w:tc>
        <w:tc>
          <w:tcPr>
            <w:tcW w:w="1600" w:type="dxa"/>
            <w:vAlign w:val="bottom"/>
            <w:tcBorders>
              <w:right w:val="single" w:sz="8" w:color="auto"/>
            </w:tcBorders>
            <w:vMerge w:val="continue"/>
          </w:tcPr>
          <w:p>
            <w:pPr>
              <w:spacing w:after="0"/>
              <w:rPr>
                <w:sz w:val="8"/>
                <w:szCs w:val="8"/>
                <w:color w:val="auto"/>
              </w:rPr>
            </w:pPr>
          </w:p>
        </w:tc>
        <w:tc>
          <w:tcPr>
            <w:tcW w:w="1180" w:type="dxa"/>
            <w:vAlign w:val="bottom"/>
          </w:tcPr>
          <w:p>
            <w:pPr>
              <w:spacing w:after="0"/>
              <w:rPr>
                <w:sz w:val="8"/>
                <w:szCs w:val="8"/>
                <w:color w:val="auto"/>
              </w:rPr>
            </w:pPr>
          </w:p>
        </w:tc>
        <w:tc>
          <w:tcPr>
            <w:tcW w:w="2020" w:type="dxa"/>
            <w:vAlign w:val="bottom"/>
            <w:tcBorders>
              <w:right w:val="single" w:sz="8" w:color="auto"/>
            </w:tcBorders>
            <w:gridSpan w:val="2"/>
            <w:vMerge w:val="restart"/>
          </w:tcPr>
          <w:p>
            <w:pPr>
              <w:ind w:left="20"/>
              <w:spacing w:after="0" w:line="201" w:lineRule="exact"/>
              <w:rPr>
                <w:sz w:val="20"/>
                <w:szCs w:val="20"/>
                <w:color w:val="auto"/>
              </w:rPr>
            </w:pPr>
            <w:r>
              <w:rPr>
                <w:rFonts w:ascii="Arial" w:cs="Arial" w:eastAsia="Arial" w:hAnsi="Arial"/>
                <w:sz w:val="18"/>
                <w:szCs w:val="18"/>
                <w:color w:val="auto"/>
              </w:rPr>
              <w:t>Launched</w:t>
            </w:r>
          </w:p>
        </w:tc>
        <w:tc>
          <w:tcPr>
            <w:tcW w:w="1600" w:type="dxa"/>
            <w:vAlign w:val="bottom"/>
            <w:tcBorders>
              <w:right w:val="single" w:sz="8" w:color="auto"/>
            </w:tcBorders>
            <w:vMerge w:val="restart"/>
          </w:tcPr>
          <w:p>
            <w:pPr>
              <w:ind w:left="420"/>
              <w:spacing w:after="0" w:line="201" w:lineRule="exact"/>
              <w:rPr>
                <w:sz w:val="20"/>
                <w:szCs w:val="20"/>
                <w:color w:val="auto"/>
              </w:rPr>
            </w:pPr>
            <w:r>
              <w:rPr>
                <w:rFonts w:ascii="Arial" w:cs="Arial" w:eastAsia="Arial" w:hAnsi="Arial"/>
                <w:sz w:val="18"/>
                <w:szCs w:val="18"/>
                <w:color w:val="auto"/>
              </w:rPr>
              <w:t>Phase III</w:t>
            </w:r>
          </w:p>
        </w:tc>
        <w:tc>
          <w:tcPr>
            <w:tcW w:w="3520" w:type="dxa"/>
            <w:vAlign w:val="bottom"/>
            <w:tcBorders>
              <w:right w:val="single" w:sz="8" w:color="auto"/>
            </w:tcBorders>
            <w:vMerge w:val="restart"/>
          </w:tcPr>
          <w:p>
            <w:pPr>
              <w:ind w:left="20"/>
              <w:spacing w:after="0" w:line="201" w:lineRule="exact"/>
              <w:rPr>
                <w:sz w:val="20"/>
                <w:szCs w:val="20"/>
                <w:color w:val="auto"/>
              </w:rPr>
            </w:pPr>
            <w:r>
              <w:rPr>
                <w:rFonts w:ascii="Arial" w:cs="Arial" w:eastAsia="Arial" w:hAnsi="Arial"/>
                <w:sz w:val="18"/>
                <w:szCs w:val="18"/>
                <w:color w:val="auto"/>
              </w:rPr>
              <w:t>quarter of 2016. Granted conditional</w:t>
            </w:r>
          </w:p>
        </w:tc>
        <w:tc>
          <w:tcPr>
            <w:tcW w:w="0" w:type="dxa"/>
            <w:vAlign w:val="bottom"/>
          </w:tcPr>
          <w:p>
            <w:pPr>
              <w:spacing w:after="0"/>
              <w:rPr>
                <w:sz w:val="1"/>
                <w:szCs w:val="1"/>
                <w:color w:val="auto"/>
              </w:rPr>
            </w:pPr>
          </w:p>
        </w:tc>
      </w:tr>
      <w:tr>
        <w:trPr>
          <w:trHeight w:val="106"/>
        </w:trPr>
        <w:tc>
          <w:tcPr>
            <w:tcW w:w="15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sarcoma</w:t>
            </w:r>
          </w:p>
        </w:tc>
        <w:tc>
          <w:tcPr>
            <w:tcW w:w="1180" w:type="dxa"/>
            <w:vAlign w:val="bottom"/>
          </w:tcPr>
          <w:p>
            <w:pPr>
              <w:spacing w:after="0"/>
              <w:rPr>
                <w:sz w:val="9"/>
                <w:szCs w:val="9"/>
                <w:color w:val="auto"/>
              </w:rPr>
            </w:pPr>
          </w:p>
        </w:tc>
        <w:tc>
          <w:tcPr>
            <w:tcW w:w="2020" w:type="dxa"/>
            <w:vAlign w:val="bottom"/>
            <w:tcBorders>
              <w:right w:val="single" w:sz="8" w:color="auto"/>
            </w:tcBorders>
            <w:gridSpan w:val="2"/>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vMerge w:val="continue"/>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approval</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and launched in Europe in</w:t>
            </w:r>
          </w:p>
        </w:tc>
        <w:tc>
          <w:tcPr>
            <w:tcW w:w="0" w:type="dxa"/>
            <w:vAlign w:val="bottom"/>
          </w:tcPr>
          <w:p>
            <w:pPr>
              <w:spacing w:after="0"/>
              <w:rPr>
                <w:sz w:val="1"/>
                <w:szCs w:val="1"/>
                <w:color w:val="auto"/>
              </w:rPr>
            </w:pPr>
          </w:p>
        </w:tc>
      </w:tr>
      <w:tr>
        <w:trPr>
          <w:trHeight w:val="203"/>
        </w:trPr>
        <w:tc>
          <w:tcPr>
            <w:tcW w:w="152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fourth quarter of 2016. Phase III trial is</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The FDA's fast track program is designed to expedite the development and review of new therapies to treat serious conditions and address unmet medical needs.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Continued approval for this indication may be contingent on verification and description of clinical benefit in a confirmatory Phase III trial.</w:t>
      </w:r>
    </w:p>
    <w:p>
      <w:pPr>
        <w:spacing w:after="0" w:line="97" w:lineRule="exact"/>
        <w:rPr>
          <w:rFonts w:ascii="Arial" w:cs="Arial" w:eastAsia="Arial" w:hAnsi="Arial"/>
          <w:sz w:val="16"/>
          <w:szCs w:val="16"/>
          <w:color w:val="auto"/>
          <w:vertAlign w:val="superscript"/>
        </w:rPr>
      </w:pPr>
    </w:p>
    <w:p>
      <w:pPr>
        <w:ind w:left="180" w:right="140" w:hanging="172"/>
        <w:spacing w:after="0" w:line="230" w:lineRule="auto"/>
        <w:tabs>
          <w:tab w:leader="none" w:pos="153" w:val="left"/>
        </w:tabs>
        <w:numPr>
          <w:ilvl w:val="0"/>
          <w:numId w:val="18"/>
        </w:numPr>
        <w:rPr>
          <w:rFonts w:ascii="Arial" w:cs="Arial" w:eastAsia="Arial" w:hAnsi="Arial"/>
          <w:sz w:val="17"/>
          <w:szCs w:val="17"/>
          <w:color w:val="auto"/>
          <w:vertAlign w:val="superscript"/>
        </w:rPr>
      </w:pPr>
      <w:r>
        <w:rPr>
          <w:rFonts w:ascii="Arial" w:cs="Arial" w:eastAsia="Arial" w:hAnsi="Arial"/>
          <w:sz w:val="14"/>
          <w:szCs w:val="14"/>
          <w:color w:val="auto"/>
        </w:rPr>
        <w:t>As part of a conditional marketing authorization, results from an ongoing Phase III study will need to be provided. This study is fully enrolled. Until availability of the full data, the Committee for Medicinal Products for Human Use will review the benefits and risks of Lartruvo annually to determine whether the conditional marketing authorization can be maintained.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 We lost patent exclusivity for the schizophrenia and bipolar mania indications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in December 2015 and April 2016, respectively. Generic versions of Zyprexa were launched in Japan in June 2016. The loss of exclusivity for Zyprexa in Japan has caused a rapid and severe decline in revenue for the product.</w:t>
      </w:r>
    </w:p>
    <w:p>
      <w:pPr>
        <w:spacing w:after="0" w:line="10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As described in Note 10 to the consolidated condensed financial statements, following the settlement related to the compound patent challenge for Effient</w:t>
      </w:r>
      <w:r>
        <w:rPr>
          <w:rFonts w:ascii="Arial" w:cs="Arial" w:eastAsia="Arial" w:hAnsi="Arial"/>
          <w:sz w:val="21"/>
          <w:szCs w:val="21"/>
          <w:color w:val="auto"/>
          <w:vertAlign w:val="superscript"/>
        </w:rPr>
        <w:t>®</w:t>
      </w:r>
      <w:r>
        <w:rPr>
          <w:rFonts w:ascii="Arial" w:cs="Arial" w:eastAsia="Arial" w:hAnsi="Arial"/>
          <w:sz w:val="18"/>
          <w:szCs w:val="18"/>
          <w:color w:val="auto"/>
        </w:rPr>
        <w:t>, generic products launched in the U.S. in the third quarter of 2017. The entry of generic competition for these products has caused a rapid and severe decline in revenue, which will, in the aggregate, have a material adverse effect on our consolidated results of operations and cash flows.</w:t>
      </w:r>
    </w:p>
    <w:p>
      <w:pPr>
        <w:spacing w:after="0" w:line="108"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We will lose 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in major European markets in November 2017. We will also lose compound patent protection for Cialis and Adcirca in the U.S. in November 2017; however, we now expect U.S. exclusivity for Cialis to end in late September 2018 at the earliest. We expect that the entry of generic competition into these markets following the loss of exclusivity will cause a rapid and severe decline in revenue for the affected products, which will, in the aggregate, have a material adverse effect on our consolidated results of operations and cash flows.</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822" w:right="219" w:bottom="1440" w:gutter="0" w:footer="0" w:header="0"/>
        </w:sectPr>
      </w:pPr>
    </w:p>
    <w:bookmarkStart w:id="39" w:name="page40"/>
    <w:bookmarkEnd w:id="39"/>
    <w:p>
      <w:pPr>
        <w:spacing w:after="0" w:line="248" w:lineRule="auto"/>
        <w:rPr>
          <w:sz w:val="20"/>
          <w:szCs w:val="20"/>
          <w:color w:val="auto"/>
        </w:rPr>
      </w:pPr>
      <w:r>
        <w:rPr>
          <w:rFonts w:ascii="Arial" w:cs="Arial" w:eastAsia="Arial" w:hAnsi="Arial"/>
          <w:sz w:val="18"/>
          <w:szCs w:val="18"/>
          <w:color w:val="auto"/>
        </w:rPr>
        <w:t>Additionally, as described in Note 10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While the U.S. Patent and Trademark Office recently ruled in our favor regarding the validity of the vitamin regimen patent, the generic companies which filed petitions seeking inter partes review of our vitamin regimen patent may appeal these rulings as further described in Note 10 to the consolidated condensed financial statements. We are aware that generic competitors have received approval to market generic versions of pemetrexed in major European markets, and that a generic product is currently on the market in at least one major European market. In light of the United Kingdom (U.K.) Supreme Court's judgment finding infringement in the U.K., Italy, France, and Spain, Actavis has withdrawn its previously launched-at-risk generic products from these markets. We will continue to seek to remove any generic pemetrexed products launched at risk in other European markets. Notwithstanding our patents, generic versions of Alimta were also approved in Japan starting in February 2016. As described in Note 10 to the consolidated condensed financial statements, we do not currently anticipate that generic versions of Alimta will proceed to pricing approval.</w:t>
      </w:r>
    </w:p>
    <w:p>
      <w:pPr>
        <w:spacing w:after="0" w:line="10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Thus far, the loss of compound patent protection for Humalog has not resulted in a rapid and severe decline in revenue. Global regulators have different legal pathways to approve similar versions of insulin lispro. A similar version of insulin lispro has received tentative approval in the U.S. and could launch soon. We are also aware that a competitor's insulin lispro product has launched in certain European markets. Other manufacturers have efforts underway to bring to market a similar version of insulin lispro in the U.S. and Europe. While it is difficult to estimate the severity of the impact of similar insulin lispro products entering the market, we do not expect a rapid and severe decline in revenue; however, we expect competitive pressure and some loss of market share initially that would continue over time.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British pound;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 and cash flows.</w:t>
      </w:r>
    </w:p>
    <w:p>
      <w:pPr>
        <w:spacing w:after="0" w:line="9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the first quarter of 2016. See Note 12 to the consolidated condensed financial statements for additional information related to the charge. As of September 30, 2017, our Venezuelan subsidiaries represented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our consolidated assets and liabilities. We continue to monitor other deteriorating economies and it is possible that additional charges may be recorded in the future. Any additional charges are not expected to have a material adverse effect on our future consolidated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related to prescription drug prices and reducing the cost of pharmaceuticals purchased by government health care programs. Several states enacted legislation in 2017 related to prescription drug pricing transparency. Savings projected under these proposals are targeted as a means to fund both health care expenditures and non-health care initiatives, or to manage federal and state budgets.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704" w:right="279" w:bottom="1440" w:gutter="0" w:footer="0" w:header="0"/>
        </w:sectPr>
      </w:pPr>
    </w:p>
    <w:bookmarkStart w:id="40" w:name="page41"/>
    <w:bookmarkEnd w:id="40"/>
    <w:p>
      <w:pPr>
        <w:ind w:right="40"/>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pharmaceutical benefit managers, wholesalers, and other supply chain stakeholders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 and cash flows.</w:t>
      </w:r>
    </w:p>
    <w:p>
      <w:pPr>
        <w:spacing w:after="0" w:line="10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Repealing and replacing the ACA remains a priority for President Trump and Congress. Provisions included in final legislation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Trump administration has stated that one of its top priorities is comprehensive tax reform. The tax rates and the manner in which U.S. companies are taxed could be altered by any such potential tax reform and could have a material adverse effect on our consolidated results of operations and cash flows. Additionally, the Organisation for Economic Co-operation and Development issued its final recommendations of international tax reform proposals to influence international tax policy in major countries in which we operate. Other institutions have also become more active regarding tax-related matters, including the European Commission, the United Nations, the Group of Twenty, and the European Parliament. While outcomes of these initiatives continue to develop and remain uncertain, changes to key elements of the U.S. or international tax framework could have a material adverse effect on our consolidated results of operations and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See Note 3 to the consolidated condensed financial statements for discussion regarding our recent acquisitions of businesses and assets, including:</w:t>
      </w:r>
    </w:p>
    <w:p>
      <w:pPr>
        <w:spacing w:after="0" w:line="88" w:lineRule="exact"/>
        <w:rPr>
          <w:sz w:val="20"/>
          <w:szCs w:val="20"/>
          <w:color w:val="auto"/>
        </w:rPr>
      </w:pPr>
    </w:p>
    <w:p>
      <w:pPr>
        <w:ind w:left="660" w:right="40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acquisition of Boehringer Ingelheim Vetmedica, Inc.'s U.S. feline, canine, and rabies vaccine portfolio and other related assets (BIVIVP), completed on January 3, 2017, in an all-cash transaction for $882.1 million.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acquisition of CoLucid, completed on March 1, 2017, for a cash purchase price of $831.8 million, net of cash acquired.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0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Note 10 to the consolidated condensed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Percent</w:t>
            </w:r>
          </w:p>
        </w:tc>
      </w:tr>
      <w:tr>
        <w:trPr>
          <w:trHeight w:val="196"/>
        </w:trPr>
        <w:tc>
          <w:tcPr>
            <w:tcW w:w="4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3,104.4</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2,837.6</w:t>
            </w:r>
          </w:p>
        </w:tc>
        <w:tc>
          <w:tcPr>
            <w:tcW w:w="10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9,361.8</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8,283.1</w:t>
            </w:r>
          </w:p>
        </w:tc>
        <w:tc>
          <w:tcPr>
            <w:tcW w:w="10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13</w:t>
            </w: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2,553.6</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2,354.1</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8</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7,348.7</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7,178.5</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2</w:t>
            </w:r>
          </w:p>
        </w:tc>
      </w:tr>
      <w:tr>
        <w:trPr>
          <w:trHeight w:val="27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5,658.0</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5,191.7</w:t>
            </w:r>
          </w:p>
        </w:tc>
        <w:tc>
          <w:tcPr>
            <w:tcW w:w="102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16,710.6</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6"/>
              </w:rPr>
              <w:t>15,461.6</w:t>
            </w:r>
          </w:p>
        </w:tc>
        <w:tc>
          <w:tcPr>
            <w:tcW w:w="102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0"/>
        </w:trPr>
        <w:tc>
          <w:tcPr>
            <w:tcW w:w="2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6"/>
                <w:szCs w:val="16"/>
                <w:color w:val="auto"/>
              </w:rPr>
            </w:pPr>
          </w:p>
        </w:tc>
      </w:tr>
      <w:tr>
        <w:trPr>
          <w:trHeight w:val="276"/>
        </w:trPr>
        <w:tc>
          <w:tcPr>
            <w:tcW w:w="28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 vs. 2016</w:t>
            </w:r>
          </w:p>
        </w:tc>
        <w:tc>
          <w:tcPr>
            <w:tcW w:w="1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 vs. 2016</w:t>
            </w:r>
          </w:p>
        </w:tc>
        <w:tc>
          <w:tcPr>
            <w:tcW w:w="1320" w:type="dxa"/>
            <w:vAlign w:val="bottom"/>
            <w:tcBorders>
              <w:bottom w:val="single" w:sz="8" w:color="auto"/>
            </w:tcBorders>
          </w:tcPr>
          <w:p>
            <w:pPr>
              <w:spacing w:after="0"/>
              <w:rPr>
                <w:sz w:val="24"/>
                <w:szCs w:val="24"/>
                <w:color w:val="auto"/>
              </w:rPr>
            </w:pPr>
          </w:p>
        </w:tc>
      </w:tr>
      <w:tr>
        <w:trPr>
          <w:trHeight w:val="264"/>
        </w:trPr>
        <w:tc>
          <w:tcPr>
            <w:tcW w:w="2880" w:type="dxa"/>
            <w:vAlign w:val="bottom"/>
          </w:tcPr>
          <w:p>
            <w:pPr>
              <w:spacing w:after="0"/>
              <w:rPr>
                <w:sz w:val="22"/>
                <w:szCs w:val="22"/>
                <w:color w:val="auto"/>
              </w:rPr>
            </w:pPr>
          </w:p>
        </w:tc>
        <w:tc>
          <w:tcPr>
            <w:tcW w:w="9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Outside U.S.</w:t>
            </w:r>
          </w:p>
        </w:tc>
        <w:tc>
          <w:tcPr>
            <w:tcW w:w="15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U.S.</w:t>
            </w: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560" w:type="dxa"/>
            <w:vAlign w:val="bottom"/>
          </w:tcPr>
          <w:p>
            <w:pPr>
              <w:jc w:val="right"/>
              <w:ind w:right="139"/>
              <w:spacing w:after="0"/>
              <w:rPr>
                <w:sz w:val="20"/>
                <w:szCs w:val="20"/>
                <w:color w:val="auto"/>
              </w:rPr>
            </w:pPr>
            <w:r>
              <w:rPr>
                <w:rFonts w:ascii="Arial" w:cs="Arial" w:eastAsia="Arial" w:hAnsi="Arial"/>
                <w:sz w:val="18"/>
                <w:szCs w:val="18"/>
                <w:color w:val="auto"/>
              </w:rPr>
              <w:t>8%</w:t>
            </w:r>
          </w:p>
        </w:tc>
        <w:tc>
          <w:tcPr>
            <w:tcW w:w="1580" w:type="dxa"/>
            <w:vAlign w:val="bottom"/>
          </w:tcPr>
          <w:p>
            <w:pPr>
              <w:jc w:val="right"/>
              <w:ind w:right="254"/>
              <w:spacing w:after="0"/>
              <w:rPr>
                <w:sz w:val="20"/>
                <w:szCs w:val="20"/>
                <w:color w:val="auto"/>
              </w:rPr>
            </w:pPr>
            <w:r>
              <w:rPr>
                <w:rFonts w:ascii="Arial" w:cs="Arial" w:eastAsia="Arial" w:hAnsi="Arial"/>
                <w:sz w:val="18"/>
                <w:szCs w:val="18"/>
                <w:color w:val="auto"/>
              </w:rPr>
              <w:t>7 %</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540" w:type="dxa"/>
            <w:vAlign w:val="bottom"/>
          </w:tcPr>
          <w:p>
            <w:pPr>
              <w:jc w:val="right"/>
              <w:ind w:right="99"/>
              <w:spacing w:after="0"/>
              <w:rPr>
                <w:sz w:val="20"/>
                <w:szCs w:val="20"/>
                <w:color w:val="auto"/>
              </w:rPr>
            </w:pPr>
            <w:r>
              <w:rPr>
                <w:rFonts w:ascii="Arial" w:cs="Arial" w:eastAsia="Arial" w:hAnsi="Arial"/>
                <w:sz w:val="18"/>
                <w:szCs w:val="18"/>
                <w:color w:val="auto"/>
              </w:rPr>
              <w:t>5 %</w:t>
            </w:r>
          </w:p>
        </w:tc>
        <w:tc>
          <w:tcPr>
            <w:tcW w:w="132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56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w:t>
            </w:r>
          </w:p>
        </w:tc>
      </w:tr>
      <w:tr>
        <w:trPr>
          <w:trHeight w:val="27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9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8%</w:t>
            </w:r>
          </w:p>
        </w:tc>
        <w:tc>
          <w:tcPr>
            <w:tcW w:w="15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9 %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2 %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In the U.S., for the three and nine months ended September 30, 2017, the volume increase was primarily driven by new pharmaceutical products, including Trulicity, Taltz, Basaglar, Lartruvo, and Jardiance</w:t>
      </w:r>
      <w:r>
        <w:rPr>
          <w:rFonts w:ascii="Arial" w:cs="Arial" w:eastAsia="Arial" w:hAnsi="Arial"/>
          <w:sz w:val="21"/>
          <w:szCs w:val="21"/>
          <w:color w:val="auto"/>
          <w:vertAlign w:val="superscript"/>
        </w:rPr>
        <w:t>®</w:t>
      </w:r>
      <w:r>
        <w:rPr>
          <w:rFonts w:ascii="Arial" w:cs="Arial" w:eastAsia="Arial" w:hAnsi="Arial"/>
          <w:sz w:val="18"/>
          <w:szCs w:val="18"/>
          <w:color w:val="auto"/>
        </w:rPr>
        <w:t>, as well as increased volume for companion animal products from the acquisition of BIVIVP, partially offset by decreased volume for several established pharmaceutical products, including Cialis due to decreased demand as well as Strattera due to the loss of exclusivity. The U.S. increase in realized prices for the three and nine months ended September 30, 2017 was driven by several pharmaceutical products, primarily Forteo</w:t>
      </w:r>
      <w:r>
        <w:rPr>
          <w:rFonts w:ascii="Arial" w:cs="Arial" w:eastAsia="Arial" w:hAnsi="Arial"/>
          <w:sz w:val="21"/>
          <w:szCs w:val="21"/>
          <w:color w:val="auto"/>
          <w:vertAlign w:val="superscript"/>
        </w:rPr>
        <w:t>®</w:t>
      </w:r>
      <w:r>
        <w:rPr>
          <w:rFonts w:ascii="Arial" w:cs="Arial" w:eastAsia="Arial" w:hAnsi="Arial"/>
          <w:sz w:val="18"/>
          <w:szCs w:val="18"/>
          <w:color w:val="auto"/>
        </w:rPr>
        <w:t>, Cialis, and Humalog. For the three and nine months ended September 30, 2017,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revenue declined as the third quarter of 2016 included an increase in revenue due to a reduction to the return reserve of approximately $145 million.</w:t>
      </w:r>
    </w:p>
    <w:p>
      <w:pPr>
        <w:spacing w:after="0" w:line="11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Outside the U.S., for the three and nine months ended September 30, 2017, the volume increase was driven by sales of several new pharmaceutical products, including Trulicity and Cyramza</w:t>
      </w:r>
      <w:r>
        <w:rPr>
          <w:rFonts w:ascii="Arial" w:cs="Arial" w:eastAsia="Arial" w:hAnsi="Arial"/>
          <w:sz w:val="21"/>
          <w:szCs w:val="21"/>
          <w:color w:val="auto"/>
          <w:vertAlign w:val="superscript"/>
        </w:rPr>
        <w:t>®</w:t>
      </w:r>
      <w:r>
        <w:rPr>
          <w:rFonts w:ascii="Arial" w:cs="Arial" w:eastAsia="Arial" w:hAnsi="Arial"/>
          <w:sz w:val="18"/>
          <w:szCs w:val="18"/>
          <w:color w:val="auto"/>
        </w:rPr>
        <w:t>. For the nine months ended September 30, 2017, the volume increase was partially offset by the loss of exclusivity for several established products, including Zyprexa in Japan, Cymbalta in Canada and Europe, and Alimta in several countries.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8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tables summarize our revenue activity by product: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414.9</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281.3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696.2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640.8</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9</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319.6</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245.3</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564.9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588.2</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412.9</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114.8</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527.7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117</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260.3</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254.2</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514.5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570.4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234.1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207.6</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13</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203.0</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97.5</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300.5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322.0</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69.5</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126.5</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159.0</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23</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19.6</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163.5</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183.2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313.5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(42)</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136.0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27.4</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184.6</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(11)</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68.4</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84.9</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153.3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115.4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33</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131.3</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20.0</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151.3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115.2</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30.5</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145.7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128.0</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148.9</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(6)</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52.9</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84.1</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137.1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198.8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(31)</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83.8</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43.4</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168</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42.7</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13.1</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127.7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(56)</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174.6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243.9</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382.0</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9</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353.0</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387.6</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740.6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706.2</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5</w:t>
            </w:r>
          </w:p>
        </w:tc>
      </w:tr>
      <w:tr>
        <w:trPr>
          <w:trHeight w:val="27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3,104.4</w:t>
            </w: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2,553.6</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5,658.0</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5,191.7</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9</w:t>
            </w:r>
          </w:p>
        </w:tc>
      </w:tr>
      <w:tr>
        <w:trPr>
          <w:trHeight w:val="459"/>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9"/>
              </w:rPr>
              <w:t>43</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ind w:left="5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1,254.3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828.6</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2,083.0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1,949.0</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997.3</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728.5</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1,725.7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1,795.3</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761.9</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775.4</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1,537.3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1,741.7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1,090.1</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290.7</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1,380.8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588.5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135</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661.5</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574.3</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1,235.8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1,077.5</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15</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634.9</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337.9</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972.8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1,010.6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100.8</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463.6</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748.7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(25)</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204.3</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349.2</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553.5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437.0</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276.9</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243.0</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611.5</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(15)</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398.2</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78.8</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477.0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533.3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(11)</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49.3</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379.6</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428.9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572.3</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(25)</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174.2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234.1</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408.2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330.8</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23</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343.6</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43.1</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290.8</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35.8</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326.6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394.3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198.3</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105.9</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125.8</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142</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196.7</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81.6</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278.3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555.3</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677.2</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1,232.6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1,126.3</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9</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1,173.4</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1,121.4</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2,294.8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2,320.5</w:t>
            </w:r>
          </w:p>
        </w:tc>
        <w:tc>
          <w:tcPr>
            <w:tcW w:w="1480" w:type="dxa"/>
            <w:vAlign w:val="bottom"/>
            <w:tcBorders>
              <w:bottom w:val="single" w:sz="8" w:color="CCEEFF"/>
            </w:tcBorders>
          </w:tcPr>
          <w:p>
            <w:pPr>
              <w:jc w:val="center"/>
              <w:ind w:left="11"/>
              <w:spacing w:after="0"/>
              <w:rPr>
                <w:sz w:val="20"/>
                <w:szCs w:val="20"/>
                <w:color w:val="auto"/>
              </w:rPr>
            </w:pPr>
            <w:r>
              <w:rPr>
                <w:rFonts w:ascii="Arial" w:cs="Arial" w:eastAsia="Arial" w:hAnsi="Arial"/>
                <w:sz w:val="18"/>
                <w:szCs w:val="18"/>
                <w:color w:val="auto"/>
                <w:w w:val="99"/>
              </w:rPr>
              <w:t>(1)</w:t>
            </w:r>
          </w:p>
        </w:tc>
      </w:tr>
      <w:tr>
        <w:trPr>
          <w:trHeight w:val="277"/>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9,361.8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7,348.7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16,710.6</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15,461.6</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9"/>
              </w:rPr>
              <w:t>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 of Humalog, our injectable human insulin analog for the treatment of diabetes, increased 10 percent and 8 percent in the U.S. during the three and and first nine months of 2017, respectively, driven by higher realized prices due to changes in estimates to rebates and discounts and, to a lesser extent, increased volume. For the first nine months of 2017, the increase in realized prices primarily resulted from decreased revenue in the first quarter of 2016 resulting from changes in estimates for rebates and discounts. Revenue outside the U.S. increased 7 percent and 5 percent during the three and nine months ended September 30, 2017, respectively, driven by increased volume and, to a lesser extent, higher realized prices. The increase in revenue for the nine months ended September 30, 2017 was partially offset by the unfavorable impact of foreign exchange rates. A similar version of insulin lispro has received tentative approval in the U.S. and could launch soon. We are also aware that a competitor's insulin lispro product has launched in certain European markets. While it is difficult to estimate the severity of the impact of similar insulin lispro products entering the market, we do not expect a rapid and severe decline in revenue; however, we expect competitive pressure and some loss of market share initially that would continue over time. See "Other Matters—Patent Matters" for more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56" w:right="239" w:bottom="1440" w:gutter="0" w:footer="0" w:header="0"/>
        </w:sectPr>
      </w:pPr>
    </w:p>
    <w:bookmarkStart w:id="44" w:name="page45"/>
    <w:bookmarkEnd w:id="44"/>
    <w:p>
      <w:pPr>
        <w:ind w:right="20"/>
        <w:spacing w:after="0" w:line="251" w:lineRule="auto"/>
        <w:rPr>
          <w:sz w:val="20"/>
          <w:szCs w:val="20"/>
          <w:color w:val="auto"/>
        </w:rPr>
      </w:pPr>
      <w:r>
        <w:rPr>
          <w:rFonts w:ascii="Arial" w:cs="Arial" w:eastAsia="Arial" w:hAnsi="Arial"/>
          <w:sz w:val="18"/>
          <w:szCs w:val="18"/>
          <w:color w:val="auto"/>
        </w:rPr>
        <w:t>Revenue of Cialis, a treatment for erectile dysfunction and benign prostatic hyperplasia, decreased 8 percent and 6 percent in the U.S. during the three and nine months ended September 30, 2017, respectively, driven by decreased demand, partially offset by higher realized prices. Revenue outside the U.S. increased 2 percent in the third quarter of 2017, driven by higher realized prices and, to a lesser extent, the favorable impact of foreign exchange rates, partially offset by decreased volume. For the first nine months of 2017, revenue outside the U.S. decreased 2 percent, driven by decreased volume and, to a lesser extent, the unfavorable impact of foreign exchange rates, partially offset by higher realized prices. We will lose our compound patent protection for Cialis in major European markets in November 2017 and now expect U.S. exclusivity for Cialis to end in late September 2018 at the earliest. See "Other Matters—Patent Matters" for more information regarding our U.S. exclusivity. In addition to potential competition from generic tadalafil, we also currently face competition from generic sildenafil, which we expect to accelerate during 2018. We expect that the entry of generic competition following the loss of exclusivity will cause a rapid and severe decline in revenue.</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 of Alimta, a treatment for various cancers, decreased 6 percent and 8 percent in the U.S. during the three and nine months ended September 30, 2017, respectively, driven by decreased demand due to competitive pressure. Revenue outside the U.S. decreased 13 percent and 15 percent during the three and nine months ended September 30, 2017, respectively, driven by competitive pressure, lower realized prices, and the loss of exclusivity in several countries. We have faced and remain exposed to generic entry in multiple countries that has eroded revenue and is likely to continue to erode revenue from current levels.</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of Trulicity, a treatment for type 2 diabetes, increased 119 percent and 132 percent in the U.S. during the three and nine months ended September 30, 2017, respectively, driven by increased share of market for Trulicity and growth in the GLP-1 market. Revenue outside the U.S. increased 109 percent and 144 percent during the three and nine months ended September 30, 2017, respectively, primarily driven by uptake in Europe and Japan.</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increased 13 percent and 22 percent in the U.S. during the three and nine months ended September 30, 2017, respectively, driven by higher realized prices. Revenue outside the U.S. increased 13 percent and 7 percent during the third quarter of 2017 and the first nine months of 2017, respectively, driven by increased volume. Revenue for the first nine months of 2017 was partially offset by lower realized prices and the unfavorable impact of foreign exchange rates.</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of Humulin, an injectable human insulin for the treatment of diabetes, increased 4 percent in the U.S. during the third quarter of 2017, driven by increased volume, partially offset by lower realized prices. For the first nine months of 2017, revenue decreased 1 percent in the U.S., primarily resulting from a change in estimate in the first quarter of 2016 for a government rebate, which increased revenue in that period, partially offset by increased volume. Revenue outside the U.S. decreased 23 percent during the third quarter of 2017, driven by decreased volume, primarily due to buying patterns in China. For the first nine months of 2017, revenue decreased 9 percent outside the U.S., driven by lower realized prices and, to a lesser extent, the unfavorable impact of foreign exchange rates, and decreased volume.</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and for the treatment of chronic musculoskeletal pain and the management of fibromyalgia, was $19.6 million and $100.8 million in the U.S. during the three and nine months ended September 30, 2017, respectively, compared to $162.3 million and $246.2 million during the three and nine months ended September 30, 2016, respectively. The decreases were driven by reductions to the reserve for expected product returns, which increased revenue by approximately $145 million and $ 175 million in the third quarter and first nine months of 2016, respectively. Revenue increased 8 percent outside the U.S. during the third quarter of 2017, primarily driven by increased volume in Japan. Revenue decreased 8 percent outside the U.S. during the nine months ended September 30, 2017, primarily driven by the loss of exclusivity in Canada and Europe, partially offset by increased volume in Japan.</w:t>
      </w:r>
    </w:p>
    <w:p>
      <w:pPr>
        <w:spacing w:after="0" w:line="9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of Cyramza, a treatment for various cancers, increased 4 percent in the U.S. during the third quarter of 2017, driven by increased volume. For the first nine months of 2017, revenue decreased 1 percent in the U.S., driven by lower realized prices and decreased demand due to competitive pressure. Revenue outside the U.S. increased 38 percent and 52 percent during the three and nine months ended September 30, 2017, respectively, primarily due to strong volume growth in Japan, partially offset by lower realized prices and the unfavorable impact of foreign exchange rates.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6" w:right="239" w:bottom="1440" w:gutter="0" w:footer="0" w:header="0"/>
        </w:sectPr>
      </w:pPr>
    </w:p>
    <w:bookmarkStart w:id="45" w:name="page46"/>
    <w:bookmarkEnd w:id="45"/>
    <w:p>
      <w:pPr>
        <w:ind w:right="60"/>
        <w:spacing w:after="0" w:line="252" w:lineRule="auto"/>
        <w:rPr>
          <w:sz w:val="20"/>
          <w:szCs w:val="20"/>
          <w:color w:val="auto"/>
        </w:rPr>
      </w:pPr>
      <w:r>
        <w:rPr>
          <w:rFonts w:ascii="Arial" w:cs="Arial" w:eastAsia="Arial" w:hAnsi="Arial"/>
          <w:sz w:val="18"/>
          <w:szCs w:val="18"/>
          <w:color w:val="auto"/>
        </w:rPr>
        <w:t>Revenue of Strattera, a treatment for attention-deficit hyperactivity disorder, decreased 56 percent and 27 percent in the U.S. during the three and nine months ended September 30, 2017, respectively, driven by the loss of exclusivity in the second quarter of 2017, partially offset by higher realized prices. We lost our patent protection for Strattera in the U.S. in May 2017. The entry of generic competition following the loss of effective patent protection has caused a rapid and severe decline in revenue. Revenue outside the U.S. increased 6 percent and 5 percent during the three and nine months ended September 30, 2017, respectively, driven by increased volume in Japan, partially offset by lower realized prices and the unfavorable impact of foreign exchange rates.</w:t>
      </w:r>
    </w:p>
    <w:p>
      <w:pPr>
        <w:spacing w:after="0" w:line="10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Revenue of Erbitux, a treatment for various cancers, decreased 12 percent in the U.S. during both the third quarter and first nine months of 2017, due to competitive pressure from immuno-oncology products.</w:t>
      </w:r>
    </w:p>
    <w:p>
      <w:pPr>
        <w:spacing w:after="0" w:line="8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Worldwide food animal revenue decreased 6 percent during the third quarter of 2017, driven by market access and competitive pressures in U.S. cattle. Worldwide food animal revenue decreased 8 percent during the nine months ended September 30, 2017, driven by market access and competitive pressures in cattle and swine. Worldwide companion animal revenue increased 35 percent during the three months ended September 30, 2017, driven by the inclusion of $61.2 million in revenue from the BIVIVP acquisition and wholesaler buying patterns in the U.S. in the third quarter of 2016. The increase in revenue during the third quarter of 2017 was partially offset by competitive pressure and lower realized prices. Worldwide companion animal revenue increased 13 percent during the nine months ended September 30, 2017, driven by the inclusion of $180.2 million in revenue from the BIVIVP acquisition, partially offset by competitive pressure. We expect these pressures for both companion animal and food animal to continue.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Gross margin as a percent of revenue decreased 0.7 percentage points to 72.3 percent and increased 0.5 percentage points to 73.4 percent for the three and nine months ended September 30, 2017, respectively. The decrease in gross margin percent for the third quarter of 2017 was primarily due to the effect of foreign exchange rates on international inventories sold and negative product mix, partially offset by manufacturing efficiencies. The increase in gross margin percent for the nine months ended September 30, 2017 was primarily due to manufacturing efficiencies and higher realized prices, partially offset by the effect of foreign exchange rates on international inventories sold and negative product mix.</w:t>
      </w:r>
    </w:p>
    <w:p>
      <w:pPr>
        <w:spacing w:after="0" w:line="1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Research and development expenses increased 7 percent to $ 1.32 billion and remained relatively flat at $3.81 billion for the three and nine months ended September 30, 2017, respectively. The increase for the third quarter of 2017 was primarily due to a $50.0 million milestone payment related to lanabecestat as part of our collaboration with AstraZeneca and, to a lesser extent, higher late-stage clinical development costs. For the nine months ended September 30, 2017, higher late-stage clinical development costs were essentially offset by lower milestone payments in 2017 as compared with 2016. See Note 4 to the consolidated condensed financial statements for additional information regarding our collaboration with AstraZeneca.</w:t>
      </w:r>
    </w:p>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Marketing, selling, and administrative expenses decreased 1 percent to $1.56 billion and increased 3 percent to $4.81 billion for the three and nine months ended September 30, 2017, respectively. The decrease for the third quarter of 2017 was due to decreased expenses related to late life-cycle products, partially offset by increased expenses related to new pharmaceutical products. The increase for the first nine months of 2017 was due to increased expenses related to new pharmaceutical products, partially offset by decreased expenses related to late life-cycle products.</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recognized $205.0 million and $1.06 billion of acquired IPR&amp;D charges for the three and nine months ended September 30, 2017, respectively, compared with no charges for the three and nine months ended September 30, 2016. The charges during the third quarter of 2017 relate to the upfront payments associated with our collaborations with Nektar and KeyBioscience. The charges during the first nine months of 2017, also include the acquired IPR&amp;D charges associated with the acquisition of CoLucid. See Note 3 to the consolidated condensed financial statements for additional information.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06" w:right="259" w:bottom="1440" w:gutter="0" w:footer="0" w:header="0"/>
        </w:sectPr>
      </w:pPr>
    </w:p>
    <w:bookmarkStart w:id="46" w:name="page47"/>
    <w:bookmarkEnd w:id="46"/>
    <w:p>
      <w:pPr>
        <w:spacing w:after="0" w:line="251" w:lineRule="auto"/>
        <w:rPr>
          <w:sz w:val="20"/>
          <w:szCs w:val="20"/>
          <w:color w:val="auto"/>
        </w:rPr>
      </w:pPr>
      <w:r>
        <w:rPr>
          <w:rFonts w:ascii="Arial" w:cs="Arial" w:eastAsia="Arial" w:hAnsi="Arial"/>
          <w:sz w:val="18"/>
          <w:szCs w:val="18"/>
          <w:color w:val="auto"/>
        </w:rPr>
        <w:t>We recognized asset impairment, restructuring, and other special charges of $406.5 million and $670.4 million for the three and nine months ended September 30, 2017, respectively, compared with charges of $45.5 million and $234.9 million for the three and nine months ended September 30, 2016, respectively. The charges for the third quarter of 2017 were partially associated with asset impairments related to lower projected revenue for Posilac, severance costs incurred as a result of actions taken to reduce our cost structure, as well as exit costs due to site closures. See "Executive Overview—Financial Results" for more information on the actions taken to reduce our cost structure. The charges for the first nine months of 2017 were due to severance costs incurred as a result of actions taken to reduce our cost structure, charges associated with the Posilac impairment, integration costs related to the acquisition of Novartis AH, asset impairments and other charges related to animal health assets, as well as exit costs due to site closures. We are exploring strategic options for Posilac, including seeking a buyer for the molecule and its Augusta manufacturing site. The charges for the third quarter of 2016 related to integration and severance costs for Novartis AH. The charges for the first nine months of 2016 were primarily associated with integration costs related to our acquisition of Novartis AH, asset impairments related to the closure of an animal health manufacturing facility in Ireland, as well as severance costs for Novartis AH. See Note 5 to the consolidated condensed financial statements for additional information.</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Other–net, (income) expense was expense of $13.9 million and expense of $2.7 million for the third quarter and first nine months of 2017, respectively, compared with income of $27.2 million and expense of $100.6 million for the third quarter and first nine months of 2016. The increase in expense during the third quarter of 2017 was driven by higher net gains on investments in the third quarter of 2016 as compared to 2017. Other expense during the first nine months of 2016 was driven by a $203.9 million charge related to the impact of the Venezuelan financial crisis, including the significant deterioration of the bolívar. See Note 12 to the consolidated condensed financial statements for additional information.</w:t>
      </w:r>
    </w:p>
    <w:p>
      <w:pPr>
        <w:spacing w:after="0" w:line="10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effective tax rates were 6.1 percent and 24.1 percent for the three and nine months ended September 30, 2017, respectively, compared with 19.9 percent and 20.8 percent for the same respective periods of 2016. The decrease in the effective tax rate for the third quarter of 2017 is primarily due to the income tax benefit of acquired IPR&amp;D charges and asset impairment, restructuring, and other special charges. The increase in the effective tax rate for the first nine months of 2017 is primarily due to the non-tax deductible $857.6 million acquired IPR&amp;D charge for the acquisition of CoLucid, partially offset by the income tax benefit of acquired IPR&amp;D charges and asset impairment, restructuring, and other special 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Cash and cash equivalents decreased to $ 3.72 billion as of September 30, 2017, compared with $4.58 billion as of December 31, 2016. Refer to the consolidated condensed statements of cash flows for additional details on the significant sources and uses of cash for the nine months ended September 30, 2017 and 2016.</w:t>
      </w:r>
    </w:p>
    <w:p>
      <w:pPr>
        <w:spacing w:after="0" w:line="94"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$9.37 billion and $6.66 billion as of September 30, 2017 and December 31, 2016, respectively. See Note 6 to the consolidated condensed financial statements for additional details.</w:t>
      </w:r>
    </w:p>
    <w:p>
      <w:pPr>
        <w:spacing w:after="0" w:line="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Total debt increased to $13.46 billion as of September 30, 2017, compared with $ 10.31 billion as of December 31, 2016. The increase was primarily due to the cash proceeds of $2.23 billion from the issuance of fixed-rate notes and, to a lesser extent, the net increase in the balance of commercial paper outstanding of $1.23 billion, partially offset by the repayment of $630.6 million of long term debt. See Note 6 to the consolidated condensed financial statements for additional details regarding the May 2017 debt issuance. At September 30, 2017, we had a total of $5.17 billion of committed bank credit facilities, $5.00 billion of which is available to support our commercial paper program. We believe that amounts accessible through existing commercial paper markets should be adequate to fund short-term borrowings.</w:t>
      </w:r>
    </w:p>
    <w:p>
      <w:pPr>
        <w:spacing w:after="0" w:line="1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the nine months ended September 30, 2017, we repurchased $259.9 million of shares associated with our previously announced $5.00 billion share repurchase program.</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See "Other Matters—Patent Matters" for information regarding recent and upcoming losses of patent protection.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"Other Matters—Foreign Currency Exchange Rates").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06"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Full-year 2017 EPS is now anticipated to be in the range of $1.73 to $ 1.83 reflecting charges associated with recently announced streamlining initiatives. We now expect 2017 revenue of between $22.4 billion and $22.7 billion, primarily due to uptake trends for new pharmaceutical products and, to a lesser extent, the positive impact of the Euro. Excluding the impact of foreign exchange rates, we expect revenue growth from new pharmaceutical products including Trulicity, Taltz, Basaglar, Cyramza, Jardiance, and Lartruvo, as well as a number of established pharmaceutical products including Trajenta, Forteo, and Humalog.</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margin as a percent of revenue is still expected to be approximately 72.5 percent. Research and development expenses are now expected to be in the range of $5.1 billion to $5.2 billion. Marketing, selling, and administrative expenses are still expected to be in the range of $6.4 billion to $6.6 billion. Other—net, (income) expense is still expected to be income of up to $100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2017 tax rate is now expected to be approximately 20.0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$1.1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60" w:hanging="652"/>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64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Derica W. Rice, executive vice president, global services, and chief financial officer, evaluated our disclosure controls and procedures as of September 30, 2017, and concluded that they are effective.</w:t>
      </w:r>
    </w:p>
    <w:p>
      <w:pPr>
        <w:spacing w:after="0" w:line="75" w:lineRule="exact"/>
        <w:rPr>
          <w:rFonts w:ascii="Arial" w:cs="Arial" w:eastAsia="Arial" w:hAnsi="Arial"/>
          <w:sz w:val="18"/>
          <w:szCs w:val="18"/>
          <w:color w:val="auto"/>
        </w:rPr>
      </w:pPr>
    </w:p>
    <w:p>
      <w:pPr>
        <w:ind w:left="660" w:right="320" w:hanging="652"/>
        <w:spacing w:after="0" w:line="28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third quarter of 2017,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76" w:right="259" w:bottom="1440" w:gutter="0" w:footer="0" w:header="0"/>
        </w:sectPr>
      </w:pPr>
    </w:p>
    <w:bookmarkStart w:id="48" w:name="page49"/>
    <w:bookmarkEnd w:id="48"/>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See "Notes to Consolidated Condensed Financial Statements—Note 10,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28"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Cymbalta.</w:t>
      </w:r>
    </w:p>
    <w:p>
      <w:pPr>
        <w:spacing w:after="0" w:line="152"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2016 (Part I, Item 3) and our Quarterly Reports on Form 10-Q for the quarters ended March 31, 2017 and June 30, 2017 (Part II, Item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9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are named as a defendant in approximately 505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liability lawsuits in the U.S. involving approximately 770 plaintiffs. Approximately 60 of these lawsuits, covering about 320 plaintiffs, are filed in California state court and coordinated in a Los Angeles Superior Court. Approximately 440 lawsuits, covering about 445 plaintiffs, are filed in federal court, the majority of which are coordinated in a multidistrict litigation (MDL) in the U.S. District Court for the Southern District of California. The remaining three lawsuits, representing approximately five plaintiffs, are in various state courts. Approximately 495 of the lawsuits, involving approximately 730 plaintiffs, contain allegations that Byetta caused or contributed to the plaintiffs' cancer (primarily pancreatic cancer or thyroid cancer); most others allege Byetta caused or contributed to pancreatitis. The federal and state trial courts granted summary judgment in favor of us and our co-defendants on the claims alleging pancreatic cancer. The plaintiffs appealed those rulings. In October 2017, oral argument was held in the U.S. Court of Appeals for the Ninth Circuit for the federal court decision. No oral argument date has been set for appeal of the state court decision. We are aware of approximately 20 additional claimants who have not yet filed suit. These additional claims allege damages for pancreatic cancer or thyroid cancer. We believe these lawsuits and claims are without merit and are prepared to defend against them vigorously.</w:t>
      </w:r>
    </w:p>
    <w:p>
      <w:pPr>
        <w:spacing w:after="0" w:line="1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named as a defendant in approximately 135 Cialis product liability lawsuits in the U.S. These cases, originally filed in various federal courts, contain allegations that Cialis caused or contributed to the plaintiffs' cancer (melanoma). In December 2016, the Judicial Panel on Multidistrict Litigation (JPML) granted the plaintiffs' petition to have the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14"/>
          <w:szCs w:val="14"/>
          <w:color w:val="auto"/>
          <w:vertAlign w:val="superscript"/>
        </w:rPr>
        <w:t>®</w:t>
      </w:r>
      <w:r>
        <w:rPr>
          <w:rFonts w:ascii="Arial" w:cs="Arial" w:eastAsia="Arial" w:hAnsi="Arial"/>
          <w:sz w:val="18"/>
          <w:szCs w:val="18"/>
          <w:color w:val="auto"/>
        </w:rPr>
        <w:t xml:space="preserve">. The JPML ordered the transfer of the existing cases to the now-renamed MDL </w:t>
      </w:r>
      <w:r>
        <w:rPr>
          <w:rFonts w:ascii="Arial" w:cs="Arial" w:eastAsia="Arial" w:hAnsi="Arial"/>
          <w:sz w:val="18"/>
          <w:szCs w:val="18"/>
          <w:i w:val="1"/>
          <w:iCs w:val="1"/>
          <w:color w:val="auto"/>
        </w:rPr>
        <w:t>In re: Viagra (Sildenafil Citrate) and Cialis (Tadalafil)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Litigation</w:t>
      </w:r>
      <w:r>
        <w:rPr>
          <w:rFonts w:ascii="Arial" w:cs="Arial" w:eastAsia="Arial" w:hAnsi="Arial"/>
          <w:sz w:val="18"/>
          <w:szCs w:val="18"/>
          <w:color w:val="auto"/>
        </w:rPr>
        <w:t>. We believe these lawsuits and claims are without merit and are prepared to defend against them vigorously.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Patent Matters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Canada, several generic companies previously challenged the validity of our Zyprexa patent. In September 2012, the Canadian Court of Appeals affirmed the lower court's decision that the patent was invalid for lack of utility. In 2013, our petition for leave to appeal the decision to the Supreme Court of Canada was denied. Two of the generic companies, Apotex Inc. (Apotex) and Teva Canada Limited (Teva Canada), pursued claims for damages arising from our enforcement of the patent under Canadian regulations. In April 2014, the Supreme Court of Canada dismissed Apotex's damages suit. Teva Canada's claim for damages remains, and a separate trial to determine the total amount of damages that may be awarded to Teva Canada concluded in May 2016. In January 2017, the court issued a ruling that Teva Canada is entitled to damages. We have appealed this decision and a hearing is expected in late 2017.</w:t>
      </w:r>
    </w:p>
    <w:p>
      <w:pPr>
        <w:spacing w:after="0" w:line="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October 2017, Teva Pharmaceuticals International GMBH filed a lawsuit against us in U.S District Court for the District of Massachusetts seeking a ruling that various patents would be infringed if we launch galcanezumab. We believe these patents are invalid and that this lawsuit is without merit. We are prepared to vigorously defend against this lawsuit.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9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Other Matters</w:t>
      </w:r>
    </w:p>
    <w:p>
      <w:pPr>
        <w:spacing w:after="0" w:line="20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 xml:space="preserve">We, along with Sanofi, Novo Nordisk, and various pharmacy benefit managers, are named as defendants in a purported class action lawsuit in the U.S. District Court of Western District of Texas, </w:t>
      </w:r>
      <w:r>
        <w:rPr>
          <w:rFonts w:ascii="Arial" w:cs="Arial" w:eastAsia="Arial" w:hAnsi="Arial"/>
          <w:sz w:val="18"/>
          <w:szCs w:val="18"/>
          <w:i w:val="1"/>
          <w:iCs w:val="1"/>
          <w:color w:val="auto"/>
        </w:rPr>
        <w:t>MSP Recovery Claims, Series, LLC et al. v. CVS Health Corp., et al.</w:t>
      </w:r>
      <w:r>
        <w:rPr>
          <w:rFonts w:ascii="Arial" w:cs="Arial" w:eastAsia="Arial" w:hAnsi="Arial"/>
          <w:sz w:val="18"/>
          <w:szCs w:val="18"/>
          <w:color w:val="auto"/>
        </w:rPr>
        <w:t>, relating to insulin pricing. The complainants are seeking damages under common law fraud, unjust enrichment, and the federal Racketeer Influenced and Corrupt Organizations Act. We believe this lawsuit and these claims are without merit and are prepared to defend against them vigorously.</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2016. There have been no material changes from the risk factors previously disclosed in our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share repurchases during the three months ended September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420"/>
          </w:cols>
          <w:pgMar w:left="240" w:top="738"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760"/>
          </w:cols>
          <w:pgMar w:left="240" w:top="738" w:right="23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60"/>
          </w:cols>
          <w:pgMar w:left="240" w:top="738"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760"/>
          </w:cols>
          <w:pgMar w:left="240" w:top="738"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940" w:space="720"/>
            <w:col w:w="8760"/>
          </w:cols>
          <w:pgMar w:left="240" w:top="738"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200" w:lineRule="exact"/>
        <w:rPr>
          <w:sz w:val="20"/>
          <w:szCs w:val="20"/>
          <w:color w:val="auto"/>
        </w:rPr>
      </w:pPr>
    </w:p>
    <w:p>
      <w:pPr>
        <w:sectPr>
          <w:pgSz w:w="11900" w:h="16838" w:orient="portrait"/>
          <w:cols w:equalWidth="0" w:num="2">
            <w:col w:w="1940" w:space="720"/>
            <w:col w:w="8760"/>
          </w:cols>
          <w:pgMar w:left="240" w:top="738" w:right="23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60"/>
          </w:cols>
          <w:pgMar w:left="240" w:top="738"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60"/>
          </w:cols>
          <w:pgMar w:left="240" w:top="738"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738"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October 27, 2017</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October 27, 2017</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5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Index to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sz w:val="20"/>
          <w:szCs w:val="20"/>
          <w:color w:val="auto"/>
        </w:rPr>
      </w:pPr>
    </w:p>
    <w:p>
      <w:pPr>
        <w:ind w:left="2660" w:right="180" w:hanging="2633"/>
        <w:spacing w:after="0" w:line="246" w:lineRule="auto"/>
        <w:tabs>
          <w:tab w:leader="none" w:pos="2640" w:val="left"/>
        </w:tabs>
        <w:rPr>
          <w:rFonts w:ascii="Arial" w:cs="Arial" w:eastAsia="Arial" w:hAnsi="Arial"/>
          <w:sz w:val="18"/>
          <w:szCs w:val="18"/>
          <w:u w:val="single" w:color="auto"/>
          <w:color w:val="0000FF"/>
        </w:rPr>
      </w:pPr>
      <w:r>
        <w:rPr>
          <w:rFonts w:ascii="Arial" w:cs="Arial" w:eastAsia="Arial" w:hAnsi="Arial"/>
          <w:sz w:val="18"/>
          <w:szCs w:val="18"/>
          <w:color w:val="auto"/>
        </w:rPr>
        <w:t>EXHIBIT 3.1</w:t>
      </w:r>
      <w:r>
        <w:rPr>
          <w:sz w:val="20"/>
          <w:szCs w:val="20"/>
          <w:color w:val="auto"/>
        </w:rPr>
        <w:tab/>
      </w:r>
      <w:hyperlink r:id="rId36">
        <w:r>
          <w:rPr>
            <w:rFonts w:ascii="Arial" w:cs="Arial" w:eastAsia="Arial" w:hAnsi="Arial"/>
            <w:sz w:val="18"/>
            <w:szCs w:val="18"/>
            <w:u w:val="single" w:color="auto"/>
            <w:color w:val="0000FF"/>
          </w:rPr>
          <w:t>Amended Articles of Incorporation are incorporated by reference to Exhibit 3.1 to the Company's Report on</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Form 10-K for the year ended December 31, 2013.</w:t>
        </w:r>
      </w:hyperlink>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EXHIBIT 3.2</w:t>
            </w:r>
          </w:p>
        </w:tc>
        <w:tc>
          <w:tcPr>
            <w:tcW w:w="8680" w:type="dxa"/>
            <w:vAlign w:val="bottom"/>
            <w:gridSpan w:val="7"/>
          </w:tcPr>
          <w:p>
            <w:pPr>
              <w:spacing w:after="0"/>
              <w:rPr>
                <w:rFonts w:ascii="Arial" w:cs="Arial" w:eastAsia="Arial" w:hAnsi="Arial"/>
                <w:sz w:val="18"/>
                <w:szCs w:val="18"/>
                <w:color w:val="0000FF"/>
              </w:rPr>
            </w:pPr>
            <w:hyperlink r:id="rId37">
              <w:r>
                <w:rPr>
                  <w:rFonts w:ascii="Arial" w:cs="Arial" w:eastAsia="Arial" w:hAnsi="Arial"/>
                  <w:sz w:val="18"/>
                  <w:szCs w:val="18"/>
                  <w:color w:val="0000FF"/>
                </w:rPr>
                <w:t>By-laws, as amended, are incorporated by reference to Exhibit 99.1 to the Company's Report on Form 8-K</w:t>
              </w:r>
            </w:hyperlink>
          </w:p>
        </w:tc>
      </w:tr>
      <w:tr>
        <w:trPr>
          <w:trHeight w:val="183"/>
        </w:trPr>
        <w:tc>
          <w:tcPr>
            <w:tcW w:w="2620" w:type="dxa"/>
            <w:vAlign w:val="bottom"/>
          </w:tcPr>
          <w:p>
            <w:pPr>
              <w:spacing w:after="0"/>
              <w:rPr>
                <w:sz w:val="15"/>
                <w:szCs w:val="15"/>
                <w:color w:val="auto"/>
              </w:rPr>
            </w:pPr>
          </w:p>
        </w:tc>
        <w:tc>
          <w:tcPr>
            <w:tcW w:w="18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dated August 29, 2017.</w:t>
              </w:r>
            </w:hyperlink>
          </w:p>
        </w:tc>
        <w:tc>
          <w:tcPr>
            <w:tcW w:w="6580" w:type="dxa"/>
            <w:vAlign w:val="bottom"/>
            <w:tcBorders>
              <w:top w:val="single" w:sz="8" w:color="0000FF"/>
            </w:tcBorders>
            <w:gridSpan w:val="4"/>
          </w:tcPr>
          <w:p>
            <w:pPr>
              <w:spacing w:after="0"/>
              <w:rPr>
                <w:sz w:val="15"/>
                <w:szCs w:val="15"/>
                <w:color w:val="auto"/>
              </w:rPr>
            </w:pPr>
          </w:p>
        </w:tc>
        <w:tc>
          <w:tcPr>
            <w:tcW w:w="220" w:type="dxa"/>
            <w:vAlign w:val="bottom"/>
          </w:tcPr>
          <w:p>
            <w:pPr>
              <w:spacing w:after="0"/>
              <w:rPr>
                <w:sz w:val="15"/>
                <w:szCs w:val="15"/>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12.</w:t>
            </w:r>
          </w:p>
        </w:tc>
        <w:tc>
          <w:tcPr>
            <w:tcW w:w="522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Statement re: Computation of Ratio of Earnings to Fixed Charges</w:t>
              </w:r>
            </w:hyperlink>
          </w:p>
        </w:tc>
        <w:tc>
          <w:tcPr>
            <w:tcW w:w="3460" w:type="dxa"/>
            <w:vAlign w:val="bottom"/>
            <w:gridSpan w:val="3"/>
          </w:tcPr>
          <w:p>
            <w:pPr>
              <w:spacing w:after="0"/>
              <w:rPr>
                <w:sz w:val="24"/>
                <w:szCs w:val="24"/>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31.1</w:t>
            </w:r>
          </w:p>
        </w:tc>
        <w:tc>
          <w:tcPr>
            <w:tcW w:w="8680" w:type="dxa"/>
            <w:vAlign w:val="bottom"/>
            <w:gridSpan w:val="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Rule 13a-14(a) Certification of David A. Ricks, Chairman, President, and Chief Executive Officer</w:t>
              </w:r>
            </w:hyperlink>
          </w:p>
        </w:tc>
      </w:tr>
      <w:tr>
        <w:trPr>
          <w:trHeight w:val="20"/>
        </w:trPr>
        <w:tc>
          <w:tcPr>
            <w:tcW w:w="26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31.2</w:t>
            </w:r>
          </w:p>
        </w:tc>
        <w:tc>
          <w:tcPr>
            <w:tcW w:w="8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Rule 13a-14(a) Certification of Derica W. Rice, Executive Vice President, Global Services and Chief Financial</w:t>
              </w:r>
            </w:hyperlink>
          </w:p>
        </w:tc>
      </w:tr>
      <w:tr>
        <w:trPr>
          <w:trHeight w:val="183"/>
        </w:trPr>
        <w:tc>
          <w:tcPr>
            <w:tcW w:w="2620" w:type="dxa"/>
            <w:vAlign w:val="bottom"/>
          </w:tcPr>
          <w:p>
            <w:pPr>
              <w:spacing w:after="0"/>
              <w:rPr>
                <w:sz w:val="15"/>
                <w:szCs w:val="15"/>
                <w:color w:val="auto"/>
              </w:rPr>
            </w:pPr>
          </w:p>
        </w:tc>
        <w:tc>
          <w:tcPr>
            <w:tcW w:w="540" w:type="dxa"/>
            <w:vAlign w:val="bottom"/>
            <w:tcBorders>
              <w:bottom w:val="single" w:sz="8" w:color="0000FF"/>
            </w:tcBorders>
          </w:tcPr>
          <w:p>
            <w:pPr>
              <w:spacing w:after="0" w:line="182" w:lineRule="exact"/>
              <w:rPr>
                <w:rFonts w:ascii="Arial" w:cs="Arial" w:eastAsia="Arial" w:hAnsi="Arial"/>
                <w:sz w:val="18"/>
                <w:szCs w:val="18"/>
                <w:color w:val="0000FF"/>
                <w:w w:val="97"/>
              </w:rPr>
            </w:pPr>
            <w:hyperlink w:anchor="page55">
              <w:r>
                <w:rPr>
                  <w:rFonts w:ascii="Arial" w:cs="Arial" w:eastAsia="Arial" w:hAnsi="Arial"/>
                  <w:sz w:val="18"/>
                  <w:szCs w:val="18"/>
                  <w:color w:val="0000FF"/>
                  <w:w w:val="97"/>
                </w:rPr>
                <w:t>Officer</w:t>
              </w:r>
            </w:hyperlink>
          </w:p>
        </w:tc>
        <w:tc>
          <w:tcPr>
            <w:tcW w:w="8140" w:type="dxa"/>
            <w:vAlign w:val="bottom"/>
            <w:gridSpan w:val="6"/>
          </w:tcPr>
          <w:p>
            <w:pPr>
              <w:spacing w:after="0"/>
              <w:rPr>
                <w:sz w:val="15"/>
                <w:szCs w:val="15"/>
                <w:color w:val="auto"/>
              </w:rPr>
            </w:pPr>
          </w:p>
        </w:tc>
      </w:tr>
      <w:tr>
        <w:trPr>
          <w:trHeight w:val="561"/>
        </w:trPr>
        <w:tc>
          <w:tcPr>
            <w:tcW w:w="2620" w:type="dxa"/>
            <w:vAlign w:val="bottom"/>
          </w:tcPr>
          <w:p>
            <w:pPr>
              <w:spacing w:after="0"/>
              <w:rPr>
                <w:sz w:val="20"/>
                <w:szCs w:val="20"/>
                <w:color w:val="auto"/>
              </w:rPr>
            </w:pPr>
            <w:r>
              <w:rPr>
                <w:rFonts w:ascii="Arial" w:cs="Arial" w:eastAsia="Arial" w:hAnsi="Arial"/>
                <w:sz w:val="18"/>
                <w:szCs w:val="18"/>
                <w:color w:val="auto"/>
              </w:rPr>
              <w:t>EXHIBIT 32.</w:t>
            </w:r>
          </w:p>
        </w:tc>
        <w:tc>
          <w:tcPr>
            <w:tcW w:w="206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Section 1350 Certification</w:t>
              </w:r>
            </w:hyperlink>
          </w:p>
        </w:tc>
        <w:tc>
          <w:tcPr>
            <w:tcW w:w="6620" w:type="dxa"/>
            <w:vAlign w:val="bottom"/>
            <w:gridSpan w:val="4"/>
          </w:tcPr>
          <w:p>
            <w:pPr>
              <w:spacing w:after="0"/>
              <w:rPr>
                <w:sz w:val="24"/>
                <w:szCs w:val="24"/>
                <w:color w:val="auto"/>
              </w:rPr>
            </w:pPr>
          </w:p>
        </w:tc>
      </w:tr>
      <w:tr>
        <w:trPr>
          <w:trHeight w:val="601"/>
        </w:trPr>
        <w:tc>
          <w:tcPr>
            <w:tcW w:w="2620" w:type="dxa"/>
            <w:vAlign w:val="bottom"/>
          </w:tcPr>
          <w:p>
            <w:pPr>
              <w:spacing w:after="0"/>
              <w:rPr>
                <w:sz w:val="20"/>
                <w:szCs w:val="20"/>
                <w:color w:val="auto"/>
              </w:rPr>
            </w:pPr>
            <w:r>
              <w:rPr>
                <w:rFonts w:ascii="Arial" w:cs="Arial" w:eastAsia="Arial" w:hAnsi="Arial"/>
                <w:sz w:val="18"/>
                <w:szCs w:val="18"/>
                <w:color w:val="auto"/>
              </w:rPr>
              <w:t>EXHIBIT 101.</w:t>
            </w:r>
          </w:p>
        </w:tc>
        <w:tc>
          <w:tcPr>
            <w:tcW w:w="8680" w:type="dxa"/>
            <w:vAlign w:val="bottom"/>
            <w:gridSpan w:val="7"/>
          </w:tcPr>
          <w:p>
            <w:pPr>
              <w:spacing w:after="0"/>
              <w:rPr>
                <w:sz w:val="20"/>
                <w:szCs w:val="20"/>
                <w:color w:val="auto"/>
              </w:rPr>
            </w:pPr>
            <w:r>
              <w:rPr>
                <w:rFonts w:ascii="Arial" w:cs="Arial" w:eastAsia="Arial" w:hAnsi="Arial"/>
                <w:sz w:val="18"/>
                <w:szCs w:val="18"/>
                <w:color w:val="auto"/>
              </w:rPr>
              <w:t>Interactive Data Files</w:t>
            </w:r>
          </w:p>
        </w:tc>
      </w:tr>
      <w:tr>
        <w:trPr>
          <w:trHeight w:val="689"/>
        </w:trPr>
        <w:tc>
          <w:tcPr>
            <w:tcW w:w="2620" w:type="dxa"/>
            <w:vAlign w:val="bottom"/>
          </w:tcPr>
          <w:p>
            <w:pPr>
              <w:spacing w:after="0"/>
              <w:rPr>
                <w:sz w:val="24"/>
                <w:szCs w:val="24"/>
                <w:color w:val="auto"/>
              </w:rPr>
            </w:pPr>
          </w:p>
        </w:tc>
        <w:tc>
          <w:tcPr>
            <w:tcW w:w="5220" w:type="dxa"/>
            <w:vAlign w:val="bottom"/>
            <w:gridSpan w:val="4"/>
          </w:tcPr>
          <w:p>
            <w:pPr>
              <w:ind w:left="2960"/>
              <w:spacing w:after="0"/>
              <w:rPr>
                <w:sz w:val="20"/>
                <w:szCs w:val="20"/>
                <w:color w:val="auto"/>
              </w:rPr>
            </w:pPr>
            <w:r>
              <w:rPr>
                <w:rFonts w:ascii="Arial" w:cs="Arial" w:eastAsia="Arial" w:hAnsi="Arial"/>
                <w:sz w:val="18"/>
                <w:szCs w:val="18"/>
                <w:color w:val="auto"/>
              </w:rPr>
              <w:t>52</w:t>
            </w:r>
          </w:p>
        </w:tc>
        <w:tc>
          <w:tcPr>
            <w:tcW w:w="2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340"/>
          </w:cols>
          <w:pgMar w:left="240" w:top="576" w:right="319" w:bottom="1440" w:gutter="0" w:footer="0" w:header="0"/>
        </w:sectPr>
      </w:pPr>
    </w:p>
    <w:bookmarkStart w:id="52" w:name="page53"/>
    <w:bookmarkEnd w:id="52"/>
    <w:p>
      <w:pPr>
        <w:jc w:val="center"/>
        <w:ind w:left="260" w:right="2540"/>
        <w:spacing w:after="0" w:line="428" w:lineRule="auto"/>
        <w:rPr>
          <w:sz w:val="20"/>
          <w:szCs w:val="20"/>
          <w:color w:val="auto"/>
        </w:rPr>
      </w:pPr>
      <w:r>
        <w:rPr>
          <w:rFonts w:ascii="Arial" w:cs="Arial" w:eastAsia="Arial" w:hAnsi="Arial"/>
          <w:sz w:val="18"/>
          <w:szCs w:val="18"/>
          <w:color w:val="auto"/>
        </w:rPr>
        <w:t>EXHIBIT 12. Statement Re: Computation of Ratio of Earnings to Fixed Charges ELI LILLY AND COMPANY AND SUBSIDIARIES (Dollars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Nine Months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1,913.3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3,374.0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2,790.0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3,000.3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5,889.3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5,408.2</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204.9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232.9</w:t>
            </w:r>
          </w:p>
        </w:tc>
        <w:tc>
          <w:tcPr>
            <w:tcW w:w="34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187.1</w:t>
            </w:r>
          </w:p>
        </w:tc>
        <w:tc>
          <w:tcPr>
            <w:tcW w:w="38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184.2</w:t>
            </w:r>
          </w:p>
        </w:tc>
        <w:tc>
          <w:tcPr>
            <w:tcW w:w="3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198.8</w:t>
            </w:r>
          </w:p>
        </w:tc>
      </w:tr>
      <w:tr>
        <w:trPr>
          <w:trHeight w:val="264"/>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7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2,075.4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3,559.2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2,951.2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3,149.1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6,049.4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5,586.0</w:t>
            </w: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232.9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216.0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187.1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184.2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198.8</w:t>
            </w: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16.8</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32.8</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r>
    </w:tbl>
    <w:p>
      <w:pPr>
        <w:spacing w:after="0" w:line="161" w:lineRule="exact"/>
        <w:rPr>
          <w:sz w:val="20"/>
          <w:szCs w:val="20"/>
          <w:color w:val="auto"/>
        </w:rPr>
      </w:pPr>
    </w:p>
    <w:p>
      <w:pPr>
        <w:ind w:left="500" w:right="180" w:hanging="465"/>
        <w:spacing w:after="0" w:line="218"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9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2017</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2017</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4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Quarterly Report on Form 10-Q for the quarter ended September 30, 2017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October 27, 2017</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680" w:type="dxa"/>
            <w:vAlign w:val="bottom"/>
          </w:tcPr>
          <w:p>
            <w:pPr>
              <w:spacing w:after="0"/>
              <w:rPr>
                <w:sz w:val="20"/>
                <w:szCs w:val="20"/>
                <w:color w:val="auto"/>
              </w:rPr>
            </w:pPr>
            <w:r>
              <w:rPr>
                <w:rFonts w:ascii="Arial" w:cs="Arial" w:eastAsia="Arial" w:hAnsi="Arial"/>
                <w:sz w:val="18"/>
                <w:szCs w:val="18"/>
                <w:color w:val="auto"/>
              </w:rPr>
              <w:t>Date:   October 27, 2017</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42"/>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17"/>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36" Type="http://schemas.openxmlformats.org/officeDocument/2006/relationships/hyperlink" Target="http://www.sec.gov/Archives/edgar/data/59478/000005947814000078/lly-20131231x10kexhibit31.htm" TargetMode="External"/><Relationship Id="rId37" Type="http://schemas.openxmlformats.org/officeDocument/2006/relationships/hyperlink" Target="http://www.sec.gov/Archives/edgar/data/59478/000005947817000189/bylawsasamendment829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2019-12-29T03:51:48Z</dcterms:created>
  <dcterms:modified xsi:type="dcterms:W3CDTF">2019-12-29T03:51:48Z</dcterms:modified>
</cp:coreProperties>
</file>