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9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36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2580" w:firstLine="8"/>
        <w:spacing w:after="0" w:line="263"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2025</w:t>
      </w:r>
      <w:r>
        <w:rPr>
          <w:rFonts w:ascii="Times New Roman" w:cs="Times New Roman" w:eastAsia="Times New Roman" w:hAnsi="Times New Roman"/>
          <w:sz w:val="18"/>
          <w:szCs w:val="18"/>
          <w:color w:val="auto"/>
        </w:rPr>
        <w:t>.</w:t>
      </w:r>
    </w:p>
    <w:p>
      <w:pPr>
        <w:spacing w:after="0" w:line="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4"/>
          <w:szCs w:val="24"/>
          <w:color w:val="auto"/>
        </w:rPr>
      </w:pPr>
    </w:p>
    <w:p>
      <w:pPr>
        <w:ind w:left="180" w:right="2080" w:hanging="172"/>
        <w:spacing w:after="0" w:line="260" w:lineRule="auto"/>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TRANSITION REPORT PURSUANT TO SECTION 15(d) OF THE SECURITIES EXCHANGE ACT OF 1934 </w:t>
      </w:r>
      <w:r>
        <w:rPr>
          <w:rFonts w:ascii="Times New Roman" w:cs="Times New Roman" w:eastAsia="Times New Roman" w:hAnsi="Times New Roman"/>
          <w:sz w:val="18"/>
          <w:szCs w:val="18"/>
          <w:color w:val="auto"/>
        </w:rPr>
        <w:t>For the transition period from __________________________to __________________________</w:t>
      </w:r>
    </w:p>
    <w:p>
      <w:pPr>
        <w:spacing w:after="0" w:line="20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001-06351</w:t>
      </w:r>
    </w:p>
    <w:p>
      <w:pPr>
        <w:spacing w:after="0" w:line="25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Full title of the plan and the address of the plan, if different from that of the issuer named below:</w:t>
      </w:r>
    </w:p>
    <w:p>
      <w:pPr>
        <w:spacing w:after="0" w:line="34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The Lilly Employee 401(k) Plan</w:t>
      </w:r>
    </w:p>
    <w:p>
      <w:pPr>
        <w:spacing w:after="0" w:line="7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B.</w:t>
        <w:tab/>
        <w:t>Name of issuer of the securities held pursuant to the plan and the address of its principal executive office:</w:t>
      </w:r>
    </w:p>
    <w:p>
      <w:pPr>
        <w:spacing w:after="0" w:line="5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Eli Lilly and Company</w:t>
      </w:r>
    </w:p>
    <w:p>
      <w:pPr>
        <w:spacing w:after="0" w:line="3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Lilly Corporate Center</w:t>
      </w:r>
    </w:p>
    <w:p>
      <w:pPr>
        <w:spacing w:after="0" w:line="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Indianapolis, Indiana 46285</w:t>
      </w:r>
    </w:p>
    <w:p>
      <w:pPr>
        <w:spacing w:after="0" w:line="23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shall be furnished for the plan:</w:t>
      </w:r>
    </w:p>
    <w:p>
      <w:pPr>
        <w:spacing w:after="0" w:line="239" w:lineRule="exact"/>
        <w:rPr>
          <w:sz w:val="24"/>
          <w:szCs w:val="24"/>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Financial Statements and Supplemental Schedules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2025 and 2024 and for the Year Ended December 31, 2025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48"/>
        </w:trPr>
        <w:tc>
          <w:tcPr>
            <w:tcW w:w="99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30"/>
        </w:trPr>
        <w:tc>
          <w:tcPr>
            <w:tcW w:w="99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460" w:type="dxa"/>
            <w:vAlign w:val="bottom"/>
          </w:tcPr>
          <w:p>
            <w:pPr>
              <w:spacing w:after="0"/>
              <w:rPr>
                <w:sz w:val="19"/>
                <w:szCs w:val="19"/>
                <w:color w:val="auto"/>
              </w:rPr>
            </w:pPr>
          </w:p>
        </w:tc>
      </w:tr>
      <w:tr>
        <w:trPr>
          <w:trHeight w:val="373"/>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of Net Assets Available for Benefits - 2025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of Net Assets Available for Benefits - 2024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48"/>
        </w:trPr>
        <w:tc>
          <w:tcPr>
            <w:tcW w:w="99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29"/>
        </w:trPr>
        <w:tc>
          <w:tcPr>
            <w:tcW w:w="99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Supplemental Schedules</w:t>
            </w:r>
          </w:p>
        </w:tc>
        <w:tc>
          <w:tcPr>
            <w:tcW w:w="460" w:type="dxa"/>
            <w:vAlign w:val="bottom"/>
          </w:tcPr>
          <w:p>
            <w:pPr>
              <w:spacing w:after="0"/>
              <w:rPr>
                <w:sz w:val="19"/>
                <w:szCs w:val="19"/>
                <w:color w:val="auto"/>
              </w:rPr>
            </w:pPr>
          </w:p>
        </w:tc>
      </w:tr>
      <w:tr>
        <w:trPr>
          <w:trHeight w:val="324"/>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of Assets (Held at End of Year) -</w:t>
            </w:r>
          </w:p>
        </w:tc>
        <w:tc>
          <w:tcPr>
            <w:tcW w:w="460" w:type="dxa"/>
            <w:vAlign w:val="bottom"/>
          </w:tcPr>
          <w:p>
            <w:pPr>
              <w:spacing w:after="0"/>
              <w:rPr>
                <w:sz w:val="24"/>
                <w:szCs w:val="24"/>
                <w:color w:val="auto"/>
              </w:rPr>
            </w:pPr>
          </w:p>
        </w:tc>
      </w:tr>
      <w:tr>
        <w:trPr>
          <w:trHeight w:val="238"/>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Lilly Employee 401(k) Plan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80"/>
        </w:trPr>
        <w:tc>
          <w:tcPr>
            <w:tcW w:w="9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Schedule of Assets (Held at End of Year) -</w:t>
            </w:r>
          </w:p>
        </w:tc>
        <w:tc>
          <w:tcPr>
            <w:tcW w:w="460" w:type="dxa"/>
            <w:vAlign w:val="bottom"/>
          </w:tcPr>
          <w:p>
            <w:pPr>
              <w:spacing w:after="0"/>
              <w:rPr>
                <w:sz w:val="15"/>
                <w:szCs w:val="15"/>
                <w:color w:val="auto"/>
              </w:rPr>
            </w:pPr>
          </w:p>
        </w:tc>
      </w:tr>
      <w:tr>
        <w:trPr>
          <w:trHeight w:val="238"/>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Savings Plan for Lilly Affiliate Employees in Puerto Rico</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23 Consent of Independent Registered Public Accounting Firm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760" w:top="948" w:right="7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 the Plan Participants and the Plan Administrator of The Lilly Employee 401(k) Plan and The Savings Plan for Lilly Affiliate Employees in Puerto Rico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Opinion on the Financial Statements</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have audited the accompanying statements of net assets available for benefits of The Lilly Employee 401(k) Plan and The Savings Plan for Lilly Affiliate Employees in Puerto Rico (the Plans) as of December 31, 2025 and 2024, and the related statements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Plans at December 31, 2025 and 2024, and the changes in their net assets available for benefits for the year ended December 31, 2025, in conformity with U.S. generally accepted accounting principles.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for Opinion</w:t>
      </w:r>
    </w:p>
    <w:p>
      <w:pPr>
        <w:spacing w:after="0" w:line="2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Plans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Schedules Required by ERISA</w:t>
      </w:r>
    </w:p>
    <w:p>
      <w:pPr>
        <w:spacing w:after="0" w:line="224"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The accompanying supplemental schedules of assets (held at end of year) as of December 31, 2025 (referred to as the “supplemental schedules”), have been subjected to audit procedures performed in conjunction with the audits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have served as the Plans’ auditor since at least 1990, but we are unable to determine the specific year.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Indianapolis, Indiana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color w:val="auto"/>
        </w:rPr>
        <w:t>The Lilly Employee 401(k) Plan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Savings Plan for Lilly Affiliate Employees in Puerto Rico</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The Lilly Employee</w:t>
            </w:r>
          </w:p>
        </w:tc>
        <w:tc>
          <w:tcPr>
            <w:tcW w:w="480" w:type="dxa"/>
            <w:vAlign w:val="bottom"/>
          </w:tcPr>
          <w:p>
            <w:pPr>
              <w:spacing w:after="0"/>
              <w:rPr>
                <w:sz w:val="17"/>
                <w:szCs w:val="17"/>
                <w:color w:val="auto"/>
              </w:rPr>
            </w:pPr>
          </w:p>
        </w:tc>
        <w:tc>
          <w:tcPr>
            <w:tcW w:w="22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The Savings</w:t>
            </w: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tcPr>
          <w:p>
            <w:pPr>
              <w:jc w:val="right"/>
              <w:ind w:right="790"/>
              <w:spacing w:after="0" w:line="176" w:lineRule="exact"/>
              <w:rPr>
                <w:sz w:val="20"/>
                <w:szCs w:val="20"/>
                <w:color w:val="auto"/>
              </w:rPr>
            </w:pPr>
            <w:r>
              <w:rPr>
                <w:rFonts w:ascii="Times New Roman" w:cs="Times New Roman" w:eastAsia="Times New Roman" w:hAnsi="Times New Roman"/>
                <w:sz w:val="18"/>
                <w:szCs w:val="18"/>
                <w:b w:val="1"/>
                <w:bCs w:val="1"/>
                <w:color w:val="auto"/>
              </w:rPr>
              <w:t>Plan for Lilly</w:t>
            </w:r>
          </w:p>
        </w:tc>
        <w:tc>
          <w:tcPr>
            <w:tcW w:w="0" w:type="dxa"/>
            <w:vAlign w:val="bottom"/>
          </w:tcPr>
          <w:p>
            <w:pPr>
              <w:spacing w:after="0"/>
              <w:rPr>
                <w:sz w:val="1"/>
                <w:szCs w:val="1"/>
                <w:color w:val="auto"/>
              </w:rPr>
            </w:pPr>
          </w:p>
        </w:tc>
      </w:tr>
      <w:tr>
        <w:trPr>
          <w:trHeight w:val="243"/>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1"/>
                <w:szCs w:val="21"/>
                <w:color w:val="auto"/>
              </w:rPr>
            </w:pPr>
          </w:p>
        </w:tc>
        <w:tc>
          <w:tcPr>
            <w:tcW w:w="24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Affiliate Employees in Puerto Rico</w:t>
            </w:r>
          </w:p>
        </w:tc>
        <w:tc>
          <w:tcPr>
            <w:tcW w:w="0" w:type="dxa"/>
            <w:vAlign w:val="bottom"/>
          </w:tcPr>
          <w:p>
            <w:pPr>
              <w:spacing w:after="0"/>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Investments - Plan's interest in net assets of The Lilly Employee</w:t>
            </w: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Savings Plan Master Trust: (Notes 3 and 4)</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421,576,961</w:t>
            </w:r>
          </w:p>
        </w:tc>
        <w:tc>
          <w:tcPr>
            <w:tcW w:w="44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7,484,265</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427,925,311</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4,504,407</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Eli Lilly and Company common stock</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4,174,962,263</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269,707,878</w:t>
            </w: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 common/collective trusts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9,130,820,758</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256,244,494</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Synthetic GICs, at contract value</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981,469,423</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63,124,939</w:t>
            </w: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common stock</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442,945,945</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30,689,819</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income and pending trades - Sales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2,231,465</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50,301</w:t>
            </w:r>
          </w:p>
        </w:tc>
        <w:tc>
          <w:tcPr>
            <w:tcW w:w="0" w:type="dxa"/>
            <w:vAlign w:val="bottom"/>
          </w:tcPr>
          <w:p>
            <w:pPr>
              <w:spacing w:after="0"/>
              <w:rPr>
                <w:sz w:val="1"/>
                <w:szCs w:val="1"/>
                <w:color w:val="auto"/>
              </w:rPr>
            </w:pPr>
          </w:p>
        </w:tc>
      </w:t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pending trades - Purchases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(3,816,845)</w:t>
            </w: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(113,734)</w:t>
            </w:r>
          </w:p>
        </w:tc>
        <w:tc>
          <w:tcPr>
            <w:tcW w:w="0" w:type="dxa"/>
            <w:vAlign w:val="bottom"/>
          </w:tcPr>
          <w:p>
            <w:pPr>
              <w:spacing w:after="0"/>
              <w:rPr>
                <w:sz w:val="1"/>
                <w:szCs w:val="1"/>
                <w:color w:val="auto"/>
              </w:rPr>
            </w:pPr>
          </w:p>
        </w:tc>
      </w:tr>
      <w:tr>
        <w:trPr>
          <w:trHeight w:val="372"/>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Plan's total interest in The Lilly Employee</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Savings Plan Master Trust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15,578,115,281</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631,692,369</w:t>
            </w:r>
          </w:p>
        </w:tc>
        <w:tc>
          <w:tcPr>
            <w:tcW w:w="0" w:type="dxa"/>
            <w:vAlign w:val="bottom"/>
          </w:tcPr>
          <w:p>
            <w:pPr>
              <w:spacing w:after="0"/>
              <w:rPr>
                <w:sz w:val="1"/>
                <w:szCs w:val="1"/>
                <w:color w:val="auto"/>
              </w:rPr>
            </w:pPr>
          </w:p>
        </w:tc>
      </w:tr>
      <w:tr>
        <w:trPr>
          <w:trHeight w:val="48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15,323,084</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481,961</w:t>
            </w:r>
          </w:p>
        </w:tc>
        <w:tc>
          <w:tcPr>
            <w:tcW w:w="0" w:type="dxa"/>
            <w:vAlign w:val="bottom"/>
          </w:tcPr>
          <w:p>
            <w:pPr>
              <w:spacing w:after="0"/>
              <w:rPr>
                <w:sz w:val="1"/>
                <w:szCs w:val="1"/>
                <w:color w:val="auto"/>
              </w:rPr>
            </w:pPr>
          </w:p>
        </w:tc>
      </w:t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30,484,221</w:t>
            </w: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2,655,742</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45,807,305</w:t>
            </w:r>
          </w:p>
        </w:tc>
        <w:tc>
          <w:tcPr>
            <w:tcW w:w="4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3,137,703</w:t>
            </w:r>
          </w:p>
        </w:tc>
        <w:tc>
          <w:tcPr>
            <w:tcW w:w="0" w:type="dxa"/>
            <w:vAlign w:val="bottom"/>
          </w:tcPr>
          <w:p>
            <w:pPr>
              <w:spacing w:after="0"/>
              <w:rPr>
                <w:sz w:val="1"/>
                <w:szCs w:val="1"/>
                <w:color w:val="auto"/>
              </w:rPr>
            </w:pPr>
          </w:p>
        </w:tc>
      </w:tr>
      <w:tr>
        <w:trPr>
          <w:trHeight w:val="48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15,623,922,586</w:t>
            </w:r>
          </w:p>
        </w:tc>
        <w:tc>
          <w:tcPr>
            <w:tcW w:w="440" w:type="dxa"/>
            <w:vAlign w:val="bottom"/>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634,830,072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40" w:top="922" w:right="10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2"/>
          <w:szCs w:val="22"/>
          <w:color w:val="auto"/>
        </w:rPr>
        <w:t>The Lilly Employee 401(k) Plan and</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The Savings Plan for Lilly Affiliate Employees in Puerto Rico</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The Lilly Employee</w:t>
            </w:r>
          </w:p>
        </w:tc>
        <w:tc>
          <w:tcPr>
            <w:tcW w:w="480" w:type="dxa"/>
            <w:vAlign w:val="bottom"/>
          </w:tcPr>
          <w:p>
            <w:pPr>
              <w:spacing w:after="0"/>
              <w:rPr>
                <w:sz w:val="17"/>
                <w:szCs w:val="17"/>
                <w:color w:val="auto"/>
              </w:rPr>
            </w:pPr>
          </w:p>
        </w:tc>
        <w:tc>
          <w:tcPr>
            <w:tcW w:w="23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The Savings</w:t>
            </w: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300" w:type="dxa"/>
            <w:vAlign w:val="bottom"/>
          </w:tcPr>
          <w:p>
            <w:pPr>
              <w:jc w:val="right"/>
              <w:ind w:right="810"/>
              <w:spacing w:after="0" w:line="176" w:lineRule="exact"/>
              <w:rPr>
                <w:sz w:val="20"/>
                <w:szCs w:val="20"/>
                <w:color w:val="auto"/>
              </w:rPr>
            </w:pPr>
            <w:r>
              <w:rPr>
                <w:rFonts w:ascii="Times New Roman" w:cs="Times New Roman" w:eastAsia="Times New Roman" w:hAnsi="Times New Roman"/>
                <w:sz w:val="18"/>
                <w:szCs w:val="18"/>
                <w:b w:val="1"/>
                <w:bCs w:val="1"/>
                <w:color w:val="auto"/>
              </w:rPr>
              <w:t>Plan for Lilly</w:t>
            </w:r>
          </w:p>
        </w:tc>
        <w:tc>
          <w:tcPr>
            <w:tcW w:w="0" w:type="dxa"/>
            <w:vAlign w:val="bottom"/>
          </w:tcPr>
          <w:p>
            <w:pPr>
              <w:spacing w:after="0"/>
              <w:rPr>
                <w:sz w:val="1"/>
                <w:szCs w:val="1"/>
                <w:color w:val="auto"/>
              </w:rPr>
            </w:pPr>
          </w:p>
        </w:tc>
      </w:tr>
      <w:tr>
        <w:trPr>
          <w:trHeight w:val="243"/>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1"/>
                <w:szCs w:val="21"/>
                <w:color w:val="auto"/>
              </w:rPr>
            </w:pPr>
          </w:p>
        </w:tc>
        <w:tc>
          <w:tcPr>
            <w:tcW w:w="2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Affiliate Employees in Puerto Rico</w:t>
            </w:r>
          </w:p>
        </w:tc>
        <w:tc>
          <w:tcPr>
            <w:tcW w:w="0" w:type="dxa"/>
            <w:vAlign w:val="bottom"/>
          </w:tcPr>
          <w:p>
            <w:pPr>
              <w:spacing w:after="0"/>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Investments - Plan's interest in net assets of The Lilly Employee</w:t>
            </w: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Savings Plan Master Trust: (Notes 3 and 4)</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347,721,232</w:t>
            </w:r>
          </w:p>
        </w:tc>
        <w:tc>
          <w:tcPr>
            <w:tcW w:w="66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5,326,606</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344,736,270</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3,211,718</w:t>
            </w: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Eli Lilly and Company common stock</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3,353,674,076</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232,361,652</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 common/collective trusts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8,054,250,219</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230,042,270</w:t>
            </w:r>
          </w:p>
        </w:tc>
        <w:tc>
          <w:tcPr>
            <w:tcW w:w="0" w:type="dxa"/>
            <w:vAlign w:val="bottom"/>
          </w:tcPr>
          <w:p>
            <w:pPr>
              <w:spacing w:after="0"/>
              <w:rPr>
                <w:sz w:val="1"/>
                <w:szCs w:val="1"/>
                <w:color w:val="auto"/>
              </w:rPr>
            </w:pPr>
          </w:p>
        </w:tc>
      </w:tr>
      <w:tr>
        <w:trPr>
          <w:trHeight w:val="229"/>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Synthetic GICs, at contract value</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919,487,968</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45,389,271</w:t>
            </w: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income and pending trades - Sales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1,351,922</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0" w:type="dxa"/>
            <w:vAlign w:val="bottom"/>
          </w:tcPr>
          <w:p>
            <w:pPr>
              <w:spacing w:after="0"/>
              <w:rPr>
                <w:sz w:val="1"/>
                <w:szCs w:val="1"/>
                <w:color w:val="auto"/>
              </w:rPr>
            </w:pPr>
          </w:p>
        </w:tc>
      </w:t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pending trades - Purchases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(6,802,527)</w:t>
            </w:r>
          </w:p>
        </w:tc>
        <w:tc>
          <w:tcPr>
            <w:tcW w:w="6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(178,934)</w:t>
            </w:r>
          </w:p>
        </w:tc>
        <w:tc>
          <w:tcPr>
            <w:tcW w:w="0" w:type="dxa"/>
            <w:vAlign w:val="bottom"/>
          </w:tcPr>
          <w:p>
            <w:pPr>
              <w:spacing w:after="0"/>
              <w:rPr>
                <w:sz w:val="1"/>
                <w:szCs w:val="1"/>
                <w:color w:val="auto"/>
              </w:rPr>
            </w:pPr>
          </w:p>
        </w:tc>
      </w:tr>
      <w:tr>
        <w:trPr>
          <w:trHeight w:val="37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Plan's total interest in The Lilly Employee</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Savings Plan Master Trust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13,014,419,160</w:t>
            </w: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516,179,792</w:t>
            </w:r>
          </w:p>
        </w:tc>
        <w:tc>
          <w:tcPr>
            <w:tcW w:w="0" w:type="dxa"/>
            <w:vAlign w:val="bottom"/>
          </w:tcPr>
          <w:p>
            <w:pPr>
              <w:spacing w:after="0"/>
              <w:rPr>
                <w:sz w:val="1"/>
                <w:szCs w:val="1"/>
                <w:color w:val="auto"/>
              </w:rPr>
            </w:pPr>
          </w:p>
        </w:tc>
      </w:tr>
      <w:tr>
        <w:trPr>
          <w:trHeight w:val="48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13,424,806</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436,956</w:t>
            </w:r>
          </w:p>
        </w:tc>
        <w:tc>
          <w:tcPr>
            <w:tcW w:w="0" w:type="dxa"/>
            <w:vAlign w:val="bottom"/>
          </w:tcPr>
          <w:p>
            <w:pPr>
              <w:spacing w:after="0"/>
              <w:rPr>
                <w:sz w:val="1"/>
                <w:szCs w:val="1"/>
                <w:color w:val="auto"/>
              </w:rPr>
            </w:pPr>
          </w:p>
        </w:tc>
      </w:t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28,765,989</w:t>
            </w:r>
          </w:p>
        </w:tc>
        <w:tc>
          <w:tcPr>
            <w:tcW w:w="6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2,636,336</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42,190,795</w:t>
            </w:r>
          </w:p>
        </w:tc>
        <w:tc>
          <w:tcPr>
            <w:tcW w:w="6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3,073,292</w:t>
            </w:r>
          </w:p>
        </w:tc>
        <w:tc>
          <w:tcPr>
            <w:tcW w:w="0" w:type="dxa"/>
            <w:vAlign w:val="bottom"/>
          </w:tcPr>
          <w:p>
            <w:pPr>
              <w:spacing w:after="0"/>
              <w:rPr>
                <w:sz w:val="1"/>
                <w:szCs w:val="1"/>
                <w:color w:val="auto"/>
              </w:rPr>
            </w:pPr>
          </w:p>
        </w:tc>
      </w:tr>
      <w:tr>
        <w:trPr>
          <w:trHeight w:val="48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13,056,609,955</w:t>
            </w:r>
          </w:p>
        </w:tc>
        <w:tc>
          <w:tcPr>
            <w:tcW w:w="66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519,253,084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922" w:right="5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color w:val="auto"/>
        </w:rPr>
        <w:t>The Lilly Employee 401(k) Plan and</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Savings Plan for Lilly Affiliate Employees in Puerto Rico</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Statements of Changes in Net Assets Available for Benefits</w:t>
      </w:r>
    </w:p>
    <w:p>
      <w:pPr>
        <w:spacing w:after="0" w:line="200" w:lineRule="exact"/>
        <w:rPr>
          <w:sz w:val="20"/>
          <w:szCs w:val="20"/>
          <w:color w:val="auto"/>
        </w:rPr>
      </w:pPr>
    </w:p>
    <w:p>
      <w:pPr>
        <w:spacing w:after="0" w:line="371"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25400</wp:posOffset>
            </wp:positionV>
            <wp:extent cx="2922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ectPr>
          <w:pgSz w:w="11900" w:h="16838" w:orient="portrait"/>
          <w:cols w:equalWidth="0" w:num="1">
            <w:col w:w="9019"/>
          </w:cols>
          <w:pgMar w:left="1440" w:top="12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The Lilly Employee</w:t>
      </w:r>
    </w:p>
    <w:p>
      <w:pPr>
        <w:spacing w:after="0" w:line="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13335</wp:posOffset>
            </wp:positionV>
            <wp:extent cx="1054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Savings</w:t>
      </w:r>
    </w:p>
    <w:p>
      <w:pPr>
        <w:ind w:left="320"/>
        <w:spacing w:after="0" w:line="219" w:lineRule="auto"/>
        <w:rPr>
          <w:sz w:val="20"/>
          <w:szCs w:val="20"/>
          <w:color w:val="auto"/>
        </w:rPr>
      </w:pPr>
      <w:r>
        <w:rPr>
          <w:rFonts w:ascii="Times New Roman" w:cs="Times New Roman" w:eastAsia="Times New Roman" w:hAnsi="Times New Roman"/>
          <w:sz w:val="18"/>
          <w:szCs w:val="18"/>
          <w:b w:val="1"/>
          <w:bCs w:val="1"/>
          <w:color w:val="auto"/>
        </w:rPr>
        <w:t>Plan for Lilly</w:t>
      </w:r>
    </w:p>
    <w:p>
      <w:pPr>
        <w:jc w:val="center"/>
        <w:ind w:right="259"/>
        <w:spacing w:after="0" w:line="215" w:lineRule="auto"/>
        <w:rPr>
          <w:sz w:val="20"/>
          <w:szCs w:val="20"/>
          <w:color w:val="auto"/>
        </w:rPr>
      </w:pPr>
      <w:r>
        <w:rPr>
          <w:rFonts w:ascii="Times New Roman" w:cs="Times New Roman" w:eastAsia="Times New Roman" w:hAnsi="Times New Roman"/>
          <w:sz w:val="17"/>
          <w:szCs w:val="17"/>
          <w:b w:val="1"/>
          <w:bCs w:val="1"/>
          <w:color w:val="auto"/>
        </w:rPr>
        <w:t>Affiliate Employees in</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4445</wp:posOffset>
            </wp:positionV>
            <wp:extent cx="1414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1959"/>
          </w:cols>
          <w:pgMar w:left="1440" w:top="1246" w:right="1440"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Contributions: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Participants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Employer</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Contributions</w:t>
      </w:r>
    </w:p>
    <w:p>
      <w:pPr>
        <w:spacing w:after="0" w:line="198"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7"/>
          <w:szCs w:val="17"/>
          <w:color w:val="auto"/>
        </w:rPr>
        <w:t>Interest in The Lilly Employee Savings Plan Master Trust investment income, net of administrative fees (Note 3)</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Participant withdrawals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Prior to Transfers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from Other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w:t>
      </w:r>
    </w:p>
    <w:p>
      <w:pPr>
        <w:spacing w:after="0" w:line="225" w:lineRule="exact"/>
        <w:rPr>
          <w:sz w:val="20"/>
          <w:szCs w:val="20"/>
          <w:color w:val="auto"/>
        </w:rPr>
      </w:pPr>
    </w:p>
    <w:p>
      <w:pPr>
        <w:ind w:right="540"/>
        <w:spacing w:after="0" w:line="344" w:lineRule="auto"/>
        <w:rPr>
          <w:sz w:val="20"/>
          <w:szCs w:val="20"/>
          <w:color w:val="auto"/>
        </w:rPr>
      </w:pPr>
      <w:r>
        <w:rPr>
          <w:rFonts w:ascii="Times New Roman" w:cs="Times New Roman" w:eastAsia="Times New Roman" w:hAnsi="Times New Roman"/>
          <w:sz w:val="18"/>
          <w:szCs w:val="18"/>
          <w:color w:val="auto"/>
        </w:rPr>
        <w:t>Net assets available for benefits at beginning of year Net assets available for benefits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65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437,415,383</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193,894,825</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631,310,208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-256540</wp:posOffset>
            </wp:positionV>
            <wp:extent cx="1054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67"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2,813,087,765</w:t>
      </w:r>
    </w:p>
    <w:p>
      <w:pPr>
        <w:spacing w:after="0" w:line="63"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2,355,175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3,446,753,148</w:t>
      </w:r>
    </w:p>
    <w:p>
      <w:pPr>
        <w:spacing w:after="0" w:line="200" w:lineRule="exact"/>
        <w:rPr>
          <w:sz w:val="20"/>
          <w:szCs w:val="20"/>
          <w:color w:val="auto"/>
        </w:rPr>
      </w:pPr>
    </w:p>
    <w:p>
      <w:pPr>
        <w:spacing w:after="0" w:line="295"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931,487,596</w:t>
      </w:r>
    </w:p>
    <w:p>
      <w:pPr>
        <w:spacing w:after="0" w:line="63"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1,948,411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43"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933,436,007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5"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2,513,317,141</w:t>
      </w:r>
    </w:p>
    <w:p>
      <w:pPr>
        <w:spacing w:after="0" w:line="225" w:lineRule="exact"/>
        <w:rPr>
          <w:sz w:val="20"/>
          <w:szCs w:val="20"/>
          <w:color w:val="auto"/>
        </w:rPr>
      </w:pPr>
    </w:p>
    <w:p>
      <w:pPr>
        <w:jc w:val="center"/>
        <w:ind w:left="-642"/>
        <w:spacing w:after="0"/>
        <w:rPr>
          <w:sz w:val="20"/>
          <w:szCs w:val="20"/>
          <w:color w:val="auto"/>
        </w:rPr>
      </w:pPr>
      <w:r>
        <w:rPr>
          <w:rFonts w:ascii="Times New Roman" w:cs="Times New Roman" w:eastAsia="Times New Roman" w:hAnsi="Times New Roman"/>
          <w:sz w:val="18"/>
          <w:szCs w:val="18"/>
          <w:color w:val="auto"/>
        </w:rPr>
        <w:t>53,995,490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2,567,312,631</w:t>
      </w:r>
    </w:p>
    <w:p>
      <w:pPr>
        <w:spacing w:after="0" w:line="225" w:lineRule="exact"/>
        <w:rPr>
          <w:sz w:val="20"/>
          <w:szCs w:val="20"/>
          <w:color w:val="auto"/>
        </w:rPr>
      </w:pPr>
    </w:p>
    <w:p>
      <w:pPr>
        <w:jc w:val="right"/>
        <w:ind w:right="97"/>
        <w:spacing w:after="0"/>
        <w:rPr>
          <w:sz w:val="20"/>
          <w:szCs w:val="20"/>
          <w:color w:val="auto"/>
        </w:rPr>
      </w:pPr>
      <w:r>
        <w:rPr>
          <w:rFonts w:ascii="Times New Roman" w:cs="Times New Roman" w:eastAsia="Times New Roman" w:hAnsi="Times New Roman"/>
          <w:sz w:val="18"/>
          <w:szCs w:val="18"/>
          <w:color w:val="auto"/>
        </w:rPr>
        <w:t>13,056,609,955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0541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6" w:lineRule="exact"/>
        <w:rPr>
          <w:sz w:val="20"/>
          <w:szCs w:val="20"/>
          <w:color w:val="auto"/>
        </w:rPr>
      </w:pPr>
    </w:p>
    <w:p>
      <w:pPr>
        <w:ind w:left="440" w:hanging="439"/>
        <w:spacing w:after="0"/>
        <w:tabs>
          <w:tab w:leader="none" w:pos="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15,623,922,586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24765</wp:posOffset>
            </wp:positionV>
            <wp:extent cx="10541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50165</wp:posOffset>
            </wp:positionV>
            <wp:extent cx="10541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23" w:hanging="1323"/>
        <w:spacing w:after="0"/>
        <w:tabs>
          <w:tab w:leader="none" w:pos="132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10,497,809</w:t>
      </w:r>
    </w:p>
    <w:p>
      <w:pPr>
        <w:spacing w:after="0" w:line="74" w:lineRule="exact"/>
        <w:rPr>
          <w:rFonts w:ascii="Times New Roman" w:cs="Times New Roman" w:eastAsia="Times New Roman" w:hAnsi="Times New Roman"/>
          <w:sz w:val="17"/>
          <w:szCs w:val="17"/>
          <w:color w:val="auto"/>
        </w:rPr>
      </w:pPr>
    </w:p>
    <w:p>
      <w:pPr>
        <w:ind w:left="140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5,753,497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16,251,306</w:t>
      </w:r>
    </w:p>
    <w:p>
      <w:pPr>
        <w:spacing w:after="0" w:line="387"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127,087,255</w:t>
      </w:r>
    </w:p>
    <w:p>
      <w:pPr>
        <w:spacing w:after="0" w:line="6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205,179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5" w:lineRule="exact"/>
        <w:rPr>
          <w:sz w:val="20"/>
          <w:szCs w:val="20"/>
          <w:color w:val="auto"/>
        </w:rPr>
      </w:pPr>
    </w:p>
    <w:p>
      <w:pPr>
        <w:ind w:left="1223"/>
        <w:spacing w:after="0"/>
        <w:rPr>
          <w:sz w:val="20"/>
          <w:szCs w:val="20"/>
          <w:color w:val="auto"/>
        </w:rPr>
      </w:pPr>
      <w:r>
        <w:rPr>
          <w:rFonts w:ascii="Times New Roman" w:cs="Times New Roman" w:eastAsia="Times New Roman" w:hAnsi="Times New Roman"/>
          <w:sz w:val="18"/>
          <w:szCs w:val="18"/>
          <w:color w:val="auto"/>
        </w:rPr>
        <w:t>143,543,740</w:t>
      </w:r>
    </w:p>
    <w:p>
      <w:pPr>
        <w:spacing w:after="0" w:line="200" w:lineRule="exact"/>
        <w:rPr>
          <w:sz w:val="20"/>
          <w:szCs w:val="20"/>
          <w:color w:val="auto"/>
        </w:rPr>
      </w:pPr>
    </w:p>
    <w:p>
      <w:pPr>
        <w:spacing w:after="0" w:line="29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27,712,898</w:t>
      </w:r>
    </w:p>
    <w:p>
      <w:pPr>
        <w:spacing w:after="0" w:line="6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253,854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4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27,966,752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5" w:lineRule="exact"/>
        <w:rPr>
          <w:sz w:val="20"/>
          <w:szCs w:val="20"/>
          <w:color w:val="auto"/>
        </w:rPr>
      </w:pPr>
    </w:p>
    <w:p>
      <w:pPr>
        <w:ind w:left="1223"/>
        <w:spacing w:after="0"/>
        <w:rPr>
          <w:sz w:val="20"/>
          <w:szCs w:val="20"/>
          <w:color w:val="auto"/>
        </w:rPr>
      </w:pPr>
      <w:r>
        <w:rPr>
          <w:rFonts w:ascii="Times New Roman" w:cs="Times New Roman" w:eastAsia="Times New Roman" w:hAnsi="Times New Roman"/>
          <w:sz w:val="18"/>
          <w:szCs w:val="18"/>
          <w:color w:val="auto"/>
        </w:rPr>
        <w:t>115,576,988</w:t>
      </w:r>
    </w:p>
    <w:p>
      <w:pPr>
        <w:spacing w:after="0" w:line="22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115,576,988</w:t>
      </w:r>
    </w:p>
    <w:p>
      <w:pPr>
        <w:spacing w:after="0" w:line="225" w:lineRule="exact"/>
        <w:rPr>
          <w:sz w:val="20"/>
          <w:szCs w:val="20"/>
          <w:color w:val="auto"/>
        </w:rPr>
      </w:pPr>
    </w:p>
    <w:p>
      <w:pPr>
        <w:ind w:left="1223"/>
        <w:spacing w:after="0"/>
        <w:rPr>
          <w:sz w:val="20"/>
          <w:szCs w:val="20"/>
          <w:color w:val="auto"/>
        </w:rPr>
      </w:pPr>
      <w:r>
        <w:rPr>
          <w:rFonts w:ascii="Times New Roman" w:cs="Times New Roman" w:eastAsia="Times New Roman" w:hAnsi="Times New Roman"/>
          <w:sz w:val="18"/>
          <w:szCs w:val="18"/>
          <w:color w:val="auto"/>
        </w:rPr>
        <w:t>519,253,084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6" w:lineRule="exact"/>
        <w:rPr>
          <w:sz w:val="20"/>
          <w:szCs w:val="20"/>
          <w:color w:val="auto"/>
        </w:rPr>
      </w:pPr>
    </w:p>
    <w:p>
      <w:pPr>
        <w:ind w:left="1223" w:hanging="1223"/>
        <w:spacing w:after="0"/>
        <w:tabs>
          <w:tab w:leader="none" w:pos="1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634,830,072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147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4147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43" w:lineRule="exact"/>
        <w:rPr>
          <w:sz w:val="20"/>
          <w:szCs w:val="20"/>
          <w:color w:val="auto"/>
        </w:rPr>
      </w:pPr>
    </w:p>
    <w:p>
      <w:pPr>
        <w:sectPr>
          <w:pgSz w:w="11900" w:h="16838" w:orient="portrait"/>
          <w:cols w:equalWidth="0" w:num="3">
            <w:col w:w="4320" w:space="120"/>
            <w:col w:w="1657" w:space="720"/>
            <w:col w:w="2202"/>
          </w:cols>
          <w:pgMar w:left="1440" w:top="1246" w:right="1440"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46" w:right="1440"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Description of the Plans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accompanying financial statements comprise the employee savings plans of Eli Lilly and Company (the Company) and certain of the Company’s United States (U.S.) and Puerto Rico affiliates that participate in The Lilly Employee Savings Plan Master Trust (the Master Trust).</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Lilly Employee 401(k) Plan (the 401(k) Plan) was established for the benefit of eligible employees of Eli Lilly and Company and participating subsidiaries and affiliated companies. The Savings Plan for Lilly Affiliate Employees in Puerto Rico (the Puerto Rico Plan) was established for the benefit of resident eligible employees of, and certain employees within, the Commonwealth of Puerto Rico. The accompanying financial statements include the net assets and related activity of the 401(k) Plan and the Puerto Rico Plan.</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following description of the 401(k) Plan and the Puerto Rico Plan (collectively, the Plans) provides only general information. Participants should refer to the applicable plan documents and the Plans’ summary plan descriptions for more complete information.</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Northern Trust Company and Banco Popular de Puerto Rico are the trustees of the 401(k) Plan and the Puerto Rico Plan, respectively. Alight Solutions,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06"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Full-time employees become eligible for participation in the Plans on the first day of employment. Seasonal, part-time, or other special-status employees must generally complete 1,000 hours of service within a 12-consecutive-month period to be eligible. Additionally, for the Lilly Employee 401(k) plan,</w:t>
      </w:r>
    </w:p>
    <w:p>
      <w:pPr>
        <w:ind w:right="40"/>
        <w:spacing w:after="0" w:line="230" w:lineRule="auto"/>
        <w:rPr>
          <w:sz w:val="20"/>
          <w:szCs w:val="20"/>
          <w:color w:val="auto"/>
        </w:rPr>
      </w:pPr>
      <w:r>
        <w:rPr>
          <w:rFonts w:ascii="Times New Roman" w:cs="Times New Roman" w:eastAsia="Times New Roman" w:hAnsi="Times New Roman"/>
          <w:sz w:val="22"/>
          <w:szCs w:val="22"/>
          <w:color w:val="auto"/>
        </w:rPr>
        <w:t>seasonal, part-time, or other special status employees who do not meet the above service criteria become eligible for participation in the 401(k) Plan upon completing two 12-consecutive-month periods with at least 500 hours of service in each 12-month period as a long-term part-time employee.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participant pre-tax and or Roth contributions up to the 6% participant contribution level, subject to applicable regulatory limits.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Contributions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Participants may designate that their contributions be invested in any of the investment options offered by the Plans. In addition, participants generally can buy and sell investments offered by the Plans, including the Eli Lilly and Company common stock fund (the Company Stock Fund), and transfer money from any of the investment options into and out of any of the other investment options. Company matching contributions are allocated based on a participant’s investment elections for their own contributions.</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Company Stock Fund invests in the Company’s common stock. The total return of the Company Stock Fund will reflect dividend payments to shareholders, as well as capital appreciation or depreciation. Except with respect to certain small dividend amounts, participants also are allowed to take payment of the Company Stock Fund dividends in cash in lieu of having them reinvested in their participant accounts. The Company Stock Fund holds a small percentage of assets in cash equivalents for liquidity purposes. Therefore, the Company Stock Fund may not reflect the exact performance of the underlying security over any given time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All participants are vested immediately in their own contributions. All active participants vest in 100% of the Company's matching contributions after completing one hour of creditable service.</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Participant Loans</w:t>
      </w: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Payment of Benefits</w:t>
      </w:r>
    </w:p>
    <w:p>
      <w:pPr>
        <w:spacing w:after="0" w:line="25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1"/>
          <w:szCs w:val="21"/>
          <w:color w:val="auto"/>
        </w:rPr>
        <w:t>Participants may elect to receive distributions upon termination in the form of one or more lump-sum payments or various installment annuities. Participants may also be eligible to take voluntary, in-service withdrawals, including hardship withdrawals, non-hardship withdrawals, and age 59½ withdrawals. Mandatory distributions are made in accordance with the Plans' provisions.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Plans are subject to and are intended to comply with the provisions of the Employee Retirement Income Security Act of 1974 (ERISA), as amended, and applicable Internal Revenue Service (IRS) and Commonwealth of Puerto Rico Department of Treasury requirements. The Company has the right to terminate the Plans subject to the provisions of ERISA and the Plans, as established in the applicable plan documents. In the event the Plans are terminated, each participant’s account shall be nonforfeitable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respect to both the employee’s and the Company’s contributions, and the net assets are to be set aside for payment of withdrawals by participants.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Administrative Expenses</w:t>
      </w: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Plans' administrative expenses are paid for either by the Plans' participants or by the Plans' sponsors. Administrative expenses that are paid directly by the Plans' sponsors are excluded from these financial statements. Participants are assessed separate fees for certain transactions, including, but not limited to, loans, maintaining a self-directed brokerage account, and/or processing of a qualified domestic relations order, as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 Significant Accounting Policies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Valuation and Income Recognition</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Investments held by the Master Trust are stated at fair value, except for fully benefit-responsive synthetic guaranteed investment contracts (synthetic GICs),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Master Trust invests in fully benefit-responsive synthetic GICs, which are stated at contract value. Contract value represents contributions made under each contract, plus earnings, less participant withdrawals and administrative expenses. Contract value is the relevant measure for fully benefit-responsive investment contracts because this is the amount received by participants if they were to initiate permitted transactions under the terms of the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Receivable from Participants</w:t>
      </w:r>
    </w:p>
    <w:p>
      <w:pPr>
        <w:spacing w:after="0" w:line="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2025 and 2024. If a participant ceases to make loan repayments and the plan administrator deems the participant loan to be a distribution, the participant loan balance is reduced, and a benefit payment is recorded.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 and Basis of Accounting</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preparation of financial statements in conformity with accounting principles generally accepted in the United States of America requires management to make estimates that affect the amounts reported in the financial statements and accompanying notes and supplemental schedules. Actual results could differ from these estimates. The accompanying financial statements have been prepared on the accrual basis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Master Trust</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Plans provide that both participant contributions and company matching contributions be held in a trust by an independent trustee for the benefit of participating employees. As of December 31, 2025 and 2024, The Northern Trust Company maintained the accounting of the aggregate value of assets associated with each plan participating in the Master Trust. The Plans have specific interests in certain investments of the Master Trust based on account balances of the participants and their investment options. The Master Trust assets are allocated among the participating plans by assigning to each plan those transactions (primarily contributions, benefit payments, and plan-specific expenses) that can be specifically identified for such plan or participants in such plan and by allocating among all plans, in proportion to the fair value of the assets attributable to each participating plan, the income (loss), including net appreciation/depreciation in fair value of investments, and expenses resulting from the collective investment of the assets of the Master Trust.</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Purchases and sales of securities are recorded on a trade-date basis. Interest income is recorded as earned. Dividends are recorded on the ex-dividend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investment income for the Master Trust for the year ended December 31, 2025 is as follows:</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Net realized and unrealized gains on investments</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2,868,482,058</w:t>
            </w:r>
          </w:p>
        </w:tc>
      </w:tr>
      <w:tr>
        <w:trPr>
          <w:trHeight w:val="257"/>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net of expenses</w:t>
            </w:r>
          </w:p>
        </w:tc>
        <w:tc>
          <w:tcPr>
            <w:tcW w:w="3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23,413,775</w:t>
            </w:r>
          </w:p>
        </w:tc>
      </w:tr>
      <w:tr>
        <w:trPr>
          <w:trHeight w:val="262"/>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Dividend income</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48,279,187</w:t>
            </w:r>
          </w:p>
        </w:tc>
      </w:tr>
      <w:tr>
        <w:trPr>
          <w:trHeight w:val="254"/>
        </w:trPr>
        <w:tc>
          <w:tcPr>
            <w:tcW w:w="8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investment income</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2,940,175,020</w:t>
            </w:r>
          </w:p>
        </w:tc>
      </w:tr>
      <w:tr>
        <w:trPr>
          <w:trHeight w:val="21"/>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interests in the net assets of the Master Trust of the 401(k) Plan and the Puerto Rico Plan are presented in the accompanying financial statements.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Plans (through the Master Trust) hold synthetic GICs with third-party financial service institutions. The synthetic GICs are wrap contracts paired with an underlying investment portfolio of common/collective trust funds that invest in average-quality, short/intermediate-term, fixed-income securities. A synthetic GIC credits the holder’s account with a stated crediting rate for a specified period of time. Investment gains and losses are amortized over the expected duration through the calculation of the crediting rate applicable to the Plans on a prospective basis. Synthetic GICs provide for a variable crediting rate, which typically resets at least quarterly, and the issuers of the wrap contract provide a guarantee that future adjustments to the crediting rate cannot result in a crediting rate less than zero.</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impacted by the</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3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change in the annual effective yield-to-maturity of the underlying securities but is also affected by the differential between the contract value and the market value of the covered investments.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Generally, contract value withdrawals will be made pro rata based on the percentage of investments covered by each issuer. The terms of the wrap contracts generally provide for full contract value withdrawal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typically allows for a gradual asset risk wind-down generally over the portfolio’s duration and would maintain contract value on the Plans.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Master Trust to qualify for exemption from federal income taxes or any required prohibited transaction exemption under ERISA, limit the ability of the Plans to transact contract value withdrawals from the wrap contracts. The plan administrator believes that the occurrence of any such event which would limit the Plans’ ability to transact contract value withdrawals is not probable of occurring.</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Fair Value Measurements</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Accounting Standards Codification (ASC)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Level 1 - Inputs to the valuation methodology are unadjusted quoted prices for identical assets or liabilities in active markets.</w:t>
      </w: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Level 2 - Inputs to the valuation methodology include:</w:t>
      </w:r>
    </w:p>
    <w:p>
      <w:pPr>
        <w:spacing w:after="0" w:line="24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Quoted prices for similar assets and liabilities in active markets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Quoted prices for identical or similar assets or liabilities in markets that are not active</w:t>
      </w:r>
    </w:p>
    <w:p>
      <w:pPr>
        <w:spacing w:after="0" w:line="260"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Inputs other than quoted prices that are for the assets or liabilities (e.g., interest rate and yield curve quotes at commonly quoted intervals)</w:t>
      </w:r>
    </w:p>
    <w:p>
      <w:pPr>
        <w:spacing w:after="0" w:line="1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Inputs that are derived principally from or corroborated by observable market data by correlation or other means</w:t>
      </w:r>
    </w:p>
    <w:p>
      <w:pPr>
        <w:spacing w:after="0" w:line="260"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22"/>
          <w:szCs w:val="22"/>
          <w:color w:val="auto"/>
        </w:rPr>
        <w:t>If the asset or liability has a specified (contractual) term, the Level 2 input must be observable for substantially the full term of the asset or liability.</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Level 3 - Inputs to the valuation methodology are unobservable and significant to the fair value measurement.</w:t>
      </w:r>
    </w:p>
    <w:p>
      <w:pPr>
        <w:spacing w:after="0" w:line="260"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following is a description of the valuation techniques and inputs used for assets measured at fair value:</w:t>
      </w:r>
    </w:p>
    <w:p>
      <w:pPr>
        <w:spacing w:after="0" w:line="212" w:lineRule="exact"/>
        <w:rPr>
          <w:sz w:val="20"/>
          <w:szCs w:val="20"/>
          <w:color w:val="auto"/>
        </w:rPr>
      </w:pPr>
    </w:p>
    <w:p>
      <w:pPr>
        <w:ind w:left="660" w:hanging="328"/>
        <w:spacing w:after="0" w:line="294" w:lineRule="exact"/>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Registered investment companies (mutual funds)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Valued at the net asset value (NAV) of shares held by the Master Trust at year end, as quoted in the active market, and classified within Level 1 of the valuation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359" w:lineRule="exact"/>
        <w:rPr>
          <w:sz w:val="20"/>
          <w:szCs w:val="20"/>
          <w:color w:val="auto"/>
        </w:rPr>
      </w:pPr>
    </w:p>
    <w:p>
      <w:pPr>
        <w:ind w:left="660" w:hanging="328"/>
        <w:spacing w:after="0" w:line="295" w:lineRule="auto"/>
        <w:tabs>
          <w:tab w:leader="none" w:pos="65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Self-directed brokerage accounts (represents mutual funds and exchange-traded funds) - Valued at the NAV of shares held by the Master Trust at year end, as quoted in the active market, and classified within Level 1 of the valuation hierarchy</w:t>
      </w:r>
    </w:p>
    <w:p>
      <w:pPr>
        <w:spacing w:after="0" w:line="114" w:lineRule="exact"/>
        <w:rPr>
          <w:rFonts w:ascii="Times New Roman" w:cs="Times New Roman" w:eastAsia="Times New Roman" w:hAnsi="Times New Roman"/>
          <w:sz w:val="21"/>
          <w:szCs w:val="21"/>
          <w:color w:val="auto"/>
        </w:rPr>
      </w:pPr>
    </w:p>
    <w:p>
      <w:pPr>
        <w:ind w:left="660" w:right="320" w:hanging="328"/>
        <w:spacing w:after="0" w:line="287" w:lineRule="exact"/>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Eli Lilly and Company common stock and other common stock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Valued at the closing price reported on the applicable stock exchange (e.g., NYSE or NASDAQ) and is classified within Level 1 of the valuation hierarchy</w:t>
      </w:r>
    </w:p>
    <w:p>
      <w:pPr>
        <w:spacing w:after="0" w:line="217"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2025 and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the net assets of the Master Trust and the Master Trust's assets carried at fair value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2025, by level, within the fair value hierarchy:</w:t>
      </w:r>
    </w:p>
    <w:p>
      <w:pPr>
        <w:spacing w:after="0" w:line="26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Master Trust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5"/>
        </w:trPr>
        <w:tc>
          <w:tcPr>
            <w:tcW w:w="352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429,061,226</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429,061,226</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432,429,718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432,429,718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 Lilly and Company common stock</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4,444,670,141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4,444,670,141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common stock</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473,635,764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473,635,764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5,779,796,849</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5,779,796,849</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520" w:type="dxa"/>
            <w:vAlign w:val="bottom"/>
            <w:vMerge w:val="restart"/>
          </w:tcPr>
          <w:p>
            <w:pPr>
              <w:ind w:left="160"/>
              <w:spacing w:after="0" w:line="182" w:lineRule="exact"/>
              <w:rPr>
                <w:sz w:val="20"/>
                <w:szCs w:val="20"/>
                <w:color w:val="auto"/>
              </w:rPr>
            </w:pPr>
            <w:r>
              <w:rPr>
                <w:rFonts w:ascii="Times New Roman" w:cs="Times New Roman" w:eastAsia="Times New Roman" w:hAnsi="Times New Roman"/>
                <w:sz w:val="18"/>
                <w:szCs w:val="18"/>
                <w:color w:val="auto"/>
              </w:rPr>
              <w:t>Interest in common/collective trusts,</w:t>
            </w: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measured at NAV</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9,387,065,252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Master Trust investments</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 fair value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15,166,862,101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Investments at contract value –</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Synthetic GICs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1,044,594,362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Master Trust investments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16,211,456,463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the net assets of the Master Trust and the Master Trust's assets carried at fair value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2024, by level, within the fair value hierarchy</w:t>
      </w:r>
      <w:r>
        <w:rPr>
          <w:rFonts w:ascii="Times New Roman" w:cs="Times New Roman" w:eastAsia="Times New Roman" w:hAnsi="Times New Roman"/>
          <w:sz w:val="17"/>
          <w:szCs w:val="17"/>
          <w:color w:val="auto"/>
        </w:rPr>
        <w:t>:</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Master Trust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5"/>
        </w:trPr>
        <w:tc>
          <w:tcPr>
            <w:tcW w:w="352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353,047,838</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353,047,838</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347,947,988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347,947,988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 Lilly and Company common stock</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3,586,035,728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3,586,035,728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4,287,031,554</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4,287,031,554</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520" w:type="dxa"/>
            <w:vAlign w:val="bottom"/>
            <w:vMerge w:val="restart"/>
          </w:tcPr>
          <w:p>
            <w:pPr>
              <w:ind w:left="160"/>
              <w:spacing w:after="0" w:line="182" w:lineRule="exact"/>
              <w:rPr>
                <w:sz w:val="20"/>
                <w:szCs w:val="20"/>
                <w:color w:val="auto"/>
              </w:rPr>
            </w:pPr>
            <w:r>
              <w:rPr>
                <w:rFonts w:ascii="Times New Roman" w:cs="Times New Roman" w:eastAsia="Times New Roman" w:hAnsi="Times New Roman"/>
                <w:sz w:val="18"/>
                <w:szCs w:val="18"/>
                <w:color w:val="auto"/>
              </w:rPr>
              <w:t>Interest in common/collective trusts,</w:t>
            </w: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measured at NAV</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8,284,292,489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5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Master Trust investments</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 fair value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12,571,324,043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Investments at contract value –</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Synthetic GICs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964,877,239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Master Trust investments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13,536,201,282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 Income Tax Status</w:t>
      </w:r>
    </w:p>
    <w:p>
      <w:pPr>
        <w:spacing w:after="0" w:line="2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401(k) Plan has received a determination letter from the IRS dated June 13, 2017, confirming generally that the 401(k) Plan meets the qualification requirements under Section 401(a) of the Internal Revenue Code (the Code) and, therefore, the related trust is exempt from taxation. Subsequent to the effective date of the determination letter, the 401(k) Plan was amended and restated. Once qualified, the 401(k) Plan is required to operate in conformity with the Code to maintain its qualification. The plan administrator believes that the 401(k) Plan is being operated in compliance with applicable requirements of the Code and, therefore, believes that the 401(k) Plan, as amended and restated, remains qualified and the related trust is tax exempt.</w:t>
      </w:r>
    </w:p>
    <w:p>
      <w:pPr>
        <w:spacing w:after="0" w:line="20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The Puerto Rico Plan last received a determination letter from the Commonwealth of Puerto Rico’s Department of Treasury dated November 6, 2025, confirming generally that the Puerto Rico Plan meets the qualification requirements of Section 1081.01 of the Puerto Rico Internal Revenue Code of 2011 (the Puerto Rico Code). Subsequent to the effective date of the determination letter, the Puerto Rico Plan was amended. Once qualified, the Puerto Rico Plan is required to operate in conformity with the Puerto Rico Code to maintain its qualification. The plan administrator believes that the Puerto Rico Plan is being operated in compliance with applicable requirements of the Puerto Rico Code and, therefore, believes that the Puerto Rico Plan, as amended, is qualified and the related trust is tax exempt.</w:t>
      </w: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Accounting principles generally accepted in the United States of America require plan management to evaluate tax positions taken by the Plans and recognize a tax liability if the Plans have taken an uncertain position that more likely than not would not be sustained upon examination by a relevant taxing authority.</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3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Plan management has analyzed the tax positions taken by the Plans and has concluded that there are no uncertain positions taken or expected to be taken. The Plans are subject to routine audits by taxing jurisdictions; however, there are currently no audits for any tax periods in progress.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 Risks and Uncertainties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The Plans invest in various investment securities. Investment securities are exposed to various risks, such as interest rate, credit, overall market volatility, and performance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 Transactions with Related Parties</w:t>
      </w:r>
    </w:p>
    <w:p>
      <w:pPr>
        <w:spacing w:after="0" w:line="25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Plans invest in the common stock of the Company. During 2025, the 401(k) Plan received approximately $25,103,000 in cash dividends from the Company on the common stock of the Company owned by the 401(k) Plan. During 2025, the Puerto Rico Plan received approximately $1,719,000 in cash dividends from the Company on the common stock of the Company owned by the Puerto Rico Plan. Certain plan assets are in investments managed by The Northern Trust Company. These transactions qualify as party-in-interest transactions; however, they are exempt from the prohibited transaction rules under ERISA and applicable regulatory guidance.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December 31, 2025 and 2024</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 Reconciliation of the Financial Statements to Form 5500</w:t>
      </w:r>
    </w:p>
    <w:p>
      <w:pPr>
        <w:spacing w:after="0" w:line="26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following are reconciliations of net assets available for benefits as of December 31, 2025 and 2024, and the net increase in net assets available for benefits for the year ended December 31, 2025, with the corresponding amounts in Form 5500:</w:t>
      </w:r>
    </w:p>
    <w:p>
      <w:pPr>
        <w:spacing w:after="0" w:line="226" w:lineRule="exact"/>
        <w:rPr>
          <w:sz w:val="20"/>
          <w:szCs w:val="20"/>
          <w:color w:val="auto"/>
        </w:rPr>
      </w:pPr>
    </w:p>
    <w:tbl>
      <w:tblPr>
        <w:tblLayout w:type="fixed"/>
        <w:tblInd w:w="100" w:type="dxa"/>
        <w:tblCellMar>
          <w:top w:w="0" w:type="dxa"/>
          <w:left w:w="0" w:type="dxa"/>
          <w:bottom w:w="0" w:type="dxa"/>
          <w:right w:w="0" w:type="dxa"/>
        </w:tblCellMar>
      </w:tblPr>
      <w:tr>
        <w:trPr>
          <w:trHeight w:val="277"/>
        </w:trPr>
        <w:tc>
          <w:tcPr>
            <w:tcW w:w="6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4"/>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December 31, 2025</w:t>
            </w:r>
          </w:p>
        </w:tc>
      </w:tr>
      <w:tr>
        <w:trPr>
          <w:trHeight w:val="263"/>
        </w:trPr>
        <w:tc>
          <w:tcPr>
            <w:tcW w:w="6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401(k) Plan</w:t>
            </w:r>
          </w:p>
        </w:tc>
        <w:tc>
          <w:tcPr>
            <w:tcW w:w="240" w:type="dxa"/>
            <w:vAlign w:val="bottom"/>
          </w:tcPr>
          <w:p>
            <w:pPr>
              <w:spacing w:after="0"/>
              <w:rPr>
                <w:sz w:val="22"/>
                <w:szCs w:val="22"/>
                <w:color w:val="auto"/>
              </w:rPr>
            </w:pPr>
          </w:p>
        </w:tc>
        <w:tc>
          <w:tcPr>
            <w:tcW w:w="196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Puerto Rico Plan</w:t>
            </w:r>
          </w:p>
        </w:tc>
      </w:tr>
      <w:tr>
        <w:trPr>
          <w:trHeight w:val="504"/>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at year end, as reported in the</w:t>
            </w:r>
          </w:p>
        </w:tc>
        <w:tc>
          <w:tcPr>
            <w:tcW w:w="3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r>
      <w:tr>
        <w:trPr>
          <w:trHeight w:val="256"/>
        </w:trPr>
        <w:tc>
          <w:tcPr>
            <w:tcW w:w="6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accompanying financial statements</w:t>
            </w: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15,623,922,586</w:t>
            </w:r>
          </w:p>
        </w:tc>
        <w:tc>
          <w:tcPr>
            <w:tcW w:w="320" w:type="dxa"/>
            <w:vAlign w:val="bottom"/>
          </w:tcPr>
          <w:p>
            <w:pPr>
              <w:spacing w:after="0"/>
              <w:rPr>
                <w:sz w:val="22"/>
                <w:szCs w:val="22"/>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634,830,072</w:t>
            </w:r>
          </w:p>
        </w:tc>
      </w:tr>
      <w:tr>
        <w:trPr>
          <w:trHeight w:val="262"/>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 accrued on Form 5500 at year end</w:t>
            </w: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(2,749,738)</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(8,706)</w:t>
            </w:r>
          </w:p>
        </w:tc>
      </w:tr>
      <w:tr>
        <w:trPr>
          <w:trHeight w:val="254"/>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per Form 5500</w:t>
            </w:r>
          </w:p>
        </w:tc>
        <w:tc>
          <w:tcPr>
            <w:tcW w:w="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15,621,172,848</w:t>
            </w:r>
          </w:p>
        </w:tc>
        <w:tc>
          <w:tcPr>
            <w:tcW w:w="320" w:type="dxa"/>
            <w:vAlign w:val="bottom"/>
          </w:tcPr>
          <w:p>
            <w:pPr>
              <w:spacing w:after="0"/>
              <w:rPr>
                <w:sz w:val="22"/>
                <w:szCs w:val="22"/>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634,821,366</w:t>
            </w:r>
          </w:p>
        </w:tc>
      </w:tr>
      <w:tr>
        <w:trPr>
          <w:trHeight w:val="21"/>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r>
      <w:tr>
        <w:trPr>
          <w:trHeight w:val="500"/>
        </w:trPr>
        <w:tc>
          <w:tcPr>
            <w:tcW w:w="6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4"/>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63"/>
        </w:trPr>
        <w:tc>
          <w:tcPr>
            <w:tcW w:w="6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401(k) Plan</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Puerto Rico Plan</w:t>
            </w:r>
          </w:p>
        </w:tc>
      </w:tr>
    </w:tbl>
    <w:p>
      <w:pPr>
        <w:spacing w:after="0" w:line="200" w:lineRule="exact"/>
        <w:rPr>
          <w:sz w:val="20"/>
          <w:szCs w:val="20"/>
          <w:color w:val="auto"/>
        </w:rPr>
      </w:pPr>
    </w:p>
    <w:p>
      <w:pPr>
        <w:sectPr>
          <w:pgSz w:w="11900" w:h="16838" w:orient="portrait"/>
          <w:cols w:equalWidth="0" w:num="1">
            <w:col w:w="11240"/>
          </w:cols>
          <w:pgMar w:left="320" w:top="184" w:right="339" w:bottom="1440" w:gutter="0" w:footer="0" w:header="0"/>
        </w:sectPr>
      </w:pPr>
    </w:p>
    <w:p>
      <w:pPr>
        <w:spacing w:after="0" w:line="47" w:lineRule="exact"/>
        <w:rPr>
          <w:sz w:val="20"/>
          <w:szCs w:val="20"/>
          <w:color w:val="auto"/>
        </w:rPr>
      </w:pPr>
    </w:p>
    <w:p>
      <w:pPr>
        <w:ind w:left="240" w:right="220" w:hanging="147"/>
        <w:spacing w:after="0" w:line="268" w:lineRule="auto"/>
        <w:rPr>
          <w:sz w:val="20"/>
          <w:szCs w:val="20"/>
          <w:color w:val="auto"/>
        </w:rPr>
      </w:pPr>
      <w:r>
        <w:rPr>
          <w:rFonts w:ascii="Times New Roman" w:cs="Times New Roman" w:eastAsia="Times New Roman" w:hAnsi="Times New Roman"/>
          <w:sz w:val="20"/>
          <w:szCs w:val="20"/>
          <w:color w:val="auto"/>
        </w:rPr>
        <w:t>Net assets available for benefits at year end, as reported in the accompanying financial statements</w:t>
      </w:r>
    </w:p>
    <w:p>
      <w:pPr>
        <w:spacing w:after="0" w:line="1" w:lineRule="exact"/>
        <w:rPr>
          <w:sz w:val="20"/>
          <w:szCs w:val="20"/>
          <w:color w:val="auto"/>
        </w:rPr>
      </w:pPr>
    </w:p>
    <w:p>
      <w:pPr>
        <w:ind w:left="100" w:right="1340"/>
        <w:spacing w:after="0" w:line="368" w:lineRule="auto"/>
        <w:rPr>
          <w:sz w:val="20"/>
          <w:szCs w:val="20"/>
          <w:color w:val="auto"/>
        </w:rPr>
      </w:pPr>
      <w:r>
        <w:rPr>
          <w:rFonts w:ascii="Times New Roman" w:cs="Times New Roman" w:eastAsia="Times New Roman" w:hAnsi="Times New Roman"/>
          <w:sz w:val="19"/>
          <w:szCs w:val="19"/>
          <w:color w:val="auto"/>
        </w:rPr>
        <w:t>Distributions accrued on Form 5500 at year end Net assets available for benefits per Form 5500</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108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13,056,609,955</w:t>
            </w:r>
          </w:p>
        </w:tc>
        <w:tc>
          <w:tcPr>
            <w:tcW w:w="320" w:type="dxa"/>
            <w:vAlign w:val="bottom"/>
          </w:tcPr>
          <w:p>
            <w:pPr>
              <w:spacing w:after="0"/>
              <w:rPr>
                <w:sz w:val="22"/>
                <w:szCs w:val="22"/>
                <w:color w:val="auto"/>
              </w:rPr>
            </w:pPr>
          </w:p>
        </w:tc>
        <w:tc>
          <w:tcPr>
            <w:tcW w:w="82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519,253,084</w:t>
            </w:r>
          </w:p>
        </w:tc>
      </w:tr>
      <w:tr>
        <w:trPr>
          <w:trHeight w:val="262"/>
        </w:trPr>
        <w:tc>
          <w:tcPr>
            <w:tcW w:w="6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(18,363,524)</w:t>
            </w:r>
          </w:p>
        </w:tc>
        <w:tc>
          <w:tcPr>
            <w:tcW w:w="3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(61,058)</w:t>
            </w:r>
          </w:p>
        </w:tc>
      </w:tr>
      <w:tr>
        <w:trPr>
          <w:trHeight w:val="254"/>
        </w:trPr>
        <w:tc>
          <w:tcPr>
            <w:tcW w:w="640" w:type="dxa"/>
            <w:vAlign w:val="bottom"/>
          </w:tcPr>
          <w:p>
            <w:pPr>
              <w:spacing w:after="0"/>
              <w:rPr>
                <w:sz w:val="22"/>
                <w:szCs w:val="22"/>
                <w:color w:val="auto"/>
              </w:rPr>
            </w:pPr>
          </w:p>
        </w:tc>
        <w:tc>
          <w:tcPr>
            <w:tcW w:w="4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13,038,246,431</w:t>
            </w:r>
          </w:p>
        </w:tc>
        <w:tc>
          <w:tcPr>
            <w:tcW w:w="320" w:type="dxa"/>
            <w:vAlign w:val="bottom"/>
          </w:tcPr>
          <w:p>
            <w:pPr>
              <w:spacing w:after="0"/>
              <w:rPr>
                <w:sz w:val="22"/>
                <w:szCs w:val="22"/>
                <w:color w:val="auto"/>
              </w:rPr>
            </w:pPr>
          </w:p>
        </w:tc>
        <w:tc>
          <w:tcPr>
            <w:tcW w:w="8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519,192,026</w:t>
            </w:r>
          </w:p>
        </w:tc>
      </w:tr>
      <w:tr>
        <w:trPr>
          <w:trHeight w:val="20"/>
        </w:trPr>
        <w:tc>
          <w:tcPr>
            <w:tcW w:w="64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08"/>
        </w:trPr>
        <w:tc>
          <w:tcPr>
            <w:tcW w:w="3860" w:type="dxa"/>
            <w:vAlign w:val="bottom"/>
            <w:tcBorders>
              <w:bottom w:val="single" w:sz="8" w:color="auto"/>
            </w:tcBorders>
            <w:gridSpan w:val="8"/>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c>
          <w:tcPr>
            <w:tcW w:w="1380" w:type="dxa"/>
            <w:vAlign w:val="bottom"/>
          </w:tcPr>
          <w:p>
            <w:pPr>
              <w:spacing w:after="0"/>
              <w:rPr>
                <w:sz w:val="24"/>
                <w:szCs w:val="24"/>
                <w:color w:val="auto"/>
              </w:rPr>
            </w:pPr>
          </w:p>
        </w:tc>
      </w:tr>
      <w:tr>
        <w:trPr>
          <w:trHeight w:val="264"/>
        </w:trPr>
        <w:tc>
          <w:tcPr>
            <w:tcW w:w="15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20"/>
                <w:szCs w:val="20"/>
                <w:b w:val="1"/>
                <w:bCs w:val="1"/>
                <w:color w:val="auto"/>
              </w:rPr>
              <w:t>401(k) Plan</w:t>
            </w:r>
          </w:p>
        </w:tc>
        <w:tc>
          <w:tcPr>
            <w:tcW w:w="34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Puerto Rico Plan</w:t>
            </w:r>
          </w:p>
        </w:tc>
        <w:tc>
          <w:tcPr>
            <w:tcW w:w="13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2">
            <w:col w:w="5220" w:space="720"/>
            <w:col w:w="5300"/>
          </w:cols>
          <w:pgMar w:left="320" w:top="184" w:right="339" w:bottom="1440" w:gutter="0" w:footer="0" w:header="0"/>
          <w:type w:val="continuous"/>
        </w:sectPr>
      </w:pP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 available for benefits, as</w:t>
            </w:r>
          </w:p>
        </w:tc>
        <w:tc>
          <w:tcPr>
            <w:tcW w:w="40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2,567,312,631</w:t>
            </w:r>
          </w:p>
        </w:tc>
        <w:tc>
          <w:tcPr>
            <w:tcW w:w="280" w:type="dxa"/>
            <w:vAlign w:val="bottom"/>
          </w:tcPr>
          <w:p>
            <w:pPr>
              <w:spacing w:after="0"/>
              <w:rPr>
                <w:sz w:val="19"/>
                <w:szCs w:val="19"/>
                <w:color w:val="auto"/>
              </w:rPr>
            </w:pPr>
          </w:p>
        </w:tc>
        <w:tc>
          <w:tcPr>
            <w:tcW w:w="38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115,576,988</w:t>
            </w:r>
          </w:p>
        </w:tc>
        <w:tc>
          <w:tcPr>
            <w:tcW w:w="0" w:type="dxa"/>
            <w:vAlign w:val="bottom"/>
          </w:tcPr>
          <w:p>
            <w:pPr>
              <w:spacing w:after="0"/>
              <w:rPr>
                <w:sz w:val="1"/>
                <w:szCs w:val="1"/>
                <w:color w:val="auto"/>
              </w:rPr>
            </w:pPr>
          </w:p>
        </w:tc>
      </w:tr>
      <w:tr>
        <w:trPr>
          <w:trHeight w:val="243"/>
        </w:trPr>
        <w:tc>
          <w:tcPr>
            <w:tcW w:w="5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reported in the accompanying financial statements</w:t>
            </w:r>
          </w:p>
        </w:tc>
        <w:tc>
          <w:tcPr>
            <w:tcW w:w="4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 accrued on Form 5500 at December 31, 2025</w:t>
            </w:r>
          </w:p>
        </w:tc>
        <w:tc>
          <w:tcPr>
            <w:tcW w:w="4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(2,749,738)</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(8,706)</w:t>
            </w: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 accrued on Form 5500 at December 31, 2024</w:t>
            </w:r>
          </w:p>
        </w:tc>
        <w:tc>
          <w:tcPr>
            <w:tcW w:w="4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18,363,524</w:t>
            </w:r>
          </w:p>
        </w:tc>
        <w:tc>
          <w:tcPr>
            <w:tcW w:w="2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61,058</w:t>
            </w:r>
          </w:p>
        </w:tc>
        <w:tc>
          <w:tcPr>
            <w:tcW w:w="0" w:type="dxa"/>
            <w:vAlign w:val="bottom"/>
          </w:tcPr>
          <w:p>
            <w:pPr>
              <w:spacing w:after="0"/>
              <w:rPr>
                <w:sz w:val="1"/>
                <w:szCs w:val="1"/>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20"/>
                <w:szCs w:val="20"/>
                <w:color w:val="auto"/>
              </w:rPr>
              <w:t>Net increase in net assets available for benefits, as</w:t>
            </w:r>
          </w:p>
        </w:tc>
        <w:tc>
          <w:tcPr>
            <w:tcW w:w="40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2,582,926,417</w:t>
            </w:r>
          </w:p>
        </w:tc>
        <w:tc>
          <w:tcPr>
            <w:tcW w:w="280" w:type="dxa"/>
            <w:vAlign w:val="bottom"/>
          </w:tcPr>
          <w:p>
            <w:pPr>
              <w:spacing w:after="0"/>
              <w:rPr>
                <w:sz w:val="15"/>
                <w:szCs w:val="15"/>
                <w:color w:val="auto"/>
              </w:rPr>
            </w:pPr>
          </w:p>
        </w:tc>
        <w:tc>
          <w:tcPr>
            <w:tcW w:w="38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115,629,340</w:t>
            </w:r>
          </w:p>
        </w:tc>
        <w:tc>
          <w:tcPr>
            <w:tcW w:w="0" w:type="dxa"/>
            <w:vAlign w:val="bottom"/>
          </w:tcPr>
          <w:p>
            <w:pPr>
              <w:spacing w:after="0"/>
              <w:rPr>
                <w:sz w:val="1"/>
                <w:szCs w:val="1"/>
                <w:color w:val="auto"/>
              </w:rPr>
            </w:pPr>
          </w:p>
        </w:tc>
      </w:tr>
      <w:tr>
        <w:trPr>
          <w:trHeight w:val="230"/>
        </w:trPr>
        <w:tc>
          <w:tcPr>
            <w:tcW w:w="5920" w:type="dxa"/>
            <w:vAlign w:val="bottom"/>
          </w:tcPr>
          <w:p>
            <w:pPr>
              <w:ind w:left="160"/>
              <w:spacing w:after="0" w:line="226" w:lineRule="exact"/>
              <w:rPr>
                <w:sz w:val="20"/>
                <w:szCs w:val="20"/>
                <w:color w:val="auto"/>
              </w:rPr>
            </w:pPr>
            <w:r>
              <w:rPr>
                <w:rFonts w:ascii="Times New Roman" w:cs="Times New Roman" w:eastAsia="Times New Roman" w:hAnsi="Times New Roman"/>
                <w:sz w:val="20"/>
                <w:szCs w:val="20"/>
                <w:color w:val="auto"/>
              </w:rPr>
              <w:t>reported on Form 5500</w:t>
            </w:r>
          </w:p>
        </w:tc>
        <w:tc>
          <w:tcPr>
            <w:tcW w:w="4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25"/>
          <w:szCs w:val="25"/>
          <w:color w:val="auto"/>
        </w:rPr>
        <w:t>The Lilly Employee 401(k) Plan</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EIN 35-0470950 Plan No. 002</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Schedule H, Line 4i – Schedule of Assets</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(Held at End of Year)</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4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9"/>
              </w:rPr>
              <w:t>Description of</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4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9"/>
              </w:rPr>
              <w:t>Investment, including</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4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8"/>
              </w:rPr>
              <w:t>Maturity Date, Rate of</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b w:val="1"/>
                <w:bCs w:val="1"/>
                <w:color w:val="auto"/>
                <w:w w:val="97"/>
              </w:rPr>
              <w:t>Identity of Issuer, Borrower,</w:t>
            </w: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6"/>
              </w:rPr>
              <w:t>Interest, Par, or</w:t>
            </w:r>
          </w:p>
        </w:tc>
        <w:tc>
          <w:tcPr>
            <w:tcW w:w="720" w:type="dxa"/>
            <w:vAlign w:val="bottom"/>
          </w:tcPr>
          <w:p>
            <w:pPr>
              <w:spacing w:after="0"/>
              <w:rPr>
                <w:sz w:val="22"/>
                <w:szCs w:val="22"/>
                <w:color w:val="auto"/>
              </w:rPr>
            </w:pPr>
          </w:p>
        </w:tc>
        <w:tc>
          <w:tcPr>
            <w:tcW w:w="1860" w:type="dxa"/>
            <w:vAlign w:val="bottom"/>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7"/>
              </w:rPr>
              <w:t>Current</w:t>
            </w:r>
          </w:p>
        </w:tc>
      </w:tr>
      <w:tr>
        <w:trPr>
          <w:trHeight w:val="266"/>
        </w:trPr>
        <w:tc>
          <w:tcPr>
            <w:tcW w:w="344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b w:val="1"/>
                <w:bCs w:val="1"/>
                <w:color w:val="auto"/>
                <w:w w:val="97"/>
              </w:rPr>
              <w:t>Lessor, or Similar Party</w:t>
            </w:r>
          </w:p>
        </w:tc>
        <w:tc>
          <w:tcPr>
            <w:tcW w:w="308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6"/>
              </w:rPr>
              <w:t>Maturity Value</w:t>
            </w:r>
          </w:p>
        </w:tc>
        <w:tc>
          <w:tcPr>
            <w:tcW w:w="7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5"/>
              </w:rPr>
              <w:t>Value</w:t>
            </w:r>
          </w:p>
        </w:tc>
      </w:tr>
      <w:tr>
        <w:trPr>
          <w:trHeight w:val="541"/>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Loans to participants*</w:t>
            </w:r>
          </w:p>
        </w:tc>
        <w:tc>
          <w:tcPr>
            <w:tcW w:w="3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rates ranging</w:t>
            </w: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30,484,221</w:t>
            </w:r>
          </w:p>
        </w:tc>
      </w:tr>
      <w:tr>
        <w:trPr>
          <w:trHeight w:val="258"/>
        </w:trPr>
        <w:tc>
          <w:tcPr>
            <w:tcW w:w="3440" w:type="dxa"/>
            <w:vAlign w:val="bottom"/>
          </w:tcPr>
          <w:p>
            <w:pPr>
              <w:spacing w:after="0"/>
              <w:rPr>
                <w:sz w:val="22"/>
                <w:szCs w:val="22"/>
                <w:color w:val="auto"/>
              </w:rPr>
            </w:pPr>
          </w:p>
        </w:tc>
        <w:tc>
          <w:tcPr>
            <w:tcW w:w="30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from 4.25% to 10.00%</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513"/>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00"/>
          </w:cols>
          <w:pgMar w:left="1400" w:top="913" w:right="1399" w:bottom="1440" w:gutter="0" w:footer="0" w:header="0"/>
        </w:sectPr>
      </w:pPr>
    </w:p>
    <w:bookmarkStart w:id="19" w:name="page20"/>
    <w:bookmarkEnd w:id="19"/>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Savings Plan for Lilly Affiliate Employees in Puerto Rico</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EIN 98-0167031 Plan No. 004</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Schedule H, Line 4i – Schedule of Assets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(Held at End of Year)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60" w:type="dxa"/>
            <w:vAlign w:val="bottom"/>
          </w:tcPr>
          <w:p>
            <w:pPr>
              <w:spacing w:after="0"/>
              <w:rPr>
                <w:sz w:val="22"/>
                <w:szCs w:val="22"/>
                <w:color w:val="auto"/>
              </w:rPr>
            </w:pPr>
          </w:p>
        </w:tc>
        <w:tc>
          <w:tcPr>
            <w:tcW w:w="3080" w:type="dxa"/>
            <w:vAlign w:val="bottom"/>
          </w:tcPr>
          <w:p>
            <w:pPr>
              <w:jc w:val="center"/>
              <w:ind w:left="481"/>
              <w:spacing w:after="0"/>
              <w:rPr>
                <w:sz w:val="20"/>
                <w:szCs w:val="20"/>
                <w:color w:val="auto"/>
              </w:rPr>
            </w:pPr>
            <w:r>
              <w:rPr>
                <w:rFonts w:ascii="Times New Roman" w:cs="Times New Roman" w:eastAsia="Times New Roman" w:hAnsi="Times New Roman"/>
                <w:sz w:val="20"/>
                <w:szCs w:val="20"/>
                <w:b w:val="1"/>
                <w:bCs w:val="1"/>
                <w:color w:val="auto"/>
                <w:w w:val="97"/>
              </w:rPr>
              <w:t>Description of</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6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9"/>
              </w:rPr>
              <w:t>Investment, including</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7"/>
        </w:trPr>
        <w:tc>
          <w:tcPr>
            <w:tcW w:w="346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8"/>
              </w:rPr>
              <w:t>Maturity Date, Rate of</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6"/>
        </w:trPr>
        <w:tc>
          <w:tcPr>
            <w:tcW w:w="3460" w:type="dxa"/>
            <w:vAlign w:val="bottom"/>
          </w:tcPr>
          <w:p>
            <w:pPr>
              <w:jc w:val="center"/>
              <w:ind w:left="221"/>
              <w:spacing w:after="0"/>
              <w:rPr>
                <w:sz w:val="20"/>
                <w:szCs w:val="20"/>
                <w:color w:val="auto"/>
              </w:rPr>
            </w:pPr>
            <w:r>
              <w:rPr>
                <w:rFonts w:ascii="Times New Roman" w:cs="Times New Roman" w:eastAsia="Times New Roman" w:hAnsi="Times New Roman"/>
                <w:sz w:val="20"/>
                <w:szCs w:val="20"/>
                <w:b w:val="1"/>
                <w:bCs w:val="1"/>
                <w:color w:val="auto"/>
                <w:w w:val="97"/>
              </w:rPr>
              <w:t>Identity of Issuer, Borrower,</w:t>
            </w:r>
          </w:p>
        </w:tc>
        <w:tc>
          <w:tcPr>
            <w:tcW w:w="3080" w:type="dxa"/>
            <w:vAlign w:val="bottom"/>
          </w:tcPr>
          <w:p>
            <w:pPr>
              <w:jc w:val="center"/>
              <w:ind w:left="481"/>
              <w:spacing w:after="0"/>
              <w:rPr>
                <w:sz w:val="20"/>
                <w:szCs w:val="20"/>
                <w:color w:val="auto"/>
              </w:rPr>
            </w:pPr>
            <w:r>
              <w:rPr>
                <w:rFonts w:ascii="Times New Roman" w:cs="Times New Roman" w:eastAsia="Times New Roman" w:hAnsi="Times New Roman"/>
                <w:sz w:val="20"/>
                <w:szCs w:val="20"/>
                <w:b w:val="1"/>
                <w:bCs w:val="1"/>
                <w:color w:val="auto"/>
                <w:w w:val="98"/>
              </w:rPr>
              <w:t>Interest, Par, or</w:t>
            </w:r>
          </w:p>
        </w:tc>
        <w:tc>
          <w:tcPr>
            <w:tcW w:w="720" w:type="dxa"/>
            <w:vAlign w:val="bottom"/>
          </w:tcPr>
          <w:p>
            <w:pPr>
              <w:spacing w:after="0"/>
              <w:rPr>
                <w:sz w:val="22"/>
                <w:szCs w:val="22"/>
                <w:color w:val="auto"/>
              </w:rPr>
            </w:pPr>
          </w:p>
        </w:tc>
        <w:tc>
          <w:tcPr>
            <w:tcW w:w="1860" w:type="dxa"/>
            <w:vAlign w:val="bottom"/>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7"/>
              </w:rPr>
              <w:t>Current</w:t>
            </w:r>
          </w:p>
        </w:tc>
      </w:tr>
      <w:tr>
        <w:trPr>
          <w:trHeight w:val="266"/>
        </w:trPr>
        <w:tc>
          <w:tcPr>
            <w:tcW w:w="34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b w:val="1"/>
                <w:bCs w:val="1"/>
                <w:color w:val="auto"/>
                <w:w w:val="98"/>
              </w:rPr>
              <w:t>Lessor, or Similar Party</w:t>
            </w:r>
          </w:p>
        </w:tc>
        <w:tc>
          <w:tcPr>
            <w:tcW w:w="3080" w:type="dxa"/>
            <w:vAlign w:val="bottom"/>
            <w:tcBorders>
              <w:bottom w:val="single" w:sz="8" w:color="auto"/>
            </w:tcBorders>
          </w:tcPr>
          <w:p>
            <w:pPr>
              <w:jc w:val="center"/>
              <w:ind w:left="481"/>
              <w:spacing w:after="0"/>
              <w:rPr>
                <w:sz w:val="20"/>
                <w:szCs w:val="20"/>
                <w:color w:val="auto"/>
              </w:rPr>
            </w:pPr>
            <w:r>
              <w:rPr>
                <w:rFonts w:ascii="Times New Roman" w:cs="Times New Roman" w:eastAsia="Times New Roman" w:hAnsi="Times New Roman"/>
                <w:sz w:val="20"/>
                <w:szCs w:val="20"/>
                <w:b w:val="1"/>
                <w:bCs w:val="1"/>
                <w:color w:val="auto"/>
                <w:w w:val="97"/>
              </w:rPr>
              <w:t>Maturity Value</w:t>
            </w:r>
          </w:p>
        </w:tc>
        <w:tc>
          <w:tcPr>
            <w:tcW w:w="7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5"/>
              </w:rPr>
              <w:t>Value</w:t>
            </w:r>
          </w:p>
        </w:tc>
      </w:tr>
      <w:tr>
        <w:trPr>
          <w:trHeight w:val="541"/>
        </w:trPr>
        <w:tc>
          <w:tcPr>
            <w:tcW w:w="3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Loans to participants*</w:t>
            </w:r>
          </w:p>
        </w:tc>
        <w:tc>
          <w:tcPr>
            <w:tcW w:w="3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rates ranging</w:t>
            </w:r>
          </w:p>
        </w:tc>
        <w:tc>
          <w:tcPr>
            <w:tcW w:w="7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2,655,742</w:t>
            </w:r>
          </w:p>
        </w:tc>
      </w:tr>
      <w:tr>
        <w:trPr>
          <w:trHeight w:val="258"/>
        </w:trPr>
        <w:tc>
          <w:tcPr>
            <w:tcW w:w="3460" w:type="dxa"/>
            <w:vAlign w:val="bottom"/>
          </w:tcPr>
          <w:p>
            <w:pPr>
              <w:spacing w:after="0"/>
              <w:rPr>
                <w:sz w:val="22"/>
                <w:szCs w:val="22"/>
                <w:color w:val="auto"/>
              </w:rPr>
            </w:pPr>
          </w:p>
        </w:tc>
        <w:tc>
          <w:tcPr>
            <w:tcW w:w="30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from 4.25% to 9.50%</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513"/>
        </w:trPr>
        <w:tc>
          <w:tcPr>
            <w:tcW w:w="3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120"/>
          </w:cols>
          <w:pgMar w:left="1380" w:top="144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20"/>
          </w:cols>
          <w:pgMar w:left="1380" w:top="1440" w:right="139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72" w:lineRule="exact"/>
        <w:rPr>
          <w:sz w:val="20"/>
          <w:szCs w:val="20"/>
          <w:color w:val="auto"/>
        </w:rPr>
      </w:pPr>
    </w:p>
    <w:p>
      <w:pPr>
        <w:ind w:right="20"/>
        <w:spacing w:after="0" w:line="386" w:lineRule="auto"/>
        <w:rPr>
          <w:sz w:val="20"/>
          <w:szCs w:val="20"/>
          <w:color w:val="auto"/>
        </w:rPr>
      </w:pPr>
      <w:r>
        <w:rPr>
          <w:rFonts w:ascii="Times New Roman" w:cs="Times New Roman" w:eastAsia="Times New Roman" w:hAnsi="Times New Roman"/>
          <w:sz w:val="22"/>
          <w:szCs w:val="22"/>
          <w:color w:val="auto"/>
        </w:rPr>
        <w:t>The Plans. Pursuant to the requirements of the Securities Exchange Act of 1934, the trustees (or other persons who administer the Plans) have duly caused this annual report to be signed on its behalf by the undersigned hereunto duly authorized.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340" w:type="dxa"/>
            <w:vAlign w:val="bottom"/>
          </w:tcPr>
          <w:p>
            <w:pPr>
              <w:spacing w:after="0"/>
              <w:rPr>
                <w:sz w:val="24"/>
                <w:szCs w:val="24"/>
                <w:color w:val="auto"/>
              </w:rPr>
            </w:pPr>
          </w:p>
        </w:tc>
        <w:tc>
          <w:tcPr>
            <w:tcW w:w="790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rPr>
              <w:t>The Lilly Employee 401(k) Plan</w:t>
            </w:r>
          </w:p>
        </w:tc>
      </w:tr>
      <w:tr>
        <w:trPr>
          <w:trHeight w:val="542"/>
        </w:trPr>
        <w:tc>
          <w:tcPr>
            <w:tcW w:w="3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 June 23, 2026</w:t>
            </w:r>
          </w:p>
        </w:tc>
        <w:tc>
          <w:tcPr>
            <w:tcW w:w="790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rPr>
              <w:t>By: /s/ Stacey M. Roberson</w:t>
            </w:r>
          </w:p>
        </w:tc>
      </w:tr>
      <w:tr>
        <w:trPr>
          <w:trHeight w:val="20"/>
        </w:trPr>
        <w:tc>
          <w:tcPr>
            <w:tcW w:w="3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90"/>
        </w:trPr>
        <w:tc>
          <w:tcPr>
            <w:tcW w:w="3340" w:type="dxa"/>
            <w:vAlign w:val="bottom"/>
          </w:tcPr>
          <w:p>
            <w:pPr>
              <w:spacing w:after="0"/>
              <w:rPr>
                <w:sz w:val="24"/>
                <w:szCs w:val="24"/>
                <w:color w:val="auto"/>
              </w:rPr>
            </w:pPr>
          </w:p>
        </w:tc>
        <w:tc>
          <w:tcPr>
            <w:tcW w:w="7900" w:type="dxa"/>
            <w:vAlign w:val="bottom"/>
            <w:gridSpan w:val="3"/>
          </w:tcPr>
          <w:p>
            <w:pPr>
              <w:ind w:left="1920"/>
              <w:spacing w:after="0"/>
              <w:rPr>
                <w:sz w:val="20"/>
                <w:szCs w:val="20"/>
                <w:color w:val="auto"/>
              </w:rPr>
            </w:pPr>
            <w:r>
              <w:rPr>
                <w:rFonts w:ascii="Times New Roman" w:cs="Times New Roman" w:eastAsia="Times New Roman" w:hAnsi="Times New Roman"/>
                <w:sz w:val="22"/>
                <w:szCs w:val="22"/>
                <w:color w:val="auto"/>
              </w:rPr>
              <w:t>Stacey M. Roberson</w:t>
            </w:r>
          </w:p>
        </w:tc>
      </w:tr>
      <w:tr>
        <w:trPr>
          <w:trHeight w:val="282"/>
        </w:trPr>
        <w:tc>
          <w:tcPr>
            <w:tcW w:w="3340" w:type="dxa"/>
            <w:vAlign w:val="bottom"/>
          </w:tcPr>
          <w:p>
            <w:pPr>
              <w:spacing w:after="0"/>
              <w:rPr>
                <w:sz w:val="24"/>
                <w:szCs w:val="24"/>
                <w:color w:val="auto"/>
              </w:rPr>
            </w:pPr>
          </w:p>
        </w:tc>
        <w:tc>
          <w:tcPr>
            <w:tcW w:w="7900" w:type="dxa"/>
            <w:vAlign w:val="bottom"/>
            <w:gridSpan w:val="3"/>
          </w:tcPr>
          <w:p>
            <w:pPr>
              <w:ind w:left="1920"/>
              <w:spacing w:after="0"/>
              <w:rPr>
                <w:sz w:val="20"/>
                <w:szCs w:val="20"/>
                <w:color w:val="auto"/>
              </w:rPr>
            </w:pPr>
            <w:r>
              <w:rPr>
                <w:rFonts w:ascii="Times New Roman" w:cs="Times New Roman" w:eastAsia="Times New Roman" w:hAnsi="Times New Roman"/>
                <w:sz w:val="22"/>
                <w:szCs w:val="22"/>
                <w:color w:val="auto"/>
              </w:rPr>
              <w:t>Employee Benefits Committee Member</w:t>
            </w:r>
          </w:p>
        </w:tc>
      </w:tr>
      <w:tr>
        <w:trPr>
          <w:trHeight w:val="715"/>
        </w:trPr>
        <w:tc>
          <w:tcPr>
            <w:tcW w:w="3340" w:type="dxa"/>
            <w:vAlign w:val="bottom"/>
          </w:tcPr>
          <w:p>
            <w:pPr>
              <w:spacing w:after="0"/>
              <w:rPr>
                <w:sz w:val="24"/>
                <w:szCs w:val="24"/>
                <w:color w:val="auto"/>
              </w:rPr>
            </w:pPr>
          </w:p>
        </w:tc>
        <w:tc>
          <w:tcPr>
            <w:tcW w:w="790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rPr>
              <w:t>The Savings Plan for Lilly Affiliate Employees in Puerto Rico</w:t>
            </w:r>
          </w:p>
        </w:tc>
      </w:tr>
      <w:tr>
        <w:trPr>
          <w:trHeight w:val="312"/>
        </w:trPr>
        <w:tc>
          <w:tcPr>
            <w:tcW w:w="3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 June 23, 2026</w:t>
            </w:r>
          </w:p>
        </w:tc>
        <w:tc>
          <w:tcPr>
            <w:tcW w:w="7900" w:type="dxa"/>
            <w:vAlign w:val="bottom"/>
            <w:gridSpan w:val="3"/>
          </w:tcPr>
          <w:p>
            <w:pPr>
              <w:ind w:left="1580"/>
              <w:spacing w:after="0"/>
              <w:rPr>
                <w:sz w:val="20"/>
                <w:szCs w:val="20"/>
                <w:color w:val="auto"/>
              </w:rPr>
            </w:pPr>
            <w:r>
              <w:rPr>
                <w:rFonts w:ascii="Times New Roman" w:cs="Times New Roman" w:eastAsia="Times New Roman" w:hAnsi="Times New Roman"/>
                <w:sz w:val="22"/>
                <w:szCs w:val="22"/>
                <w:color w:val="auto"/>
              </w:rPr>
              <w:t>By: /s/ Stacey M. Roberson</w:t>
            </w:r>
          </w:p>
        </w:tc>
      </w:tr>
      <w:tr>
        <w:trPr>
          <w:trHeight w:val="20"/>
        </w:trPr>
        <w:tc>
          <w:tcPr>
            <w:tcW w:w="3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90"/>
        </w:trPr>
        <w:tc>
          <w:tcPr>
            <w:tcW w:w="3340" w:type="dxa"/>
            <w:vAlign w:val="bottom"/>
          </w:tcPr>
          <w:p>
            <w:pPr>
              <w:spacing w:after="0"/>
              <w:rPr>
                <w:sz w:val="24"/>
                <w:szCs w:val="24"/>
                <w:color w:val="auto"/>
              </w:rPr>
            </w:pPr>
          </w:p>
        </w:tc>
        <w:tc>
          <w:tcPr>
            <w:tcW w:w="7900" w:type="dxa"/>
            <w:vAlign w:val="bottom"/>
            <w:gridSpan w:val="3"/>
          </w:tcPr>
          <w:p>
            <w:pPr>
              <w:ind w:left="1920"/>
              <w:spacing w:after="0"/>
              <w:rPr>
                <w:sz w:val="20"/>
                <w:szCs w:val="20"/>
                <w:color w:val="auto"/>
              </w:rPr>
            </w:pPr>
            <w:r>
              <w:rPr>
                <w:rFonts w:ascii="Times New Roman" w:cs="Times New Roman" w:eastAsia="Times New Roman" w:hAnsi="Times New Roman"/>
                <w:sz w:val="22"/>
                <w:szCs w:val="22"/>
                <w:color w:val="auto"/>
              </w:rPr>
              <w:t>Stacey M. Roberson</w:t>
            </w:r>
          </w:p>
        </w:tc>
      </w:tr>
      <w:tr>
        <w:trPr>
          <w:trHeight w:val="282"/>
        </w:trPr>
        <w:tc>
          <w:tcPr>
            <w:tcW w:w="3340" w:type="dxa"/>
            <w:vAlign w:val="bottom"/>
          </w:tcPr>
          <w:p>
            <w:pPr>
              <w:spacing w:after="0"/>
              <w:rPr>
                <w:sz w:val="24"/>
                <w:szCs w:val="24"/>
                <w:color w:val="auto"/>
              </w:rPr>
            </w:pPr>
          </w:p>
        </w:tc>
        <w:tc>
          <w:tcPr>
            <w:tcW w:w="7900" w:type="dxa"/>
            <w:vAlign w:val="bottom"/>
            <w:gridSpan w:val="3"/>
          </w:tcPr>
          <w:p>
            <w:pPr>
              <w:ind w:left="1920"/>
              <w:spacing w:after="0"/>
              <w:rPr>
                <w:sz w:val="20"/>
                <w:szCs w:val="20"/>
                <w:color w:val="auto"/>
              </w:rPr>
            </w:pPr>
            <w:r>
              <w:rPr>
                <w:rFonts w:ascii="Times New Roman" w:cs="Times New Roman" w:eastAsia="Times New Roman" w:hAnsi="Times New Roman"/>
                <w:sz w:val="22"/>
                <w:szCs w:val="22"/>
                <w:color w:val="auto"/>
              </w:rPr>
              <w:t>Employee Benefits Committee Member</w:t>
            </w:r>
          </w:p>
        </w:tc>
      </w:tr>
      <w:tr>
        <w:trPr>
          <w:trHeight w:val="852"/>
        </w:trPr>
        <w:tc>
          <w:tcPr>
            <w:tcW w:w="3340" w:type="dxa"/>
            <w:vAlign w:val="bottom"/>
          </w:tcPr>
          <w:p>
            <w:pPr>
              <w:spacing w:after="0"/>
              <w:rPr>
                <w:sz w:val="24"/>
                <w:szCs w:val="24"/>
                <w:color w:val="auto"/>
              </w:rPr>
            </w:pPr>
          </w:p>
        </w:tc>
        <w:tc>
          <w:tcPr>
            <w:tcW w:w="39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21</w:t>
            </w:r>
          </w:p>
        </w:tc>
        <w:tc>
          <w:tcPr>
            <w:tcW w:w="394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1" w:name="page22"/>
    <w:bookmarkEnd w:id="21"/>
    <w:p>
      <w:pPr>
        <w:jc w:val="right"/>
        <w:ind w:right="387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w:t>
      </w:r>
    </w:p>
    <w:p>
      <w:pPr>
        <w:spacing w:after="0" w:line="1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Number</w:t>
      </w:r>
      <w:r>
        <w:rPr>
          <w:sz w:val="20"/>
          <w:szCs w:val="20"/>
          <w:color w:val="auto"/>
        </w:rPr>
        <w:tab/>
      </w:r>
      <w:r>
        <w:rPr>
          <w:rFonts w:ascii="Times New Roman" w:cs="Times New Roman" w:eastAsia="Times New Roman" w:hAnsi="Times New Roman"/>
          <w:sz w:val="22"/>
          <w:szCs w:val="22"/>
          <w:u w:val="single" w:color="auto"/>
          <w:color w:val="auto"/>
        </w:rPr>
        <w:t>Description</w:t>
      </w:r>
    </w:p>
    <w:p>
      <w:pPr>
        <w:spacing w:after="0" w:line="372" w:lineRule="exact"/>
        <w:rPr>
          <w:sz w:val="20"/>
          <w:szCs w:val="20"/>
          <w:color w:val="auto"/>
        </w:rPr>
      </w:pPr>
    </w:p>
    <w:p>
      <w:pPr>
        <w:ind w:left="760" w:hanging="752"/>
        <w:spacing w:after="0"/>
        <w:tabs>
          <w:tab w:leader="none" w:pos="760" w:val="left"/>
        </w:tabs>
        <w:numPr>
          <w:ilvl w:val="0"/>
          <w:numId w:val="1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45" w:right="1440"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23, 2026, with respect to the financial statements and schedules of The Lilly Employee 401(k) Plan and The Savings Plan for Lilly Affiliate Employees in Puerto Rico included in this Annual Report (Form 11-K)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36"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23, 2026, with respect to the financial statements and schedules of The Lilly Employee 401(k) Plan and The Savings Plan for Lilly Affiliate Employees in Puerto Rico included in this Annual Report (Form 11-K) for the year ended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Indianapolis, Indiana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23, 2026</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2026-06-23T14:28:23Z</dcterms:created>
  <dcterms:modified xsi:type="dcterms:W3CDTF">2026-06-23T14:28:23Z</dcterms:modified>
</cp:coreProperties>
</file>