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Filed Pursuant to Rule 424(b)(2)</w:t>
      </w:r>
    </w:p>
    <w:p>
      <w:pPr>
        <w:spacing w:after="0" w:line="18" w:lineRule="exact"/>
        <w:rPr>
          <w:sz w:val="24"/>
          <w:szCs w:val="24"/>
          <w:color w:val="auto"/>
        </w:rPr>
      </w:pPr>
    </w:p>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Registration No. 333-285052</w:t>
      </w:r>
    </w:p>
    <w:p>
      <w:pPr>
        <w:spacing w:after="0" w:line="10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2"/>
          <w:szCs w:val="12"/>
          <w:b w:val="1"/>
          <w:bCs w:val="1"/>
          <w:color w:val="auto"/>
        </w:rPr>
        <w:t>Prospectus Supplement</w:t>
      </w:r>
    </w:p>
    <w:p>
      <w:pPr>
        <w:spacing w:after="0" w:line="2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(To Prospectus dated February 19, 2025)</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$9,000,000,000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2480945</wp:posOffset>
            </wp:positionH>
            <wp:positionV relativeFrom="paragraph">
              <wp:posOffset>135890</wp:posOffset>
            </wp:positionV>
            <wp:extent cx="758825" cy="408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8825" cy="4083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Eli Lilly and Company</w:t>
      </w:r>
    </w:p>
    <w:p>
      <w:pPr>
        <w:spacing w:after="0" w:line="172" w:lineRule="exact"/>
        <w:rPr>
          <w:sz w:val="24"/>
          <w:szCs w:val="24"/>
          <w:color w:val="auto"/>
        </w:rPr>
      </w:pPr>
    </w:p>
    <w:p>
      <w:pPr>
        <w:jc w:val="center"/>
        <w:ind w:left="340" w:right="359"/>
        <w:spacing w:after="0" w:line="242" w:lineRule="auto"/>
        <w:rPr>
          <w:sz w:val="20"/>
          <w:szCs w:val="20"/>
          <w:color w:val="auto"/>
        </w:rPr>
      </w:pPr>
      <w:r>
        <w:rPr>
          <w:rFonts w:ascii="Times New Roman" w:cs="Times New Roman" w:eastAsia="Times New Roman" w:hAnsi="Times New Roman"/>
          <w:sz w:val="16"/>
          <w:szCs w:val="16"/>
          <w:b w:val="1"/>
          <w:bCs w:val="1"/>
          <w:color w:val="auto"/>
        </w:rPr>
        <w:t xml:space="preserve">$750,000,000 Floating Rate Notes Due 2028 </w:t>
      </w:r>
      <w:r>
        <w:rPr>
          <w:rFonts w:ascii="Times New Roman" w:cs="Times New Roman" w:eastAsia="Times New Roman" w:hAnsi="Times New Roman"/>
          <w:sz w:val="16"/>
          <w:szCs w:val="16"/>
          <w:b w:val="1"/>
          <w:bCs w:val="1"/>
          <w:i w:val="1"/>
          <w:iCs w:val="1"/>
          <w:color w:val="auto"/>
        </w:rPr>
        <w:t xml:space="preserve">Interest payable on February 20, May 20, August 20 and November 20 </w:t>
      </w:r>
      <w:r>
        <w:rPr>
          <w:rFonts w:ascii="Times New Roman" w:cs="Times New Roman" w:eastAsia="Times New Roman" w:hAnsi="Times New Roman"/>
          <w:sz w:val="16"/>
          <w:szCs w:val="16"/>
          <w:b w:val="1"/>
          <w:bCs w:val="1"/>
          <w:color w:val="auto"/>
        </w:rPr>
        <w:t xml:space="preserve">$500,000,000 Floating Rate Notes Due 2029 </w:t>
      </w:r>
      <w:r>
        <w:rPr>
          <w:rFonts w:ascii="Times New Roman" w:cs="Times New Roman" w:eastAsia="Times New Roman" w:hAnsi="Times New Roman"/>
          <w:sz w:val="16"/>
          <w:szCs w:val="16"/>
          <w:b w:val="1"/>
          <w:bCs w:val="1"/>
          <w:i w:val="1"/>
          <w:iCs w:val="1"/>
          <w:color w:val="auto"/>
        </w:rPr>
        <w:t xml:space="preserve">Interest payable on February 20, May 20, August 20 and November 20 </w:t>
      </w:r>
      <w:r>
        <w:rPr>
          <w:rFonts w:ascii="Times New Roman" w:cs="Times New Roman" w:eastAsia="Times New Roman" w:hAnsi="Times New Roman"/>
          <w:sz w:val="16"/>
          <w:szCs w:val="16"/>
          <w:b w:val="1"/>
          <w:bCs w:val="1"/>
          <w:color w:val="auto"/>
        </w:rPr>
        <w:t xml:space="preserve">$750,000,000 4.150% Notes Due 2029 </w:t>
      </w:r>
      <w:r>
        <w:rPr>
          <w:rFonts w:ascii="Times New Roman" w:cs="Times New Roman" w:eastAsia="Times New Roman" w:hAnsi="Times New Roman"/>
          <w:sz w:val="16"/>
          <w:szCs w:val="16"/>
          <w:b w:val="1"/>
          <w:bCs w:val="1"/>
          <w:i w:val="1"/>
          <w:iCs w:val="1"/>
          <w:color w:val="auto"/>
        </w:rPr>
        <w:t xml:space="preserve">Interest payable on May 20 and November 20 </w:t>
      </w:r>
      <w:r>
        <w:rPr>
          <w:rFonts w:ascii="Times New Roman" w:cs="Times New Roman" w:eastAsia="Times New Roman" w:hAnsi="Times New Roman"/>
          <w:sz w:val="16"/>
          <w:szCs w:val="16"/>
          <w:b w:val="1"/>
          <w:bCs w:val="1"/>
          <w:color w:val="auto"/>
        </w:rPr>
        <w:t xml:space="preserve">$1,500,000,000 4.375% Notes Due 2031 </w:t>
      </w:r>
      <w:r>
        <w:rPr>
          <w:rFonts w:ascii="Times New Roman" w:cs="Times New Roman" w:eastAsia="Times New Roman" w:hAnsi="Times New Roman"/>
          <w:sz w:val="16"/>
          <w:szCs w:val="16"/>
          <w:b w:val="1"/>
          <w:bCs w:val="1"/>
          <w:i w:val="1"/>
          <w:iCs w:val="1"/>
          <w:color w:val="auto"/>
        </w:rPr>
        <w:t xml:space="preserve">Interest payable on May 20 and November 20 </w:t>
      </w:r>
      <w:r>
        <w:rPr>
          <w:rFonts w:ascii="Times New Roman" w:cs="Times New Roman" w:eastAsia="Times New Roman" w:hAnsi="Times New Roman"/>
          <w:sz w:val="16"/>
          <w:szCs w:val="16"/>
          <w:b w:val="1"/>
          <w:bCs w:val="1"/>
          <w:color w:val="auto"/>
        </w:rPr>
        <w:t xml:space="preserve">$1,250,000,000 4.650% Notes Due 2033 </w:t>
      </w:r>
      <w:r>
        <w:rPr>
          <w:rFonts w:ascii="Times New Roman" w:cs="Times New Roman" w:eastAsia="Times New Roman" w:hAnsi="Times New Roman"/>
          <w:sz w:val="16"/>
          <w:szCs w:val="16"/>
          <w:b w:val="1"/>
          <w:bCs w:val="1"/>
          <w:i w:val="1"/>
          <w:iCs w:val="1"/>
          <w:color w:val="auto"/>
        </w:rPr>
        <w:t xml:space="preserve">Interest payable on May 20 and November 20 </w:t>
      </w:r>
      <w:r>
        <w:rPr>
          <w:rFonts w:ascii="Times New Roman" w:cs="Times New Roman" w:eastAsia="Times New Roman" w:hAnsi="Times New Roman"/>
          <w:sz w:val="16"/>
          <w:szCs w:val="16"/>
          <w:b w:val="1"/>
          <w:bCs w:val="1"/>
          <w:color w:val="auto"/>
        </w:rPr>
        <w:t xml:space="preserve">$1,500,000,000 4.850% Notes Due 2036 </w:t>
      </w:r>
      <w:r>
        <w:rPr>
          <w:rFonts w:ascii="Times New Roman" w:cs="Times New Roman" w:eastAsia="Times New Roman" w:hAnsi="Times New Roman"/>
          <w:sz w:val="16"/>
          <w:szCs w:val="16"/>
          <w:b w:val="1"/>
          <w:bCs w:val="1"/>
          <w:i w:val="1"/>
          <w:iCs w:val="1"/>
          <w:color w:val="auto"/>
        </w:rPr>
        <w:t xml:space="preserve">Interest payable on May 20 and November 20 </w:t>
      </w:r>
      <w:r>
        <w:rPr>
          <w:rFonts w:ascii="Times New Roman" w:cs="Times New Roman" w:eastAsia="Times New Roman" w:hAnsi="Times New Roman"/>
          <w:sz w:val="16"/>
          <w:szCs w:val="16"/>
          <w:b w:val="1"/>
          <w:bCs w:val="1"/>
          <w:color w:val="auto"/>
        </w:rPr>
        <w:t xml:space="preserve">$1,750,000,000 5.600% Notes Due 2056 </w:t>
      </w:r>
      <w:r>
        <w:rPr>
          <w:rFonts w:ascii="Times New Roman" w:cs="Times New Roman" w:eastAsia="Times New Roman" w:hAnsi="Times New Roman"/>
          <w:sz w:val="16"/>
          <w:szCs w:val="16"/>
          <w:b w:val="1"/>
          <w:bCs w:val="1"/>
          <w:i w:val="1"/>
          <w:iCs w:val="1"/>
          <w:color w:val="auto"/>
        </w:rPr>
        <w:t xml:space="preserve">Interest payable on May 20 and November 20 </w:t>
      </w:r>
      <w:r>
        <w:rPr>
          <w:rFonts w:ascii="Times New Roman" w:cs="Times New Roman" w:eastAsia="Times New Roman" w:hAnsi="Times New Roman"/>
          <w:sz w:val="16"/>
          <w:szCs w:val="16"/>
          <w:b w:val="1"/>
          <w:bCs w:val="1"/>
          <w:color w:val="auto"/>
        </w:rPr>
        <w:t xml:space="preserve">$1,000,000,000 5.700% Notes Due 2066 </w:t>
      </w:r>
      <w:r>
        <w:rPr>
          <w:rFonts w:ascii="Times New Roman" w:cs="Times New Roman" w:eastAsia="Times New Roman" w:hAnsi="Times New Roman"/>
          <w:sz w:val="16"/>
          <w:szCs w:val="16"/>
          <w:b w:val="1"/>
          <w:bCs w:val="1"/>
          <w:i w:val="1"/>
          <w:iCs w:val="1"/>
          <w:color w:val="auto"/>
        </w:rPr>
        <w:t>Interest payable on May 20 and November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2305685</wp:posOffset>
            </wp:positionH>
            <wp:positionV relativeFrom="paragraph">
              <wp:posOffset>697865</wp:posOffset>
            </wp:positionV>
            <wp:extent cx="110871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340" w:right="379" w:firstLine="333"/>
        <w:spacing w:after="0" w:line="268" w:lineRule="auto"/>
        <w:rPr>
          <w:sz w:val="20"/>
          <w:szCs w:val="20"/>
          <w:color w:val="auto"/>
        </w:rPr>
      </w:pPr>
      <w:r>
        <w:rPr>
          <w:rFonts w:ascii="Times New Roman" w:cs="Times New Roman" w:eastAsia="Times New Roman" w:hAnsi="Times New Roman"/>
          <w:sz w:val="12"/>
          <w:szCs w:val="12"/>
          <w:color w:val="auto"/>
        </w:rPr>
        <w:t>We are offering $750,000,000 in aggregate principal amount of floating rate notes due 2028, which will mature on May 20, 2028 (the “2028 floating rate notes”), $500,000,000 in aggregate principal amount of floating rate notes due 2029, which will mature on May 20, 2029 (the “2029 floating rate notes” and, together with the 2028 floating rate notes, the “floating rate notes”), $750,000,000 in aggregate principal amount of 4.150% notes due 2029, which will mature on May 20, 2029 (the “4.150% notes”), $1,500,000,000 in aggregate principal amount of 4.375% notes due 2031, which will mature on May 20, 2031 (the “4.375% notes”), $1,250,000,000 in aggregate principal amount of 4.650% notes due 2033, which will mature on May 20, 2033 (the “4.650% notes”), $1,500,000,000 in aggregate principal amount of</w:t>
      </w:r>
    </w:p>
    <w:p>
      <w:pPr>
        <w:spacing w:after="0" w:line="1" w:lineRule="exact"/>
        <w:rPr>
          <w:sz w:val="24"/>
          <w:szCs w:val="24"/>
          <w:color w:val="auto"/>
        </w:rPr>
      </w:pPr>
    </w:p>
    <w:p>
      <w:pPr>
        <w:ind w:left="340" w:right="359"/>
        <w:spacing w:after="0" w:line="271" w:lineRule="auto"/>
        <w:rPr>
          <w:sz w:val="20"/>
          <w:szCs w:val="20"/>
          <w:color w:val="auto"/>
        </w:rPr>
      </w:pPr>
      <w:r>
        <w:rPr>
          <w:rFonts w:ascii="Times New Roman" w:cs="Times New Roman" w:eastAsia="Times New Roman" w:hAnsi="Times New Roman"/>
          <w:sz w:val="12"/>
          <w:szCs w:val="12"/>
          <w:color w:val="auto"/>
        </w:rPr>
        <w:t>4.850% notes due 2036, which will mature on May 20, 2036 (the “4.850% notes”), $1,750,000,000 in aggregate principal amount of 5.600% notes due 2056, which will mature on May 20, 2056 (the “5.600% notes”), and $1,000,000,000 in aggregate principal amount of 5.700% notes due 2066, which will mature on May 20, 2066 (the “5.700% notes” and, collectively with the 4.150% notes, the 4.375% notes, the 4.650% notes, the 4.850% notes and the 5.600% notes, the “fixed rate notes” and, together with the floating rate notes, the “notes”). The 2028 floating rate notes will bear interest at a floating rate, reset quarterly, equal to Compounded SOFR (as defined under “Description of the Notes—Floating Rate Notes”), plus 0.350%, and the 2029 floating rate notes will bear interest at a floating rate, reset quarterly, equal to Compounded SOFR, plus 0.460%.</w:t>
      </w:r>
    </w:p>
    <w:p>
      <w:pPr>
        <w:spacing w:after="0" w:line="60" w:lineRule="exact"/>
        <w:rPr>
          <w:sz w:val="24"/>
          <w:szCs w:val="24"/>
          <w:color w:val="auto"/>
        </w:rPr>
      </w:pPr>
    </w:p>
    <w:p>
      <w:pPr>
        <w:ind w:left="340" w:right="459" w:firstLine="333"/>
        <w:spacing w:after="0" w:line="284" w:lineRule="auto"/>
        <w:rPr>
          <w:sz w:val="20"/>
          <w:szCs w:val="20"/>
          <w:color w:val="auto"/>
        </w:rPr>
      </w:pPr>
      <w:r>
        <w:rPr>
          <w:rFonts w:ascii="Times New Roman" w:cs="Times New Roman" w:eastAsia="Times New Roman" w:hAnsi="Times New Roman"/>
          <w:sz w:val="12"/>
          <w:szCs w:val="12"/>
          <w:color w:val="auto"/>
        </w:rPr>
        <w:t>Subject to the applicable mandatory redemption provisions described below for the applicable series of floating rate notes, we may not redeem the floating rate notes at our option prior to maturity. We may redeem some or all of the fixed rate notes, at our option, at the times and prices described under “Description of the Notes —Optional Redemption” and certain series of the fixed rate notes are subject to the applicable mandatory redemption provisions described below.</w:t>
      </w:r>
    </w:p>
    <w:p>
      <w:pPr>
        <w:spacing w:after="0" w:line="51" w:lineRule="exact"/>
        <w:rPr>
          <w:sz w:val="24"/>
          <w:szCs w:val="24"/>
          <w:color w:val="auto"/>
        </w:rPr>
      </w:pPr>
    </w:p>
    <w:p>
      <w:pPr>
        <w:ind w:left="340" w:right="359" w:firstLine="333"/>
        <w:spacing w:after="0" w:line="278" w:lineRule="auto"/>
        <w:rPr>
          <w:sz w:val="20"/>
          <w:szCs w:val="20"/>
          <w:color w:val="auto"/>
        </w:rPr>
      </w:pPr>
      <w:r>
        <w:rPr>
          <w:rFonts w:ascii="Times New Roman" w:cs="Times New Roman" w:eastAsia="Times New Roman" w:hAnsi="Times New Roman"/>
          <w:sz w:val="12"/>
          <w:szCs w:val="12"/>
          <w:color w:val="auto"/>
        </w:rPr>
        <w:t>We expect to use the net proceeds from the sale of the notes for general corporate purposes, which may include the repayment of outstanding commercial paper, as well as potentially to fund all or a portion of the upfront cash consideration and related fees and expenses payable in connection with our pending acquisitions of Centessa Pharmaceuticals plc (“Centessa”) and Kelonia Therapeutics, Inc. (“Kelonia”). Prior to such uses, we may temporarily invest the net proceeds in marketable securities and short-term investments.</w:t>
      </w:r>
    </w:p>
    <w:p>
      <w:pPr>
        <w:spacing w:after="0" w:line="55" w:lineRule="exact"/>
        <w:rPr>
          <w:sz w:val="24"/>
          <w:szCs w:val="24"/>
          <w:color w:val="auto"/>
        </w:rPr>
      </w:pPr>
    </w:p>
    <w:p>
      <w:pPr>
        <w:ind w:left="340" w:right="599" w:firstLine="333"/>
        <w:spacing w:after="0" w:line="303" w:lineRule="auto"/>
        <w:rPr>
          <w:sz w:val="20"/>
          <w:szCs w:val="20"/>
          <w:color w:val="auto"/>
        </w:rPr>
      </w:pPr>
      <w:r>
        <w:rPr>
          <w:rFonts w:ascii="Times New Roman" w:cs="Times New Roman" w:eastAsia="Times New Roman" w:hAnsi="Times New Roman"/>
          <w:sz w:val="12"/>
          <w:szCs w:val="12"/>
          <w:color w:val="auto"/>
        </w:rPr>
        <w:t>We currently expect the Centessa Acquisition (as defined in “Description of the Notes—Special Mandatory Redemption” and, together with the acquisition of Kelonia, the “Acquisitions”) to be completed in the third quarter of 2026 and the</w:t>
      </w:r>
    </w:p>
    <w:p>
      <w:pPr>
        <w:sectPr>
          <w:pgSz w:w="11900" w:h="16838" w:orient="portrait"/>
          <w:cols w:equalWidth="0" w:num="1">
            <w:col w:w="9019"/>
          </w:cols>
          <w:pgMar w:left="1440" w:top="204" w:right="1440" w:bottom="1440" w:gutter="0" w:footer="0" w:header="0"/>
        </w:sectPr>
      </w:pPr>
    </w:p>
    <w:bookmarkStart w:id="1" w:name="page2"/>
    <w:bookmarkEnd w:id="1"/>
    <w:p>
      <w:pPr>
        <w:ind w:left="340" w:right="459"/>
        <w:spacing w:after="0" w:line="27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acquisition of Kelonia to be completed in the second half of 2026. The sale of notes in this offering is not contingent upon the completion of either of the Acquisitions, which, if completed, will occur, in each case, subsequent to the closing of this offering. However, in the event that the Centessa Acquisition is not consummated on or prior to the date that is five (5) business days after the later of (i) March 31, 2027 or (ii) any later date as the parties to the Centessa Agreement (as defined in “Description of the Notes—Special Mandatory Redemption”) may agree as the “Outside Date” thereunder or (y) we notify the trustee in writing that we will not pursue the consummation of the Centessa Acquisition, we will be required to redeem the Centessa Mandatorily Redeemable Notes (as defined in “Description of the Notes— Special Mandatory Redemption”) then outstanding at a redemption price equal to 101% of the principal amount of such Centessa Mandatorily Redeemable Notes plus accrued and unpaid interest, if any, to, but excluding, the Centessa Special Mandatory Redemption Date (as defined in “Description of the Notes—Special Mandatory Redemption”). The net proceeds from the sale of the notes in this offering will not be deposited into an escrow account pending completion of the Centessa Acquisition or the Centessa Special Mandatory Redemption (as defined in “Description of the Notes—Special Mandatory Redemption”), nor will we be required to grant any security interest or other lien on the proceeds to secure any redemption of the notes. See “Description of the Notes—Special Mandatory Redemption.”</w:t>
      </w:r>
    </w:p>
    <w:p>
      <w:pPr>
        <w:spacing w:after="0" w:line="61" w:lineRule="exact"/>
        <w:rPr>
          <w:sz w:val="20"/>
          <w:szCs w:val="20"/>
          <w:color w:val="auto"/>
        </w:rPr>
      </w:pPr>
    </w:p>
    <w:p>
      <w:pPr>
        <w:ind w:left="340" w:right="459" w:firstLine="333"/>
        <w:spacing w:after="0" w:line="303" w:lineRule="auto"/>
        <w:rPr>
          <w:sz w:val="20"/>
          <w:szCs w:val="20"/>
          <w:color w:val="auto"/>
        </w:rPr>
      </w:pPr>
      <w:r>
        <w:rPr>
          <w:rFonts w:ascii="Times New Roman" w:cs="Times New Roman" w:eastAsia="Times New Roman" w:hAnsi="Times New Roman"/>
          <w:sz w:val="12"/>
          <w:szCs w:val="12"/>
          <w:color w:val="auto"/>
        </w:rPr>
        <w:t>The notes will be our unsecured and unsubordinated debt obligations, will rank equally with all of our other unsecured and unsubordinated indebtedness and will not have the benefit of any sinking fund. The notes will be issued in minimum denominations of $2,000 and integral multiples of $1,000 in excess of that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90170</wp:posOffset>
            </wp:positionV>
            <wp:extent cx="110871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194" w:lineRule="exact"/>
        <w:rPr>
          <w:sz w:val="20"/>
          <w:szCs w:val="20"/>
          <w:color w:val="auto"/>
        </w:rPr>
      </w:pPr>
    </w:p>
    <w:p>
      <w:pPr>
        <w:ind w:left="340" w:right="719" w:firstLine="333"/>
        <w:spacing w:after="0" w:line="276" w:lineRule="auto"/>
        <w:rPr>
          <w:sz w:val="20"/>
          <w:szCs w:val="20"/>
          <w:color w:val="auto"/>
        </w:rPr>
      </w:pPr>
      <w:r>
        <w:rPr>
          <w:rFonts w:ascii="Times New Roman" w:cs="Times New Roman" w:eastAsia="Times New Roman" w:hAnsi="Times New Roman"/>
          <w:sz w:val="15"/>
          <w:szCs w:val="15"/>
          <w:b w:val="1"/>
          <w:bCs w:val="1"/>
          <w:color w:val="auto"/>
        </w:rPr>
        <w:t>Investing in the notes involves risks. See “</w:t>
      </w:r>
      <w:r>
        <w:rPr>
          <w:rFonts w:ascii="Times New Roman" w:cs="Times New Roman" w:eastAsia="Times New Roman" w:hAnsi="Times New Roman"/>
          <w:sz w:val="15"/>
          <w:szCs w:val="15"/>
          <w:b w:val="1"/>
          <w:bCs w:val="1"/>
          <w:u w:val="single" w:color="auto"/>
          <w:color w:val="0000EE"/>
        </w:rPr>
        <w:t>Risk Factors</w:t>
      </w:r>
      <w:r>
        <w:rPr>
          <w:rFonts w:ascii="Times New Roman" w:cs="Times New Roman" w:eastAsia="Times New Roman" w:hAnsi="Times New Roman"/>
          <w:sz w:val="15"/>
          <w:szCs w:val="15"/>
          <w:b w:val="1"/>
          <w:bCs w:val="1"/>
          <w:color w:val="auto"/>
        </w:rPr>
        <w:t>” beginning on page S-5 of this prospectus supplement and in our Annual Report on Form 10-K for the year ended December 31, 2025.</w:t>
      </w:r>
    </w:p>
    <w:p>
      <w:pPr>
        <w:spacing w:after="0" w:line="40" w:lineRule="exact"/>
        <w:rPr>
          <w:sz w:val="20"/>
          <w:szCs w:val="20"/>
          <w:color w:val="auto"/>
        </w:rPr>
      </w:pPr>
    </w:p>
    <w:p>
      <w:pPr>
        <w:ind w:left="340" w:right="439" w:firstLine="333"/>
        <w:spacing w:after="0" w:line="306" w:lineRule="auto"/>
        <w:rPr>
          <w:sz w:val="20"/>
          <w:szCs w:val="20"/>
          <w:color w:val="auto"/>
        </w:rPr>
      </w:pPr>
      <w:r>
        <w:rPr>
          <w:rFonts w:ascii="Times New Roman" w:cs="Times New Roman" w:eastAsia="Times New Roman" w:hAnsi="Times New Roman"/>
          <w:sz w:val="12"/>
          <w:szCs w:val="12"/>
          <w:b w:val="1"/>
          <w:bCs w:val="1"/>
          <w:color w:val="auto"/>
        </w:rPr>
        <w:t>Neither the Securities and Exchange Commission (the “SEC”) nor any state securities commission has approved or disapproved of the notes or determined that this prospectus supplement or the accompanying prospectus is accurate or complete. Any representation to the contrary is a criminal offense.</w:t>
      </w:r>
    </w:p>
    <w:p>
      <w:pPr>
        <w:spacing w:after="0" w:line="26"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3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Price to</w:t>
            </w: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Underwriting</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Proceeds to</w:t>
            </w:r>
          </w:p>
        </w:tc>
        <w:tc>
          <w:tcPr>
            <w:tcW w:w="0" w:type="dxa"/>
            <w:vAlign w:val="bottom"/>
          </w:tcPr>
          <w:p>
            <w:pPr>
              <w:spacing w:after="0"/>
              <w:rPr>
                <w:sz w:val="1"/>
                <w:szCs w:val="1"/>
                <w:color w:val="auto"/>
              </w:rPr>
            </w:pPr>
          </w:p>
        </w:tc>
      </w:tr>
      <w:tr>
        <w:trPr>
          <w:trHeight w:val="112"/>
        </w:trPr>
        <w:tc>
          <w:tcPr>
            <w:tcW w:w="38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1"/>
                <w:szCs w:val="11"/>
                <w:b w:val="1"/>
                <w:bCs w:val="1"/>
                <w:color w:val="auto"/>
                <w:w w:val="99"/>
              </w:rPr>
              <w:t>Us Before</w:t>
            </w:r>
          </w:p>
        </w:tc>
        <w:tc>
          <w:tcPr>
            <w:tcW w:w="0" w:type="dxa"/>
            <w:vAlign w:val="bottom"/>
          </w:tcPr>
          <w:p>
            <w:pPr>
              <w:spacing w:after="0"/>
              <w:rPr>
                <w:sz w:val="1"/>
                <w:szCs w:val="1"/>
                <w:color w:val="auto"/>
              </w:rPr>
            </w:pPr>
          </w:p>
        </w:tc>
      </w:tr>
      <w:tr>
        <w:trPr>
          <w:trHeight w:val="131"/>
        </w:trPr>
        <w:tc>
          <w:tcPr>
            <w:tcW w:w="38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Public</w:t>
            </w:r>
            <w:r>
              <w:rPr>
                <w:rFonts w:ascii="Times New Roman" w:cs="Times New Roman" w:eastAsia="Times New Roman" w:hAnsi="Times New Roman"/>
                <w:sz w:val="8"/>
                <w:szCs w:val="8"/>
                <w:b w:val="1"/>
                <w:bCs w:val="1"/>
                <w:color w:val="auto"/>
              </w:rPr>
              <w:t>(1)</w:t>
            </w:r>
          </w:p>
        </w:tc>
        <w:tc>
          <w:tcPr>
            <w:tcW w:w="4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Discounts</w:t>
            </w:r>
          </w:p>
        </w:tc>
        <w:tc>
          <w:tcPr>
            <w:tcW w:w="2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Expenses</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 2028 floating rate note</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100.000%</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0.150%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99.850%</w:t>
            </w:r>
          </w:p>
        </w:tc>
        <w:tc>
          <w:tcPr>
            <w:tcW w:w="0" w:type="dxa"/>
            <w:vAlign w:val="bottom"/>
          </w:tcPr>
          <w:p>
            <w:pPr>
              <w:spacing w:after="0"/>
              <w:rPr>
                <w:sz w:val="1"/>
                <w:szCs w:val="1"/>
                <w:color w:val="auto"/>
              </w:rPr>
            </w:pPr>
          </w:p>
        </w:tc>
      </w:tr>
      <w:tr>
        <w:trPr>
          <w:trHeight w:val="153"/>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750,000,000</w:t>
            </w:r>
          </w:p>
        </w:tc>
        <w:tc>
          <w:tcPr>
            <w:tcW w:w="42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1,125,000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748,875,000</w:t>
            </w:r>
          </w:p>
        </w:tc>
        <w:tc>
          <w:tcPr>
            <w:tcW w:w="0" w:type="dxa"/>
            <w:vAlign w:val="bottom"/>
          </w:tcPr>
          <w:p>
            <w:pPr>
              <w:spacing w:after="0"/>
              <w:rPr>
                <w:sz w:val="1"/>
                <w:szCs w:val="1"/>
                <w:color w:val="auto"/>
              </w:rPr>
            </w:pPr>
          </w:p>
        </w:tc>
      </w:tr>
      <w:tr>
        <w:trPr>
          <w:trHeight w:val="15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 2029 floating rate note</w:t>
            </w:r>
          </w:p>
        </w:tc>
        <w:tc>
          <w:tcPr>
            <w:tcW w:w="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100.000%</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0.250%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99.750%</w:t>
            </w:r>
          </w:p>
        </w:tc>
        <w:tc>
          <w:tcPr>
            <w:tcW w:w="0" w:type="dxa"/>
            <w:vAlign w:val="bottom"/>
          </w:tcPr>
          <w:p>
            <w:pPr>
              <w:spacing w:after="0"/>
              <w:rPr>
                <w:sz w:val="1"/>
                <w:szCs w:val="1"/>
                <w:color w:val="auto"/>
              </w:rPr>
            </w:pPr>
          </w:p>
        </w:tc>
      </w:tr>
      <w:tr>
        <w:trPr>
          <w:trHeight w:val="153"/>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500,000,000</w:t>
            </w:r>
          </w:p>
        </w:tc>
        <w:tc>
          <w:tcPr>
            <w:tcW w:w="42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1,250,000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498,750,000</w:t>
            </w:r>
          </w:p>
        </w:tc>
        <w:tc>
          <w:tcPr>
            <w:tcW w:w="0" w:type="dxa"/>
            <w:vAlign w:val="bottom"/>
          </w:tcPr>
          <w:p>
            <w:pPr>
              <w:spacing w:after="0"/>
              <w:rPr>
                <w:sz w:val="1"/>
                <w:szCs w:val="1"/>
                <w:color w:val="auto"/>
              </w:rPr>
            </w:pPr>
          </w:p>
        </w:tc>
      </w:tr>
      <w:tr>
        <w:trPr>
          <w:trHeight w:val="15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 4.150% note</w:t>
            </w:r>
          </w:p>
        </w:tc>
        <w:tc>
          <w:tcPr>
            <w:tcW w:w="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99.941%</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0.250%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99.691%</w:t>
            </w:r>
          </w:p>
        </w:tc>
        <w:tc>
          <w:tcPr>
            <w:tcW w:w="0" w:type="dxa"/>
            <w:vAlign w:val="bottom"/>
          </w:tcPr>
          <w:p>
            <w:pPr>
              <w:spacing w:after="0"/>
              <w:rPr>
                <w:sz w:val="1"/>
                <w:szCs w:val="1"/>
                <w:color w:val="auto"/>
              </w:rPr>
            </w:pPr>
          </w:p>
        </w:tc>
      </w:tr>
      <w:tr>
        <w:trPr>
          <w:trHeight w:val="153"/>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749,557,500</w:t>
            </w:r>
          </w:p>
        </w:tc>
        <w:tc>
          <w:tcPr>
            <w:tcW w:w="42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1,875,000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747,682,500</w:t>
            </w:r>
          </w:p>
        </w:tc>
        <w:tc>
          <w:tcPr>
            <w:tcW w:w="0" w:type="dxa"/>
            <w:vAlign w:val="bottom"/>
          </w:tcPr>
          <w:p>
            <w:pPr>
              <w:spacing w:after="0"/>
              <w:rPr>
                <w:sz w:val="1"/>
                <w:szCs w:val="1"/>
                <w:color w:val="auto"/>
              </w:rPr>
            </w:pPr>
          </w:p>
        </w:tc>
      </w:tr>
      <w:tr>
        <w:trPr>
          <w:trHeight w:val="15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 4.375% note</w:t>
            </w:r>
          </w:p>
        </w:tc>
        <w:tc>
          <w:tcPr>
            <w:tcW w:w="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99.893%</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0.350%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99.543%</w:t>
            </w:r>
          </w:p>
        </w:tc>
        <w:tc>
          <w:tcPr>
            <w:tcW w:w="0" w:type="dxa"/>
            <w:vAlign w:val="bottom"/>
          </w:tcPr>
          <w:p>
            <w:pPr>
              <w:spacing w:after="0"/>
              <w:rPr>
                <w:sz w:val="1"/>
                <w:szCs w:val="1"/>
                <w:color w:val="auto"/>
              </w:rPr>
            </w:pPr>
          </w:p>
        </w:tc>
      </w:tr>
      <w:tr>
        <w:trPr>
          <w:trHeight w:val="153"/>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1,498,395,000</w:t>
            </w:r>
          </w:p>
        </w:tc>
        <w:tc>
          <w:tcPr>
            <w:tcW w:w="42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5,250,000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98"/>
              </w:rPr>
              <w:t>1,493,145,000</w:t>
            </w:r>
          </w:p>
        </w:tc>
        <w:tc>
          <w:tcPr>
            <w:tcW w:w="0" w:type="dxa"/>
            <w:vAlign w:val="bottom"/>
          </w:tcPr>
          <w:p>
            <w:pPr>
              <w:spacing w:after="0"/>
              <w:rPr>
                <w:sz w:val="1"/>
                <w:szCs w:val="1"/>
                <w:color w:val="auto"/>
              </w:rPr>
            </w:pPr>
          </w:p>
        </w:tc>
      </w:tr>
      <w:tr>
        <w:trPr>
          <w:trHeight w:val="15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 4.650% note</w:t>
            </w:r>
          </w:p>
        </w:tc>
        <w:tc>
          <w:tcPr>
            <w:tcW w:w="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99.982%</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0.375%</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99.607%</w:t>
            </w:r>
          </w:p>
        </w:tc>
        <w:tc>
          <w:tcPr>
            <w:tcW w:w="0" w:type="dxa"/>
            <w:vAlign w:val="bottom"/>
          </w:tcPr>
          <w:p>
            <w:pPr>
              <w:spacing w:after="0"/>
              <w:rPr>
                <w:sz w:val="1"/>
                <w:szCs w:val="1"/>
                <w:color w:val="auto"/>
              </w:rPr>
            </w:pPr>
          </w:p>
        </w:tc>
      </w:tr>
      <w:tr>
        <w:trPr>
          <w:trHeight w:val="153"/>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1,249,775,000</w:t>
            </w:r>
          </w:p>
        </w:tc>
        <w:tc>
          <w:tcPr>
            <w:tcW w:w="42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4,687,500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98"/>
              </w:rPr>
              <w:t>1,245,087,500</w:t>
            </w:r>
          </w:p>
        </w:tc>
        <w:tc>
          <w:tcPr>
            <w:tcW w:w="0" w:type="dxa"/>
            <w:vAlign w:val="bottom"/>
          </w:tcPr>
          <w:p>
            <w:pPr>
              <w:spacing w:after="0"/>
              <w:rPr>
                <w:sz w:val="1"/>
                <w:szCs w:val="1"/>
                <w:color w:val="auto"/>
              </w:rPr>
            </w:pPr>
          </w:p>
        </w:tc>
      </w:tr>
      <w:tr>
        <w:trPr>
          <w:trHeight w:val="15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 4.850% note</w:t>
            </w:r>
          </w:p>
        </w:tc>
        <w:tc>
          <w:tcPr>
            <w:tcW w:w="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99.640%</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0.450%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99.190%</w:t>
            </w:r>
          </w:p>
        </w:tc>
        <w:tc>
          <w:tcPr>
            <w:tcW w:w="0" w:type="dxa"/>
            <w:vAlign w:val="bottom"/>
          </w:tcPr>
          <w:p>
            <w:pPr>
              <w:spacing w:after="0"/>
              <w:rPr>
                <w:sz w:val="1"/>
                <w:szCs w:val="1"/>
                <w:color w:val="auto"/>
              </w:rPr>
            </w:pPr>
          </w:p>
        </w:tc>
      </w:tr>
      <w:tr>
        <w:trPr>
          <w:trHeight w:val="153"/>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1,494,600,000</w:t>
            </w:r>
          </w:p>
        </w:tc>
        <w:tc>
          <w:tcPr>
            <w:tcW w:w="42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6,750,000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98"/>
              </w:rPr>
              <w:t>1,487,850,000</w:t>
            </w:r>
          </w:p>
        </w:tc>
        <w:tc>
          <w:tcPr>
            <w:tcW w:w="0" w:type="dxa"/>
            <w:vAlign w:val="bottom"/>
          </w:tcPr>
          <w:p>
            <w:pPr>
              <w:spacing w:after="0"/>
              <w:rPr>
                <w:sz w:val="1"/>
                <w:szCs w:val="1"/>
                <w:color w:val="auto"/>
              </w:rPr>
            </w:pPr>
          </w:p>
        </w:tc>
      </w:tr>
      <w:tr>
        <w:trPr>
          <w:trHeight w:val="15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 5.600% note</w:t>
            </w:r>
          </w:p>
        </w:tc>
        <w:tc>
          <w:tcPr>
            <w:tcW w:w="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99.726%</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0.750%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98.976%</w:t>
            </w:r>
          </w:p>
        </w:tc>
        <w:tc>
          <w:tcPr>
            <w:tcW w:w="0" w:type="dxa"/>
            <w:vAlign w:val="bottom"/>
          </w:tcPr>
          <w:p>
            <w:pPr>
              <w:spacing w:after="0"/>
              <w:rPr>
                <w:sz w:val="1"/>
                <w:szCs w:val="1"/>
                <w:color w:val="auto"/>
              </w:rPr>
            </w:pPr>
          </w:p>
        </w:tc>
      </w:tr>
      <w:tr>
        <w:trPr>
          <w:trHeight w:val="153"/>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1,745,205,000</w:t>
            </w:r>
          </w:p>
        </w:tc>
        <w:tc>
          <w:tcPr>
            <w:tcW w:w="42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13,125,000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98"/>
              </w:rPr>
              <w:t>1,732,080,000</w:t>
            </w:r>
          </w:p>
        </w:tc>
        <w:tc>
          <w:tcPr>
            <w:tcW w:w="0" w:type="dxa"/>
            <w:vAlign w:val="bottom"/>
          </w:tcPr>
          <w:p>
            <w:pPr>
              <w:spacing w:after="0"/>
              <w:rPr>
                <w:sz w:val="1"/>
                <w:szCs w:val="1"/>
                <w:color w:val="auto"/>
              </w:rPr>
            </w:pPr>
          </w:p>
        </w:tc>
      </w:tr>
      <w:tr>
        <w:trPr>
          <w:trHeight w:val="15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 5.700% note</w:t>
            </w:r>
          </w:p>
        </w:tc>
        <w:tc>
          <w:tcPr>
            <w:tcW w:w="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99.391%</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0.750%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98.641%</w:t>
            </w:r>
          </w:p>
        </w:tc>
        <w:tc>
          <w:tcPr>
            <w:tcW w:w="0" w:type="dxa"/>
            <w:vAlign w:val="bottom"/>
          </w:tcPr>
          <w:p>
            <w:pPr>
              <w:spacing w:after="0"/>
              <w:rPr>
                <w:sz w:val="1"/>
                <w:szCs w:val="1"/>
                <w:color w:val="auto"/>
              </w:rPr>
            </w:pPr>
          </w:p>
        </w:tc>
      </w:tr>
      <w:tr>
        <w:trPr>
          <w:trHeight w:val="159"/>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993,910,000</w:t>
            </w:r>
          </w:p>
        </w:tc>
        <w:tc>
          <w:tcPr>
            <w:tcW w:w="42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7,500,000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986,410,000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67310</wp:posOffset>
            </wp:positionV>
            <wp:extent cx="57721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7215" cy="6350"/>
                    </a:xfrm>
                    <a:prstGeom prst="rect">
                      <a:avLst/>
                    </a:prstGeom>
                    <a:noFill/>
                  </pic:spPr>
                </pic:pic>
              </a:graphicData>
            </a:graphic>
          </wp:anchor>
        </w:drawing>
      </w:r>
    </w:p>
    <w:p>
      <w:pPr>
        <w:spacing w:after="0" w:line="116" w:lineRule="exact"/>
        <w:rPr>
          <w:sz w:val="20"/>
          <w:szCs w:val="20"/>
          <w:color w:val="auto"/>
        </w:rPr>
      </w:pPr>
    </w:p>
    <w:p>
      <w:pPr>
        <w:ind w:left="680" w:right="4219" w:hanging="343"/>
        <w:spacing w:after="0" w:line="408" w:lineRule="auto"/>
        <w:tabs>
          <w:tab w:leader="none" w:pos="674"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Plus accrued interest from May 20, 2026, if any, if settlement occurs after such date. The notes will not be listed on any securities exchange.</w:t>
      </w:r>
    </w:p>
    <w:p>
      <w:pPr>
        <w:spacing w:after="0" w:line="1" w:lineRule="exact"/>
        <w:rPr>
          <w:sz w:val="20"/>
          <w:szCs w:val="20"/>
          <w:color w:val="auto"/>
        </w:rPr>
      </w:pPr>
    </w:p>
    <w:p>
      <w:pPr>
        <w:ind w:left="340" w:right="419" w:firstLine="333"/>
        <w:spacing w:after="0" w:line="303" w:lineRule="auto"/>
        <w:rPr>
          <w:sz w:val="20"/>
          <w:szCs w:val="20"/>
          <w:color w:val="auto"/>
        </w:rPr>
      </w:pPr>
      <w:r>
        <w:rPr>
          <w:rFonts w:ascii="Times New Roman" w:cs="Times New Roman" w:eastAsia="Times New Roman" w:hAnsi="Times New Roman"/>
          <w:sz w:val="12"/>
          <w:szCs w:val="12"/>
          <w:color w:val="auto"/>
        </w:rPr>
        <w:t>The underwriters expect to deliver the notes to investors in book-entry form through The Depository Trust Company for the accounts of its participants, including Clearstream Banking, société anonyme, and the Euroclear System, on or about May 20, 2026, against payment in immediately available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90170</wp:posOffset>
            </wp:positionV>
            <wp:extent cx="110871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p>
      <w:pPr>
        <w:spacing w:after="0" w:line="200" w:lineRule="exact"/>
        <w:rPr>
          <w:sz w:val="20"/>
          <w:szCs w:val="20"/>
          <w:color w:val="auto"/>
        </w:rPr>
      </w:pPr>
    </w:p>
    <w:p>
      <w:pPr>
        <w:spacing w:after="0" w:line="285" w:lineRule="exact"/>
        <w:rPr>
          <w:sz w:val="20"/>
          <w:szCs w:val="20"/>
          <w:color w:val="auto"/>
        </w:rPr>
      </w:pPr>
    </w:p>
    <w:p>
      <w:pPr>
        <w:ind w:left="560" w:hanging="28"/>
        <w:spacing w:after="0" w:line="471" w:lineRule="auto"/>
        <w:rPr>
          <w:sz w:val="20"/>
          <w:szCs w:val="20"/>
          <w:color w:val="auto"/>
        </w:rPr>
      </w:pPr>
      <w:r>
        <w:rPr>
          <w:rFonts w:ascii="Times New Roman" w:cs="Times New Roman" w:eastAsia="Times New Roman" w:hAnsi="Times New Roman"/>
          <w:sz w:val="16"/>
          <w:szCs w:val="16"/>
          <w:b w:val="1"/>
          <w:bCs w:val="1"/>
          <w:color w:val="auto"/>
        </w:rPr>
        <w:t>Morgan Stanley BNP PARIBAS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Citigroup</w:t>
      </w:r>
    </w:p>
    <w:p>
      <w:pPr>
        <w:spacing w:after="0" w:line="1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J.P. Morgan</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Joint Book-Running Managers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Deutsche Bank Securities</w:t>
      </w:r>
    </w:p>
    <w:p>
      <w:pPr>
        <w:spacing w:after="0" w:line="18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b w:val="1"/>
          <w:bCs w:val="1"/>
          <w:color w:val="auto"/>
        </w:rPr>
        <w:t>BofA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Goldman Sachs &amp; Co. LLC</w:t>
      </w:r>
    </w:p>
    <w:p>
      <w:pPr>
        <w:spacing w:after="0" w:line="184" w:lineRule="exact"/>
        <w:rPr>
          <w:sz w:val="20"/>
          <w:szCs w:val="20"/>
          <w:color w:val="auto"/>
        </w:rPr>
      </w:pPr>
    </w:p>
    <w:p>
      <w:pPr>
        <w:ind w:left="180"/>
        <w:spacing w:after="0"/>
        <w:tabs>
          <w:tab w:leader="none" w:pos="1500" w:val="left"/>
        </w:tabs>
        <w:rPr>
          <w:sz w:val="20"/>
          <w:szCs w:val="20"/>
          <w:color w:val="auto"/>
        </w:rPr>
      </w:pPr>
      <w:r>
        <w:rPr>
          <w:rFonts w:ascii="Times New Roman" w:cs="Times New Roman" w:eastAsia="Times New Roman" w:hAnsi="Times New Roman"/>
          <w:sz w:val="16"/>
          <w:szCs w:val="16"/>
          <w:b w:val="1"/>
          <w:bCs w:val="1"/>
          <w:color w:val="auto"/>
        </w:rPr>
        <w:t>Barclays</w:t>
      </w:r>
      <w:r>
        <w:rPr>
          <w:sz w:val="20"/>
          <w:szCs w:val="20"/>
          <w:color w:val="auto"/>
        </w:rPr>
        <w:tab/>
      </w:r>
      <w:r>
        <w:rPr>
          <w:rFonts w:ascii="Times New Roman" w:cs="Times New Roman" w:eastAsia="Times New Roman" w:hAnsi="Times New Roman"/>
          <w:sz w:val="16"/>
          <w:szCs w:val="16"/>
          <w:b w:val="1"/>
          <w:bCs w:val="1"/>
          <w:color w:val="auto"/>
        </w:rPr>
        <w:t>Mizuho</w:t>
      </w:r>
    </w:p>
    <w:p>
      <w:pPr>
        <w:spacing w:after="0" w:line="171" w:lineRule="exact"/>
        <w:rPr>
          <w:sz w:val="20"/>
          <w:szCs w:val="20"/>
          <w:color w:val="auto"/>
        </w:rPr>
      </w:pPr>
    </w:p>
    <w:p>
      <w:pPr>
        <w:sectPr>
          <w:pgSz w:w="11900" w:h="16838" w:orient="portrait"/>
          <w:cols w:equalWidth="0" w:num="4">
            <w:col w:w="1640" w:space="580"/>
            <w:col w:w="1060" w:space="160"/>
            <w:col w:w="2220" w:space="720"/>
            <w:col w:w="2639"/>
          </w:cols>
          <w:pgMar w:left="1440" w:top="241"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b w:val="1"/>
          <w:bCs w:val="1"/>
          <w:i w:val="1"/>
          <w:iCs w:val="1"/>
          <w:color w:val="auto"/>
        </w:rPr>
        <w:t>Co-Managers</w:t>
      </w:r>
    </w:p>
    <w:p>
      <w:pPr>
        <w:sectPr>
          <w:pgSz w:w="11900" w:h="16838" w:orient="portrait"/>
          <w:cols w:equalWidth="0" w:num="1">
            <w:col w:w="9019"/>
          </w:cols>
          <w:pgMar w:left="1440" w:top="241" w:right="1440" w:bottom="1440" w:gutter="0" w:footer="0" w:header="0"/>
          <w:type w:val="continuous"/>
        </w:sectPr>
      </w:pPr>
    </w:p>
    <w:p>
      <w:pPr>
        <w:spacing w:after="0" w:line="20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6"/>
          <w:szCs w:val="16"/>
          <w:b w:val="1"/>
          <w:bCs w:val="1"/>
          <w:color w:val="auto"/>
        </w:rPr>
        <w:t>Loop Capital Markets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Penserra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125730</wp:posOffset>
            </wp:positionV>
            <wp:extent cx="110871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3299"/>
          </w:cols>
          <w:pgMar w:left="1440" w:top="241" w:right="1440" w:bottom="1440" w:gutter="0" w:footer="0" w:header="0"/>
          <w:type w:val="continuous"/>
        </w:sectPr>
      </w:pP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date of this prospectus supplement is May 6, 2026.</w:t>
      </w:r>
    </w:p>
    <w:p>
      <w:pPr>
        <w:sectPr>
          <w:pgSz w:w="11900" w:h="16838" w:orient="portrait"/>
          <w:cols w:equalWidth="0" w:num="1">
            <w:col w:w="9019"/>
          </w:cols>
          <w:pgMar w:left="1440" w:top="241" w:right="1440" w:bottom="1440" w:gutter="0" w:footer="0" w:header="0"/>
          <w:type w:val="continuous"/>
        </w:sectPr>
      </w:pPr>
    </w:p>
    <w:bookmarkStart w:id="2" w:name="page3"/>
    <w:bookmarkEnd w:id="2"/>
    <w:p>
      <w:pPr>
        <w:ind w:left="340" w:right="359" w:firstLine="333"/>
        <w:spacing w:after="0" w:line="24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We are responsible for the information contained in this prospectus supplement, the accompanying prospectus and any permitted free writing prospectus. We have not, and the underwriters have not, authorized anyone to provide you with different or additional information. We and the underwriters take no responsibility for, and can provide no assurance as to the reliability of, any information that others may give. We are not, and the underwriters are not, making an offer to sell, or the solicitation of an offer to buy, any of these securities in any jurisdiction where an offer or sale is not permitted. You should not assume that the information contained in this prospectus supplement, the accompanying prospectus or any permitted free writing prospectus is accurate as of any date other than the date on the front cover of this prospectus supplement or the accompanying prospectus, or the date of any such permitted free writing prospectus, as the case may be, or that the information incorporated by reference herein or therein is accurate as of any date other than the date of the relevant report or other document in which such information is contained.</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131"/>
        </w:trPr>
        <w:tc>
          <w:tcPr>
            <w:tcW w:w="260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color w:val="0000EE"/>
                <w:w w:val="96"/>
              </w:rPr>
              <w:t>ABOUT THIS PROSPECTUS SUPPLEMENT</w:t>
            </w:r>
          </w:p>
        </w:tc>
        <w:tc>
          <w:tcPr>
            <w:tcW w:w="5380" w:type="dxa"/>
            <w:vAlign w:val="bottom"/>
            <w:gridSpan w:val="4"/>
            <w:vMerge w:val="restart"/>
          </w:tcPr>
          <w:p>
            <w:pPr>
              <w:spacing w:after="0"/>
              <w:rPr>
                <w:sz w:val="11"/>
                <w:szCs w:val="11"/>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8"/>
        </w:trPr>
        <w:tc>
          <w:tcPr>
            <w:tcW w:w="2600" w:type="dxa"/>
            <w:vAlign w:val="bottom"/>
            <w:tcBorders>
              <w:bottom w:val="single" w:sz="8" w:color="0000EE"/>
            </w:tcBorders>
            <w:gridSpan w:val="12"/>
            <w:vMerge w:val="continue"/>
          </w:tcPr>
          <w:p>
            <w:pPr>
              <w:spacing w:after="0"/>
              <w:rPr>
                <w:sz w:val="10"/>
                <w:szCs w:val="10"/>
                <w:color w:val="auto"/>
              </w:rPr>
            </w:pPr>
          </w:p>
        </w:tc>
        <w:tc>
          <w:tcPr>
            <w:tcW w:w="53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jc w:val="right"/>
              <w:spacing w:after="0" w:line="123" w:lineRule="exact"/>
              <w:rPr>
                <w:sz w:val="20"/>
                <w:szCs w:val="20"/>
                <w:color w:val="auto"/>
              </w:rPr>
            </w:pPr>
            <w:r>
              <w:rPr>
                <w:rFonts w:ascii="Times New Roman" w:cs="Times New Roman" w:eastAsia="Times New Roman" w:hAnsi="Times New Roman"/>
                <w:sz w:val="14"/>
                <w:szCs w:val="14"/>
                <w:color w:val="auto"/>
              </w:rPr>
              <w:t>S-1</w:t>
            </w:r>
          </w:p>
        </w:tc>
        <w:tc>
          <w:tcPr>
            <w:tcW w:w="0" w:type="dxa"/>
            <w:vAlign w:val="bottom"/>
          </w:tcPr>
          <w:p>
            <w:pPr>
              <w:spacing w:after="0"/>
              <w:rPr>
                <w:sz w:val="1"/>
                <w:szCs w:val="1"/>
                <w:color w:val="auto"/>
              </w:rPr>
            </w:pPr>
          </w:p>
        </w:tc>
      </w:tr>
      <w:tr>
        <w:trPr>
          <w:trHeight w:val="143"/>
        </w:trPr>
        <w:tc>
          <w:tcPr>
            <w:tcW w:w="4040" w:type="dxa"/>
            <w:vAlign w:val="bottom"/>
            <w:tcBorders>
              <w:bottom w:val="single" w:sz="8" w:color="0000EE"/>
            </w:tcBorders>
            <w:gridSpan w:val="14"/>
          </w:tcPr>
          <w:p>
            <w:pPr>
              <w:spacing w:after="0" w:line="143" w:lineRule="exact"/>
              <w:rPr>
                <w:sz w:val="20"/>
                <w:szCs w:val="20"/>
                <w:color w:val="auto"/>
              </w:rPr>
            </w:pPr>
            <w:r>
              <w:rPr>
                <w:rFonts w:ascii="Times New Roman" w:cs="Times New Roman" w:eastAsia="Times New Roman" w:hAnsi="Times New Roman"/>
                <w:sz w:val="14"/>
                <w:szCs w:val="14"/>
                <w:color w:val="0000EE"/>
                <w:w w:val="95"/>
              </w:rPr>
              <w:t>SPECIAL NOTE REGARDING FORWARD-LOOKING STATEMENTS</w:t>
            </w:r>
          </w:p>
        </w:tc>
        <w:tc>
          <w:tcPr>
            <w:tcW w:w="39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S-2</w:t>
            </w:r>
          </w:p>
        </w:tc>
        <w:tc>
          <w:tcPr>
            <w:tcW w:w="0" w:type="dxa"/>
            <w:vAlign w:val="bottom"/>
          </w:tcPr>
          <w:p>
            <w:pPr>
              <w:spacing w:after="0"/>
              <w:rPr>
                <w:sz w:val="1"/>
                <w:szCs w:val="1"/>
                <w:color w:val="auto"/>
              </w:rPr>
            </w:pPr>
          </w:p>
        </w:tc>
      </w:tr>
      <w:tr>
        <w:trPr>
          <w:trHeight w:val="143"/>
        </w:trPr>
        <w:tc>
          <w:tcPr>
            <w:tcW w:w="1660" w:type="dxa"/>
            <w:vAlign w:val="bottom"/>
            <w:tcBorders>
              <w:bottom w:val="single" w:sz="8" w:color="0000EE"/>
            </w:tcBorders>
            <w:gridSpan w:val="8"/>
          </w:tcPr>
          <w:p>
            <w:pPr>
              <w:spacing w:after="0" w:line="143" w:lineRule="exact"/>
              <w:rPr>
                <w:sz w:val="20"/>
                <w:szCs w:val="20"/>
                <w:color w:val="auto"/>
              </w:rPr>
            </w:pPr>
            <w:r>
              <w:rPr>
                <w:rFonts w:ascii="Times New Roman" w:cs="Times New Roman" w:eastAsia="Times New Roman" w:hAnsi="Times New Roman"/>
                <w:sz w:val="14"/>
                <w:szCs w:val="14"/>
                <w:color w:val="0000EE"/>
                <w:w w:val="94"/>
              </w:rPr>
              <w:t>ELI LILLY AND COMPANY</w:t>
            </w:r>
          </w:p>
        </w:tc>
        <w:tc>
          <w:tcPr>
            <w:tcW w:w="6320" w:type="dxa"/>
            <w:vAlign w:val="bottom"/>
            <w:gridSpan w:val="8"/>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S-4</w:t>
            </w:r>
          </w:p>
        </w:tc>
        <w:tc>
          <w:tcPr>
            <w:tcW w:w="0" w:type="dxa"/>
            <w:vAlign w:val="bottom"/>
          </w:tcPr>
          <w:p>
            <w:pPr>
              <w:spacing w:after="0"/>
              <w:rPr>
                <w:sz w:val="1"/>
                <w:szCs w:val="1"/>
                <w:color w:val="auto"/>
              </w:rPr>
            </w:pPr>
          </w:p>
        </w:tc>
      </w:tr>
      <w:tr>
        <w:trPr>
          <w:trHeight w:val="143"/>
        </w:trPr>
        <w:tc>
          <w:tcPr>
            <w:tcW w:w="7980" w:type="dxa"/>
            <w:vAlign w:val="bottom"/>
            <w:gridSpan w:val="16"/>
          </w:tcPr>
          <w:p>
            <w:pPr>
              <w:spacing w:after="0" w:line="143" w:lineRule="exact"/>
              <w:rPr>
                <w:sz w:val="20"/>
                <w:szCs w:val="20"/>
                <w:color w:val="auto"/>
              </w:rPr>
            </w:pPr>
            <w:r>
              <w:rPr>
                <w:rFonts w:ascii="Times New Roman" w:cs="Times New Roman" w:eastAsia="Times New Roman" w:hAnsi="Times New Roman"/>
                <w:sz w:val="14"/>
                <w:szCs w:val="14"/>
                <w:color w:val="0000EE"/>
              </w:rPr>
              <w:t>RISK FACTORS</w:t>
            </w:r>
          </w:p>
        </w:tc>
        <w:tc>
          <w:tcPr>
            <w:tcW w:w="100" w:type="dxa"/>
            <w:vAlign w:val="bottom"/>
          </w:tcPr>
          <w:p>
            <w:pPr>
              <w:spacing w:after="0"/>
              <w:rPr>
                <w:sz w:val="12"/>
                <w:szCs w:val="12"/>
                <w:color w:val="auto"/>
              </w:rPr>
            </w:pPr>
          </w:p>
        </w:tc>
        <w:tc>
          <w:tcPr>
            <w:tcW w:w="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S-5</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200" w:type="dxa"/>
            <w:vAlign w:val="bottom"/>
            <w:tcBorders>
              <w:bottom w:val="single" w:sz="8" w:color="0000EE"/>
            </w:tcBorders>
            <w:gridSpan w:val="6"/>
          </w:tcPr>
          <w:p>
            <w:pPr>
              <w:spacing w:after="0" w:line="143" w:lineRule="exact"/>
              <w:rPr>
                <w:sz w:val="20"/>
                <w:szCs w:val="20"/>
                <w:color w:val="auto"/>
              </w:rPr>
            </w:pPr>
            <w:r>
              <w:rPr>
                <w:rFonts w:ascii="Times New Roman" w:cs="Times New Roman" w:eastAsia="Times New Roman" w:hAnsi="Times New Roman"/>
                <w:sz w:val="14"/>
                <w:szCs w:val="14"/>
                <w:color w:val="0000EE"/>
                <w:w w:val="95"/>
              </w:rPr>
              <w:t>USE OF PROCEEDS</w:t>
            </w:r>
          </w:p>
        </w:tc>
        <w:tc>
          <w:tcPr>
            <w:tcW w:w="6780" w:type="dxa"/>
            <w:vAlign w:val="bottom"/>
            <w:gridSpan w:val="10"/>
          </w:tcPr>
          <w:p>
            <w:pPr>
              <w:spacing w:after="0"/>
              <w:rPr>
                <w:sz w:val="12"/>
                <w:szCs w:val="12"/>
                <w:color w:val="auto"/>
              </w:rPr>
            </w:pPr>
          </w:p>
        </w:tc>
        <w:tc>
          <w:tcPr>
            <w:tcW w:w="3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S-10</w:t>
            </w:r>
          </w:p>
        </w:tc>
        <w:tc>
          <w:tcPr>
            <w:tcW w:w="0" w:type="dxa"/>
            <w:vAlign w:val="bottom"/>
          </w:tcPr>
          <w:p>
            <w:pPr>
              <w:spacing w:after="0"/>
              <w:rPr>
                <w:sz w:val="1"/>
                <w:szCs w:val="1"/>
                <w:color w:val="auto"/>
              </w:rPr>
            </w:pPr>
          </w:p>
        </w:tc>
      </w:tr>
      <w:tr>
        <w:trPr>
          <w:trHeight w:val="143"/>
        </w:trPr>
        <w:tc>
          <w:tcPr>
            <w:tcW w:w="7980" w:type="dxa"/>
            <w:vAlign w:val="bottom"/>
            <w:gridSpan w:val="16"/>
          </w:tcPr>
          <w:p>
            <w:pPr>
              <w:spacing w:after="0" w:line="143" w:lineRule="exact"/>
              <w:rPr>
                <w:sz w:val="20"/>
                <w:szCs w:val="20"/>
                <w:color w:val="auto"/>
              </w:rPr>
            </w:pPr>
            <w:r>
              <w:rPr>
                <w:rFonts w:ascii="Times New Roman" w:cs="Times New Roman" w:eastAsia="Times New Roman" w:hAnsi="Times New Roman"/>
                <w:sz w:val="14"/>
                <w:szCs w:val="14"/>
                <w:color w:val="0000EE"/>
              </w:rPr>
              <w:t>DESCRIPTION OF THE NOTES</w:t>
            </w:r>
          </w:p>
        </w:tc>
        <w:tc>
          <w:tcPr>
            <w:tcW w:w="3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S-11</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980" w:type="dxa"/>
            <w:vAlign w:val="bottom"/>
            <w:gridSpan w:val="16"/>
          </w:tcPr>
          <w:p>
            <w:pPr>
              <w:spacing w:after="0" w:line="143" w:lineRule="exact"/>
              <w:rPr>
                <w:sz w:val="20"/>
                <w:szCs w:val="20"/>
                <w:color w:val="auto"/>
              </w:rPr>
            </w:pPr>
            <w:r>
              <w:rPr>
                <w:rFonts w:ascii="Times New Roman" w:cs="Times New Roman" w:eastAsia="Times New Roman" w:hAnsi="Times New Roman"/>
                <w:sz w:val="14"/>
                <w:szCs w:val="14"/>
                <w:color w:val="0000EE"/>
              </w:rPr>
              <w:t>MATERIAL U.S. FEDERAL INCOME TAX CONSIDERATIONS</w:t>
            </w:r>
          </w:p>
        </w:tc>
        <w:tc>
          <w:tcPr>
            <w:tcW w:w="3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S-26</w:t>
            </w:r>
          </w:p>
        </w:tc>
        <w:tc>
          <w:tcPr>
            <w:tcW w:w="0" w:type="dxa"/>
            <w:vAlign w:val="bottom"/>
          </w:tcPr>
          <w:p>
            <w:pPr>
              <w:spacing w:after="0"/>
              <w:rPr>
                <w:sz w:val="1"/>
                <w:szCs w:val="1"/>
                <w:color w:val="auto"/>
              </w:rPr>
            </w:pPr>
          </w:p>
        </w:tc>
      </w:tr>
      <w:tr>
        <w:trPr>
          <w:trHeight w:val="143"/>
        </w:trPr>
        <w:tc>
          <w:tcPr>
            <w:tcW w:w="3680" w:type="dxa"/>
            <w:vAlign w:val="bottom"/>
            <w:tcBorders>
              <w:top w:val="single" w:sz="8" w:color="0000EE"/>
            </w:tcBorders>
            <w:gridSpan w:val="13"/>
          </w:tcPr>
          <w:p>
            <w:pPr>
              <w:spacing w:after="0" w:line="143" w:lineRule="exact"/>
              <w:rPr>
                <w:sz w:val="20"/>
                <w:szCs w:val="20"/>
                <w:color w:val="auto"/>
              </w:rPr>
            </w:pPr>
            <w:r>
              <w:rPr>
                <w:rFonts w:ascii="Times New Roman" w:cs="Times New Roman" w:eastAsia="Times New Roman" w:hAnsi="Times New Roman"/>
                <w:sz w:val="14"/>
                <w:szCs w:val="14"/>
                <w:color w:val="0000EE"/>
              </w:rPr>
              <w:t>UNDERWRITING</w:t>
            </w:r>
          </w:p>
        </w:tc>
        <w:tc>
          <w:tcPr>
            <w:tcW w:w="4300" w:type="dxa"/>
            <w:vAlign w:val="bottom"/>
            <w:gridSpan w:val="3"/>
          </w:tcPr>
          <w:p>
            <w:pPr>
              <w:spacing w:after="0"/>
              <w:rPr>
                <w:sz w:val="12"/>
                <w:szCs w:val="12"/>
                <w:color w:val="auto"/>
              </w:rPr>
            </w:pPr>
          </w:p>
        </w:tc>
        <w:tc>
          <w:tcPr>
            <w:tcW w:w="3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S-31</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100" w:type="dxa"/>
            <w:vAlign w:val="bottom"/>
            <w:tcBorders>
              <w:bottom w:val="single" w:sz="8" w:color="0000EE"/>
            </w:tcBorders>
            <w:gridSpan w:val="5"/>
          </w:tcPr>
          <w:p>
            <w:pPr>
              <w:spacing w:after="0" w:line="143" w:lineRule="exact"/>
              <w:rPr>
                <w:sz w:val="20"/>
                <w:szCs w:val="20"/>
                <w:color w:val="auto"/>
              </w:rPr>
            </w:pPr>
            <w:r>
              <w:rPr>
                <w:rFonts w:ascii="Times New Roman" w:cs="Times New Roman" w:eastAsia="Times New Roman" w:hAnsi="Times New Roman"/>
                <w:sz w:val="14"/>
                <w:szCs w:val="14"/>
                <w:color w:val="0000EE"/>
                <w:w w:val="94"/>
              </w:rPr>
              <w:t>LEGAL MATTERS</w:t>
            </w:r>
          </w:p>
        </w:tc>
        <w:tc>
          <w:tcPr>
            <w:tcW w:w="6880" w:type="dxa"/>
            <w:vAlign w:val="bottom"/>
            <w:gridSpan w:val="11"/>
          </w:tcPr>
          <w:p>
            <w:pPr>
              <w:spacing w:after="0"/>
              <w:rPr>
                <w:sz w:val="12"/>
                <w:szCs w:val="12"/>
                <w:color w:val="auto"/>
              </w:rPr>
            </w:pPr>
          </w:p>
        </w:tc>
        <w:tc>
          <w:tcPr>
            <w:tcW w:w="3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S-37</w:t>
            </w:r>
          </w:p>
        </w:tc>
        <w:tc>
          <w:tcPr>
            <w:tcW w:w="0" w:type="dxa"/>
            <w:vAlign w:val="bottom"/>
          </w:tcPr>
          <w:p>
            <w:pPr>
              <w:spacing w:after="0"/>
              <w:rPr>
                <w:sz w:val="1"/>
                <w:szCs w:val="1"/>
                <w:color w:val="auto"/>
              </w:rPr>
            </w:pPr>
          </w:p>
        </w:tc>
      </w:tr>
      <w:tr>
        <w:trPr>
          <w:trHeight w:val="143"/>
        </w:trPr>
        <w:tc>
          <w:tcPr>
            <w:tcW w:w="580" w:type="dxa"/>
            <w:vAlign w:val="bottom"/>
            <w:tcBorders>
              <w:bottom w:val="single" w:sz="8" w:color="0000EE"/>
            </w:tcBorders>
            <w:gridSpan w:val="2"/>
          </w:tcPr>
          <w:p>
            <w:pPr>
              <w:spacing w:after="0" w:line="143" w:lineRule="exact"/>
              <w:rPr>
                <w:sz w:val="20"/>
                <w:szCs w:val="20"/>
                <w:color w:val="auto"/>
              </w:rPr>
            </w:pPr>
            <w:r>
              <w:rPr>
                <w:rFonts w:ascii="Times New Roman" w:cs="Times New Roman" w:eastAsia="Times New Roman" w:hAnsi="Times New Roman"/>
                <w:sz w:val="14"/>
                <w:szCs w:val="14"/>
                <w:color w:val="0000EE"/>
                <w:w w:val="92"/>
              </w:rPr>
              <w:t>EXPERTS</w:t>
            </w:r>
          </w:p>
        </w:tc>
        <w:tc>
          <w:tcPr>
            <w:tcW w:w="7400" w:type="dxa"/>
            <w:vAlign w:val="bottom"/>
            <w:gridSpan w:val="14"/>
          </w:tcPr>
          <w:p>
            <w:pPr>
              <w:spacing w:after="0"/>
              <w:rPr>
                <w:sz w:val="12"/>
                <w:szCs w:val="12"/>
                <w:color w:val="auto"/>
              </w:rPr>
            </w:pPr>
          </w:p>
        </w:tc>
        <w:tc>
          <w:tcPr>
            <w:tcW w:w="3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S-38</w:t>
            </w:r>
          </w:p>
        </w:tc>
        <w:tc>
          <w:tcPr>
            <w:tcW w:w="0" w:type="dxa"/>
            <w:vAlign w:val="bottom"/>
          </w:tcPr>
          <w:p>
            <w:pPr>
              <w:spacing w:after="0"/>
              <w:rPr>
                <w:sz w:val="1"/>
                <w:szCs w:val="1"/>
                <w:color w:val="auto"/>
              </w:rPr>
            </w:pPr>
          </w:p>
        </w:tc>
      </w:tr>
      <w:tr>
        <w:trPr>
          <w:trHeight w:val="143"/>
        </w:trPr>
        <w:tc>
          <w:tcPr>
            <w:tcW w:w="7480" w:type="dxa"/>
            <w:vAlign w:val="bottom"/>
            <w:tcBorders>
              <w:bottom w:val="single" w:sz="8" w:color="0000EE"/>
            </w:tcBorders>
            <w:gridSpan w:val="15"/>
          </w:tcPr>
          <w:p>
            <w:pPr>
              <w:spacing w:after="0" w:line="143" w:lineRule="exact"/>
              <w:rPr>
                <w:sz w:val="20"/>
                <w:szCs w:val="20"/>
                <w:color w:val="auto"/>
              </w:rPr>
            </w:pPr>
            <w:r>
              <w:rPr>
                <w:rFonts w:ascii="Times New Roman" w:cs="Times New Roman" w:eastAsia="Times New Roman" w:hAnsi="Times New Roman"/>
                <w:sz w:val="14"/>
                <w:szCs w:val="14"/>
                <w:color w:val="0000EE"/>
                <w:w w:val="96"/>
              </w:rPr>
              <w:t>WHERE YOU CAN FIND MORE INFORMATION; DOCUMENTS INCORPORATED BY REFERENCE INTO THIS PROSPECTUS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980" w:type="dxa"/>
            <w:vAlign w:val="bottom"/>
            <w:gridSpan w:val="16"/>
          </w:tcPr>
          <w:p>
            <w:pPr>
              <w:ind w:left="140"/>
              <w:spacing w:after="0" w:line="143" w:lineRule="exact"/>
              <w:rPr>
                <w:sz w:val="20"/>
                <w:szCs w:val="20"/>
                <w:color w:val="auto"/>
              </w:rPr>
            </w:pPr>
            <w:r>
              <w:rPr>
                <w:rFonts w:ascii="Times New Roman" w:cs="Times New Roman" w:eastAsia="Times New Roman" w:hAnsi="Times New Roman"/>
                <w:sz w:val="14"/>
                <w:szCs w:val="14"/>
                <w:color w:val="0000EE"/>
              </w:rPr>
              <w:t>SUPPLEMENT</w:t>
            </w:r>
          </w:p>
        </w:tc>
        <w:tc>
          <w:tcPr>
            <w:tcW w:w="3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S-39</w:t>
            </w:r>
          </w:p>
        </w:tc>
        <w:tc>
          <w:tcPr>
            <w:tcW w:w="0" w:type="dxa"/>
            <w:vAlign w:val="bottom"/>
          </w:tcPr>
          <w:p>
            <w:pPr>
              <w:spacing w:after="0"/>
              <w:rPr>
                <w:sz w:val="1"/>
                <w:szCs w:val="1"/>
                <w:color w:val="auto"/>
              </w:rPr>
            </w:pPr>
          </w:p>
        </w:tc>
      </w:tr>
      <w:tr>
        <w:trPr>
          <w:trHeight w:val="500"/>
        </w:trPr>
        <w:tc>
          <w:tcPr>
            <w:tcW w:w="14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80" w:type="dxa"/>
            <w:vAlign w:val="bottom"/>
            <w:gridSpan w:val="16"/>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3"/>
        </w:trPr>
        <w:tc>
          <w:tcPr>
            <w:tcW w:w="7980" w:type="dxa"/>
            <w:vAlign w:val="bottom"/>
            <w:gridSpan w:val="16"/>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3"/>
        </w:trPr>
        <w:tc>
          <w:tcPr>
            <w:tcW w:w="1680" w:type="dxa"/>
            <w:vAlign w:val="bottom"/>
            <w:tcBorders>
              <w:top w:val="single" w:sz="8" w:color="0000EE"/>
            </w:tcBorders>
            <w:gridSpan w:val="9"/>
          </w:tcPr>
          <w:p>
            <w:pPr>
              <w:spacing w:after="0" w:line="143" w:lineRule="exact"/>
              <w:rPr>
                <w:sz w:val="20"/>
                <w:szCs w:val="20"/>
                <w:color w:val="auto"/>
              </w:rPr>
            </w:pPr>
            <w:r>
              <w:rPr>
                <w:rFonts w:ascii="Times New Roman" w:cs="Times New Roman" w:eastAsia="Times New Roman" w:hAnsi="Times New Roman"/>
                <w:sz w:val="14"/>
                <w:szCs w:val="14"/>
                <w:color w:val="0000EE"/>
              </w:rPr>
              <w:t>RISK FACTORS</w:t>
            </w:r>
          </w:p>
        </w:tc>
        <w:tc>
          <w:tcPr>
            <w:tcW w:w="6300" w:type="dxa"/>
            <w:vAlign w:val="bottom"/>
            <w:gridSpan w:val="7"/>
          </w:tcPr>
          <w:p>
            <w:pPr>
              <w:spacing w:after="0"/>
              <w:rPr>
                <w:sz w:val="12"/>
                <w:szCs w:val="12"/>
                <w:color w:val="auto"/>
              </w:rPr>
            </w:pPr>
          </w:p>
        </w:tc>
        <w:tc>
          <w:tcPr>
            <w:tcW w:w="3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940" w:type="dxa"/>
            <w:vAlign w:val="bottom"/>
            <w:gridSpan w:val="3"/>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980" w:type="dxa"/>
            <w:vAlign w:val="bottom"/>
            <w:gridSpan w:val="16"/>
          </w:tcPr>
          <w:p>
            <w:pPr>
              <w:spacing w:after="0" w:line="143" w:lineRule="exact"/>
              <w:rPr>
                <w:sz w:val="20"/>
                <w:szCs w:val="20"/>
                <w:color w:val="auto"/>
              </w:rPr>
            </w:pPr>
            <w:r>
              <w:rPr>
                <w:rFonts w:ascii="Times New Roman" w:cs="Times New Roman" w:eastAsia="Times New Roman" w:hAnsi="Times New Roman"/>
                <w:sz w:val="14"/>
                <w:szCs w:val="14"/>
                <w:color w:val="0000EE"/>
              </w:rPr>
              <w:t>WHERE YOU CAN FIND MORE INFORMATION; DOCUMENTS INCORPORATED BY REFERENCE INTO THIS PROSPECTUS</w:t>
            </w:r>
          </w:p>
        </w:tc>
        <w:tc>
          <w:tcPr>
            <w:tcW w:w="3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3"/>
        </w:trPr>
        <w:tc>
          <w:tcPr>
            <w:tcW w:w="1660" w:type="dxa"/>
            <w:vAlign w:val="bottom"/>
            <w:tcBorders>
              <w:top w:val="single" w:sz="8" w:color="0000EE"/>
              <w:bottom w:val="single" w:sz="8" w:color="0000EE"/>
            </w:tcBorders>
            <w:gridSpan w:val="8"/>
          </w:tcPr>
          <w:p>
            <w:pPr>
              <w:spacing w:after="0" w:line="143" w:lineRule="exact"/>
              <w:rPr>
                <w:sz w:val="20"/>
                <w:szCs w:val="20"/>
                <w:color w:val="auto"/>
              </w:rPr>
            </w:pPr>
            <w:r>
              <w:rPr>
                <w:rFonts w:ascii="Times New Roman" w:cs="Times New Roman" w:eastAsia="Times New Roman" w:hAnsi="Times New Roman"/>
                <w:sz w:val="14"/>
                <w:szCs w:val="14"/>
                <w:color w:val="0000EE"/>
                <w:w w:val="94"/>
              </w:rPr>
              <w:t>ELI LILLY AND COMPANY</w:t>
            </w:r>
          </w:p>
        </w:tc>
        <w:tc>
          <w:tcPr>
            <w:tcW w:w="5820" w:type="dxa"/>
            <w:vAlign w:val="bottom"/>
            <w:tcBorders>
              <w:top w:val="single" w:sz="8" w:color="0000EE"/>
            </w:tcBorders>
            <w:gridSpan w:val="7"/>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3"/>
        </w:trPr>
        <w:tc>
          <w:tcPr>
            <w:tcW w:w="4040" w:type="dxa"/>
            <w:vAlign w:val="bottom"/>
            <w:tcBorders>
              <w:bottom w:val="single" w:sz="8" w:color="0000EE"/>
            </w:tcBorders>
            <w:gridSpan w:val="14"/>
          </w:tcPr>
          <w:p>
            <w:pPr>
              <w:spacing w:after="0" w:line="143" w:lineRule="exact"/>
              <w:rPr>
                <w:sz w:val="20"/>
                <w:szCs w:val="20"/>
                <w:color w:val="auto"/>
              </w:rPr>
            </w:pPr>
            <w:r>
              <w:rPr>
                <w:rFonts w:ascii="Times New Roman" w:cs="Times New Roman" w:eastAsia="Times New Roman" w:hAnsi="Times New Roman"/>
                <w:sz w:val="14"/>
                <w:szCs w:val="14"/>
                <w:color w:val="0000EE"/>
                <w:w w:val="95"/>
              </w:rPr>
              <w:t>SPECIAL NOTE REGARDING FORWARD-LOOKING STATEMENTS</w:t>
            </w:r>
          </w:p>
        </w:tc>
        <w:tc>
          <w:tcPr>
            <w:tcW w:w="3940" w:type="dxa"/>
            <w:vAlign w:val="bottom"/>
            <w:gridSpan w:val="2"/>
          </w:tcPr>
          <w:p>
            <w:pPr>
              <w:spacing w:after="0"/>
              <w:rPr>
                <w:sz w:val="12"/>
                <w:szCs w:val="12"/>
                <w:color w:val="auto"/>
              </w:rPr>
            </w:pPr>
          </w:p>
        </w:tc>
        <w:tc>
          <w:tcPr>
            <w:tcW w:w="3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3"/>
        </w:trPr>
        <w:tc>
          <w:tcPr>
            <w:tcW w:w="1200" w:type="dxa"/>
            <w:vAlign w:val="bottom"/>
            <w:tcBorders>
              <w:bottom w:val="single" w:sz="8" w:color="0000EE"/>
            </w:tcBorders>
            <w:gridSpan w:val="6"/>
          </w:tcPr>
          <w:p>
            <w:pPr>
              <w:spacing w:after="0" w:line="143" w:lineRule="exact"/>
              <w:rPr>
                <w:sz w:val="20"/>
                <w:szCs w:val="20"/>
                <w:color w:val="auto"/>
              </w:rPr>
            </w:pPr>
            <w:r>
              <w:rPr>
                <w:rFonts w:ascii="Times New Roman" w:cs="Times New Roman" w:eastAsia="Times New Roman" w:hAnsi="Times New Roman"/>
                <w:sz w:val="14"/>
                <w:szCs w:val="14"/>
                <w:color w:val="0000EE"/>
                <w:w w:val="95"/>
              </w:rPr>
              <w:t>USE OF PROCEEDS</w:t>
            </w:r>
          </w:p>
        </w:tc>
        <w:tc>
          <w:tcPr>
            <w:tcW w:w="6780" w:type="dxa"/>
            <w:vAlign w:val="bottom"/>
            <w:gridSpan w:val="10"/>
          </w:tcPr>
          <w:p>
            <w:pPr>
              <w:spacing w:after="0"/>
              <w:rPr>
                <w:sz w:val="12"/>
                <w:szCs w:val="12"/>
                <w:color w:val="auto"/>
              </w:rPr>
            </w:pPr>
          </w:p>
        </w:tc>
        <w:tc>
          <w:tcPr>
            <w:tcW w:w="3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3"/>
        </w:trPr>
        <w:tc>
          <w:tcPr>
            <w:tcW w:w="1900" w:type="dxa"/>
            <w:vAlign w:val="bottom"/>
            <w:tcBorders>
              <w:bottom w:val="single" w:sz="8" w:color="0000EE"/>
            </w:tcBorders>
            <w:gridSpan w:val="11"/>
          </w:tcPr>
          <w:p>
            <w:pPr>
              <w:spacing w:after="0" w:line="143" w:lineRule="exact"/>
              <w:rPr>
                <w:sz w:val="20"/>
                <w:szCs w:val="20"/>
                <w:color w:val="auto"/>
              </w:rPr>
            </w:pPr>
            <w:r>
              <w:rPr>
                <w:rFonts w:ascii="Times New Roman" w:cs="Times New Roman" w:eastAsia="Times New Roman" w:hAnsi="Times New Roman"/>
                <w:sz w:val="14"/>
                <w:szCs w:val="14"/>
                <w:color w:val="0000EE"/>
                <w:w w:val="96"/>
              </w:rPr>
              <w:t>DESCRIPTION OF SECURITIES</w:t>
            </w:r>
          </w:p>
        </w:tc>
        <w:tc>
          <w:tcPr>
            <w:tcW w:w="6080" w:type="dxa"/>
            <w:vAlign w:val="bottom"/>
            <w:gridSpan w:val="5"/>
          </w:tcPr>
          <w:p>
            <w:pPr>
              <w:spacing w:after="0"/>
              <w:rPr>
                <w:sz w:val="12"/>
                <w:szCs w:val="12"/>
                <w:color w:val="auto"/>
              </w:rPr>
            </w:pPr>
          </w:p>
        </w:tc>
        <w:tc>
          <w:tcPr>
            <w:tcW w:w="3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3"/>
        </w:trPr>
        <w:tc>
          <w:tcPr>
            <w:tcW w:w="7980" w:type="dxa"/>
            <w:vAlign w:val="bottom"/>
            <w:gridSpan w:val="16"/>
          </w:tcPr>
          <w:p>
            <w:pPr>
              <w:spacing w:after="0" w:line="143" w:lineRule="exact"/>
              <w:rPr>
                <w:sz w:val="20"/>
                <w:szCs w:val="20"/>
                <w:color w:val="auto"/>
              </w:rPr>
            </w:pPr>
            <w:r>
              <w:rPr>
                <w:rFonts w:ascii="Times New Roman" w:cs="Times New Roman" w:eastAsia="Times New Roman" w:hAnsi="Times New Roman"/>
                <w:sz w:val="14"/>
                <w:szCs w:val="14"/>
                <w:color w:val="0000EE"/>
              </w:rPr>
              <w:t>PLAN OF DISTRIBUTION</w:t>
            </w:r>
          </w:p>
        </w:tc>
        <w:tc>
          <w:tcPr>
            <w:tcW w:w="3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3"/>
        </w:trPr>
        <w:tc>
          <w:tcPr>
            <w:tcW w:w="1100" w:type="dxa"/>
            <w:vAlign w:val="bottom"/>
            <w:tcBorders>
              <w:top w:val="single" w:sz="8" w:color="0000EE"/>
              <w:bottom w:val="single" w:sz="8" w:color="0000EE"/>
            </w:tcBorders>
            <w:gridSpan w:val="5"/>
          </w:tcPr>
          <w:p>
            <w:pPr>
              <w:spacing w:after="0" w:line="143" w:lineRule="exact"/>
              <w:rPr>
                <w:sz w:val="20"/>
                <w:szCs w:val="20"/>
                <w:color w:val="auto"/>
              </w:rPr>
            </w:pPr>
            <w:r>
              <w:rPr>
                <w:rFonts w:ascii="Times New Roman" w:cs="Times New Roman" w:eastAsia="Times New Roman" w:hAnsi="Times New Roman"/>
                <w:sz w:val="14"/>
                <w:szCs w:val="14"/>
                <w:color w:val="0000EE"/>
                <w:w w:val="94"/>
              </w:rPr>
              <w:t>LEGAL MATTERS</w:t>
            </w:r>
          </w:p>
        </w:tc>
        <w:tc>
          <w:tcPr>
            <w:tcW w:w="440" w:type="dxa"/>
            <w:vAlign w:val="bottom"/>
            <w:tcBorders>
              <w:top w:val="single" w:sz="8" w:color="0000EE"/>
            </w:tcBorders>
            <w:gridSpan w:val="2"/>
          </w:tcPr>
          <w:p>
            <w:pPr>
              <w:spacing w:after="0"/>
              <w:rPr>
                <w:sz w:val="12"/>
                <w:szCs w:val="12"/>
                <w:color w:val="auto"/>
              </w:rPr>
            </w:pPr>
          </w:p>
        </w:tc>
        <w:tc>
          <w:tcPr>
            <w:tcW w:w="6440" w:type="dxa"/>
            <w:vAlign w:val="bottom"/>
            <w:gridSpan w:val="9"/>
          </w:tcPr>
          <w:p>
            <w:pPr>
              <w:spacing w:after="0"/>
              <w:rPr>
                <w:sz w:val="12"/>
                <w:szCs w:val="12"/>
                <w:color w:val="auto"/>
              </w:rPr>
            </w:pPr>
          </w:p>
        </w:tc>
        <w:tc>
          <w:tcPr>
            <w:tcW w:w="3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3"/>
        </w:trPr>
        <w:tc>
          <w:tcPr>
            <w:tcW w:w="580" w:type="dxa"/>
            <w:vAlign w:val="bottom"/>
            <w:tcBorders>
              <w:bottom w:val="single" w:sz="8" w:color="0000EE"/>
            </w:tcBorders>
            <w:gridSpan w:val="2"/>
          </w:tcPr>
          <w:p>
            <w:pPr>
              <w:spacing w:after="0" w:line="143" w:lineRule="exact"/>
              <w:rPr>
                <w:sz w:val="20"/>
                <w:szCs w:val="20"/>
                <w:color w:val="auto"/>
              </w:rPr>
            </w:pPr>
            <w:r>
              <w:rPr>
                <w:rFonts w:ascii="Times New Roman" w:cs="Times New Roman" w:eastAsia="Times New Roman" w:hAnsi="Times New Roman"/>
                <w:sz w:val="14"/>
                <w:szCs w:val="14"/>
                <w:color w:val="0000EE"/>
                <w:w w:val="92"/>
              </w:rPr>
              <w:t>EXPERTS</w:t>
            </w:r>
          </w:p>
        </w:tc>
        <w:tc>
          <w:tcPr>
            <w:tcW w:w="7400" w:type="dxa"/>
            <w:vAlign w:val="bottom"/>
            <w:gridSpan w:val="14"/>
          </w:tcPr>
          <w:p>
            <w:pPr>
              <w:spacing w:after="0"/>
              <w:rPr>
                <w:sz w:val="12"/>
                <w:szCs w:val="12"/>
                <w:color w:val="auto"/>
              </w:rPr>
            </w:pPr>
          </w:p>
        </w:tc>
        <w:tc>
          <w:tcPr>
            <w:tcW w:w="3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5"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ABOUT THIS PROSPECTUS SUPPLEMENT</w:t>
      </w:r>
    </w:p>
    <w:p>
      <w:pPr>
        <w:spacing w:after="0" w:line="170" w:lineRule="exact"/>
        <w:rPr>
          <w:sz w:val="20"/>
          <w:szCs w:val="20"/>
          <w:color w:val="auto"/>
        </w:rPr>
      </w:pPr>
    </w:p>
    <w:p>
      <w:pPr>
        <w:ind w:left="340" w:right="359" w:firstLine="333"/>
        <w:spacing w:after="0" w:line="316" w:lineRule="auto"/>
        <w:rPr>
          <w:sz w:val="20"/>
          <w:szCs w:val="20"/>
          <w:color w:val="auto"/>
        </w:rPr>
      </w:pPr>
      <w:r>
        <w:rPr>
          <w:rFonts w:ascii="Times New Roman" w:cs="Times New Roman" w:eastAsia="Times New Roman" w:hAnsi="Times New Roman"/>
          <w:sz w:val="12"/>
          <w:szCs w:val="12"/>
          <w:color w:val="auto"/>
        </w:rPr>
        <w:t>This document is in two parts. The first part of this prospectus supplement describes the specific terms of this offering, the notes and matters relating to us. The second part is the accompanying prospectus, which provides a more general description of the terms and conditions of the various securities we may offer under the registration statement of which this prospectus forms a part, some of which does not apply to this offering or the notes.</w:t>
      </w:r>
    </w:p>
    <w:p>
      <w:pPr>
        <w:spacing w:after="0" w:line="109" w:lineRule="exact"/>
        <w:rPr>
          <w:sz w:val="20"/>
          <w:szCs w:val="20"/>
          <w:color w:val="auto"/>
        </w:rPr>
      </w:pPr>
    </w:p>
    <w:p>
      <w:pPr>
        <w:ind w:left="340" w:right="479" w:firstLine="333"/>
        <w:spacing w:after="0" w:line="254" w:lineRule="auto"/>
        <w:rPr>
          <w:sz w:val="20"/>
          <w:szCs w:val="20"/>
          <w:color w:val="auto"/>
        </w:rPr>
      </w:pPr>
      <w:r>
        <w:rPr>
          <w:rFonts w:ascii="Times New Roman" w:cs="Times New Roman" w:eastAsia="Times New Roman" w:hAnsi="Times New Roman"/>
          <w:sz w:val="14"/>
          <w:szCs w:val="14"/>
          <w:color w:val="auto"/>
        </w:rPr>
        <w:t>In various places in this prospectus supplement and the accompanying prospectus, we refer you to sections of other documents for additional information by indicating the titles of the other sections. All cross-references in this prospectus supplement are to captions contained in this prospectus supplement and not in the accompanying prospectus, unless otherwise indicated.</w:t>
      </w:r>
    </w:p>
    <w:p>
      <w:pPr>
        <w:spacing w:after="0" w:line="142" w:lineRule="exact"/>
        <w:rPr>
          <w:sz w:val="20"/>
          <w:szCs w:val="20"/>
          <w:color w:val="auto"/>
        </w:rPr>
      </w:pPr>
    </w:p>
    <w:p>
      <w:pPr>
        <w:ind w:left="340" w:right="479" w:firstLine="333"/>
        <w:spacing w:after="0" w:line="254" w:lineRule="auto"/>
        <w:rPr>
          <w:sz w:val="20"/>
          <w:szCs w:val="20"/>
          <w:color w:val="auto"/>
        </w:rPr>
      </w:pPr>
      <w:r>
        <w:rPr>
          <w:rFonts w:ascii="Times New Roman" w:cs="Times New Roman" w:eastAsia="Times New Roman" w:hAnsi="Times New Roman"/>
          <w:sz w:val="14"/>
          <w:szCs w:val="14"/>
          <w:color w:val="auto"/>
        </w:rPr>
        <w:t>This prospectus supplement, or the information incorporated by reference in this prospectus supplement, may add, update or change information in the accompanying prospectus. If information in this prospectus supplement is inconsistent with the accompanying prospectus, this prospectus supplement will supersede the information in the accompanying prospectus.</w:t>
      </w:r>
    </w:p>
    <w:p>
      <w:pPr>
        <w:spacing w:after="0" w:line="142" w:lineRule="exact"/>
        <w:rPr>
          <w:sz w:val="20"/>
          <w:szCs w:val="20"/>
          <w:color w:val="auto"/>
        </w:rPr>
      </w:pPr>
    </w:p>
    <w:p>
      <w:pPr>
        <w:ind w:left="340" w:right="359" w:firstLine="333"/>
        <w:spacing w:after="0" w:line="250" w:lineRule="auto"/>
        <w:rPr>
          <w:sz w:val="20"/>
          <w:szCs w:val="20"/>
          <w:color w:val="auto"/>
        </w:rPr>
      </w:pPr>
      <w:r>
        <w:rPr>
          <w:rFonts w:ascii="Times New Roman" w:cs="Times New Roman" w:eastAsia="Times New Roman" w:hAnsi="Times New Roman"/>
          <w:sz w:val="14"/>
          <w:szCs w:val="14"/>
          <w:color w:val="auto"/>
        </w:rPr>
        <w:t>It is important for you to read and consider carefully all information contained or incorporated by reference in this prospectus supplement, the accompanying prospectus and any permitted free writing prospectuses we have authorized for use with respect to this offering prior to making a decision to invest in the notes. See “Where You Can Find More Information; Documents Incorporated by Reference into this Prospectus Supplement” for additional information.</w:t>
      </w:r>
    </w:p>
    <w:p>
      <w:pPr>
        <w:spacing w:after="0" w:line="146" w:lineRule="exact"/>
        <w:rPr>
          <w:sz w:val="20"/>
          <w:szCs w:val="20"/>
          <w:color w:val="auto"/>
        </w:rPr>
      </w:pPr>
    </w:p>
    <w:p>
      <w:pPr>
        <w:ind w:left="340" w:right="639" w:firstLine="333"/>
        <w:spacing w:after="0" w:line="264" w:lineRule="auto"/>
        <w:rPr>
          <w:sz w:val="20"/>
          <w:szCs w:val="20"/>
          <w:color w:val="auto"/>
        </w:rPr>
      </w:pPr>
      <w:r>
        <w:rPr>
          <w:rFonts w:ascii="Times New Roman" w:cs="Times New Roman" w:eastAsia="Times New Roman" w:hAnsi="Times New Roman"/>
          <w:sz w:val="14"/>
          <w:szCs w:val="14"/>
          <w:color w:val="auto"/>
        </w:rPr>
        <w:t>Certain amounts and percentages included in this prospectus supplement have been rounded. Accordingly, in certain instances, the sum of the numbers in a column of a table may not exactly equal the total figure for that column.</w:t>
      </w:r>
    </w:p>
    <w:p>
      <w:pPr>
        <w:spacing w:after="0" w:line="136" w:lineRule="exact"/>
        <w:rPr>
          <w:sz w:val="20"/>
          <w:szCs w:val="20"/>
          <w:color w:val="auto"/>
        </w:rPr>
      </w:pPr>
    </w:p>
    <w:p>
      <w:pPr>
        <w:ind w:left="340" w:right="359" w:firstLine="333"/>
        <w:spacing w:after="0" w:line="264" w:lineRule="auto"/>
        <w:rPr>
          <w:sz w:val="20"/>
          <w:szCs w:val="20"/>
          <w:color w:val="auto"/>
        </w:rPr>
      </w:pPr>
      <w:r>
        <w:rPr>
          <w:rFonts w:ascii="Times New Roman" w:cs="Times New Roman" w:eastAsia="Times New Roman" w:hAnsi="Times New Roman"/>
          <w:sz w:val="14"/>
          <w:szCs w:val="14"/>
          <w:color w:val="auto"/>
        </w:rPr>
        <w:t>Unless otherwise indicated, all references in this prospectus supplement to “we,” “us,” “our” and “Eli Lilly” refer to Eli Lilly and Company and its consolidated subsidiaries.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9019"/>
          </w:cols>
          <w:pgMar w:left="1440" w:top="235"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SPECIAL NOTE REGARDING FORWARD-LOOKING STATEMENTS</w:t>
      </w:r>
    </w:p>
    <w:p>
      <w:pPr>
        <w:spacing w:after="0" w:line="170" w:lineRule="exact"/>
        <w:rPr>
          <w:sz w:val="20"/>
          <w:szCs w:val="20"/>
          <w:color w:val="auto"/>
        </w:rPr>
      </w:pPr>
    </w:p>
    <w:p>
      <w:pPr>
        <w:ind w:left="340" w:right="399" w:firstLine="333"/>
        <w:spacing w:after="0" w:line="295" w:lineRule="auto"/>
        <w:rPr>
          <w:sz w:val="20"/>
          <w:szCs w:val="20"/>
          <w:color w:val="auto"/>
        </w:rPr>
      </w:pPr>
      <w:r>
        <w:rPr>
          <w:rFonts w:ascii="Times New Roman" w:cs="Times New Roman" w:eastAsia="Times New Roman" w:hAnsi="Times New Roman"/>
          <w:sz w:val="12"/>
          <w:szCs w:val="12"/>
          <w:color w:val="auto"/>
        </w:rPr>
        <w:t>This prospectus supplement, the accompanying prospectus and the information included or incorporated by reference herein and therein include forward-looking statements within the meaning of Section 27A of the Securities Act of 1933, as amended (the “Securities Act”), and Section 21E of the Securities Exchange Act of 1934, as amended (the “Exchange Act”), and are subject to the safe harbor created thereby under the Private Securities Litigation Reform Act of 1995. Forward-looking statements include all statements that do not relate solely to historical or current facts, and generally can be identified by the use of words such as “may,” “could,” “aim,” “seek,” “believe,” “will,” “expect,” “project,” “estimate,” “intend,” “target,” “anticipate,” “plan,” “continue” or similar expressions or future or conditional verbs. The forward-looking statements in this prospectus supplement include statements relating to this offering, the notes, the use of proceeds described herein and certain other information included herein.</w:t>
      </w:r>
    </w:p>
    <w:p>
      <w:pPr>
        <w:spacing w:after="0" w:line="120" w:lineRule="exact"/>
        <w:rPr>
          <w:sz w:val="20"/>
          <w:szCs w:val="20"/>
          <w:color w:val="auto"/>
        </w:rPr>
      </w:pPr>
    </w:p>
    <w:p>
      <w:pPr>
        <w:ind w:left="340" w:right="439" w:firstLine="333"/>
        <w:spacing w:after="0" w:line="248" w:lineRule="auto"/>
        <w:rPr>
          <w:sz w:val="20"/>
          <w:szCs w:val="20"/>
          <w:color w:val="auto"/>
        </w:rPr>
      </w:pPr>
      <w:r>
        <w:rPr>
          <w:rFonts w:ascii="Times New Roman" w:cs="Times New Roman" w:eastAsia="Times New Roman" w:hAnsi="Times New Roman"/>
          <w:sz w:val="14"/>
          <w:szCs w:val="14"/>
          <w:color w:val="auto"/>
        </w:rPr>
        <w:t>Forward-looking statements inherently involve many risks and uncertainties that could cause actual results to differ materially from those expressed in forward-looking statements. Forward-looking statements are based on management’s current plans and expectations, expressed in good faith and believed to have a reasonable basis. However, we can give no assurance that any expectation or belief will result or will be achieved or accomplished. Investors therefore should not place undue reliance on forward-looking statements. The following include some but not all of the factors that could cause actual results or events to differ materially from those anticipated:</w:t>
      </w:r>
    </w:p>
    <w:p>
      <w:pPr>
        <w:spacing w:after="0" w:line="77" w:lineRule="exact"/>
        <w:rPr>
          <w:sz w:val="20"/>
          <w:szCs w:val="20"/>
          <w:color w:val="auto"/>
        </w:rPr>
      </w:pPr>
    </w:p>
    <w:p>
      <w:pPr>
        <w:ind w:left="1080" w:right="559" w:hanging="334"/>
        <w:spacing w:after="0" w:line="264" w:lineRule="auto"/>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costs and uncertainties in the pharmaceutical research and development process, including with respect to the timing and process of obtaining regulatory approvals and the ability of our clinical trials to meet expectations;</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and uncertain outcome of acquisitions and business development transactions and related costs;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intense competition affecting our products, pipeline or industry;</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uptake of launched products and indications;</w:t>
      </w:r>
    </w:p>
    <w:p>
      <w:pPr>
        <w:spacing w:after="0" w:line="94" w:lineRule="exact"/>
        <w:rPr>
          <w:rFonts w:ascii="Times New Roman" w:cs="Times New Roman" w:eastAsia="Times New Roman" w:hAnsi="Times New Roman"/>
          <w:sz w:val="14"/>
          <w:szCs w:val="14"/>
          <w:color w:val="auto"/>
        </w:rPr>
      </w:pPr>
    </w:p>
    <w:p>
      <w:pPr>
        <w:ind w:left="1080" w:right="719" w:hanging="334"/>
        <w:spacing w:after="0" w:line="264" w:lineRule="auto"/>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pricing pressures and the impact of actions of governmental and private actors affecting pricing of, reimbursement for and patient access to pharmaceuticals, or reporting obligations related thereto;</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implementation of our voluntary agreement with the U.S. government related to drug pricing and access;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uncertainties related to our or competitive products, including as may relate to safety or efficacy concerns;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dependence on relatively few products or product classes for a significant percentage of our total revenue and a consolidated supply chain;</w:t>
      </w:r>
    </w:p>
    <w:p>
      <w:pPr>
        <w:spacing w:after="0" w:line="117" w:lineRule="exact"/>
        <w:rPr>
          <w:rFonts w:ascii="Times New Roman" w:cs="Times New Roman" w:eastAsia="Times New Roman" w:hAnsi="Times New Roman"/>
          <w:sz w:val="12"/>
          <w:szCs w:val="12"/>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expiration of intellectual property protection for certain of our products and competition from generic and biosimilar products;</w:t>
      </w:r>
    </w:p>
    <w:p>
      <w:pPr>
        <w:spacing w:after="0" w:line="94" w:lineRule="exact"/>
        <w:rPr>
          <w:rFonts w:ascii="Times New Roman" w:cs="Times New Roman" w:eastAsia="Times New Roman" w:hAnsi="Times New Roman"/>
          <w:sz w:val="14"/>
          <w:szCs w:val="14"/>
          <w:color w:val="auto"/>
        </w:rPr>
      </w:pPr>
    </w:p>
    <w:p>
      <w:pPr>
        <w:ind w:left="1080" w:right="559" w:hanging="334"/>
        <w:spacing w:after="0" w:line="264" w:lineRule="auto"/>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and enforce patents and other intellectual property and changes in patent law or regulations related to data package exclusivity;</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technology system inadequacies, inadequate controls or procedures, security breaches or operating failures;</w:t>
      </w:r>
    </w:p>
    <w:p>
      <w:pPr>
        <w:spacing w:after="0" w:line="94" w:lineRule="exact"/>
        <w:rPr>
          <w:rFonts w:ascii="Times New Roman" w:cs="Times New Roman" w:eastAsia="Times New Roman" w:hAnsi="Times New Roman"/>
          <w:sz w:val="14"/>
          <w:szCs w:val="14"/>
          <w:color w:val="auto"/>
        </w:rPr>
      </w:pPr>
    </w:p>
    <w:p>
      <w:pPr>
        <w:ind w:left="1080" w:right="379" w:hanging="334"/>
        <w:spacing w:after="0" w:line="254" w:lineRule="auto"/>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unauthorized access, disclosure, misappropriation or compromise of confidential information or other data stored in our information technology systems, networks and facilities, or those of third parties with whom we share our data and violations of data protection laws or regulations;</w:t>
      </w:r>
    </w:p>
    <w:p>
      <w:pPr>
        <w:spacing w:after="0" w:line="70" w:lineRule="exact"/>
        <w:rPr>
          <w:rFonts w:ascii="Times New Roman" w:cs="Times New Roman" w:eastAsia="Times New Roman" w:hAnsi="Times New Roman"/>
          <w:sz w:val="14"/>
          <w:szCs w:val="14"/>
          <w:color w:val="auto"/>
        </w:rPr>
      </w:pPr>
    </w:p>
    <w:p>
      <w:pPr>
        <w:ind w:left="1080" w:right="659" w:hanging="334"/>
        <w:spacing w:after="0" w:line="264" w:lineRule="auto"/>
        <w:tabs>
          <w:tab w:leader="none" w:pos="1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issues with product supply, regulatory approvals or other negative outcomes stemming from manufacturing difficulties, disruptions or shortages, including as a result of unpredictability and</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9019"/>
          </w:cols>
          <w:pgMar w:left="1440" w:top="235" w:right="1440" w:bottom="1440" w:gutter="0" w:footer="0" w:header="0"/>
        </w:sectPr>
      </w:pPr>
    </w:p>
    <w:bookmarkStart w:id="5" w:name="page6"/>
    <w:bookmarkEnd w:id="5"/>
    <w:p>
      <w:pPr>
        <w:ind w:left="1080" w:right="51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variability in demand, labor shortages, third-party performance, quality, cyber-attacks or regulatory actions related to our and third-party facilities;</w:t>
      </w:r>
    </w:p>
    <w:p>
      <w:pPr>
        <w:spacing w:after="0" w:line="65" w:lineRule="exact"/>
        <w:rPr>
          <w:sz w:val="20"/>
          <w:szCs w:val="20"/>
          <w:color w:val="auto"/>
        </w:rPr>
      </w:pPr>
    </w:p>
    <w:p>
      <w:pPr>
        <w:ind w:left="1080" w:hanging="334"/>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third-party relationships and outsourcing arrangements;</w:t>
      </w:r>
    </w:p>
    <w:p>
      <w:pPr>
        <w:spacing w:after="0" w:line="94" w:lineRule="exact"/>
        <w:rPr>
          <w:rFonts w:ascii="Times New Roman" w:cs="Times New Roman" w:eastAsia="Times New Roman" w:hAnsi="Times New Roman"/>
          <w:sz w:val="14"/>
          <w:szCs w:val="14"/>
          <w:color w:val="auto"/>
        </w:rPr>
      </w:pPr>
    </w:p>
    <w:p>
      <w:pPr>
        <w:jc w:val="both"/>
        <w:ind w:left="1080" w:right="379" w:hanging="334"/>
        <w:spacing w:after="0" w:line="254" w:lineRule="auto"/>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of artificial intelligence or other emerging technologies in various facets of our operations, including partnerships related to the use of, or the sharing of, such technologies with third parties, which may exacerbate competitive, regulatory, litigation, cybersecurity and other risks;</w:t>
      </w:r>
    </w:p>
    <w:p>
      <w:pPr>
        <w:spacing w:after="0" w:line="70" w:lineRule="exact"/>
        <w:rPr>
          <w:rFonts w:ascii="Times New Roman" w:cs="Times New Roman" w:eastAsia="Times New Roman" w:hAnsi="Times New Roman"/>
          <w:sz w:val="14"/>
          <w:szCs w:val="14"/>
          <w:color w:val="auto"/>
        </w:rPr>
      </w:pPr>
    </w:p>
    <w:p>
      <w:pPr>
        <w:jc w:val="both"/>
        <w:ind w:left="1080" w:right="559" w:hanging="334"/>
        <w:spacing w:after="0" w:line="254" w:lineRule="auto"/>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global macroeconomic conditions, including uneven economic growth or downturns or uncertainty, trade and other global disputes and interruptions, including related to tariffs, trade protection measures and similar restrictions, international tension, conflicts, regional dependencies or other costs, uncertainties and risks related to engaging in business globally;</w:t>
      </w:r>
    </w:p>
    <w:p>
      <w:pPr>
        <w:spacing w:after="0" w:line="70"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foreign currency exchange rates, changes in interest rates and inflation or deflation;</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and sudden declines or volatility in the trading price of our common stock and market capitalization;</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investigations or other similar proceedings involving past, current or future products, activities or intellectual property;</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 and regulation, tax rates or events that differ from our assumptions related to tax positions;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changes, developments and uncertainty;</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oversight and actions regarding our operations and products;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compliance problems or government investigations;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from the proliferation of counterfeit, misbranded, adulterated or illegally compounded products;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perceived deviation from environmental-, social- or governance-related requirements or expectations;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impairments and restructuring charges;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and reporting standards;</w:t>
      </w:r>
    </w:p>
    <w:p>
      <w:pPr>
        <w:spacing w:after="0" w:line="94" w:lineRule="exact"/>
        <w:rPr>
          <w:rFonts w:ascii="Times New Roman" w:cs="Times New Roman" w:eastAsia="Times New Roman" w:hAnsi="Times New Roman"/>
          <w:sz w:val="14"/>
          <w:szCs w:val="14"/>
          <w:color w:val="auto"/>
        </w:rPr>
      </w:pPr>
    </w:p>
    <w:p>
      <w:pPr>
        <w:ind w:left="1080" w:right="779" w:hanging="334"/>
        <w:spacing w:after="0" w:line="264" w:lineRule="auto"/>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of the Acquisitions may not be consummated in the anticipated timeframes or at all, and if completed, we may not realize the expected benefits from the Acquisitions; and</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factors that are discussed in this prospectus supplement.</w:t>
      </w:r>
    </w:p>
    <w:p>
      <w:pPr>
        <w:spacing w:after="0" w:line="166" w:lineRule="exact"/>
        <w:rPr>
          <w:sz w:val="20"/>
          <w:szCs w:val="20"/>
          <w:color w:val="auto"/>
        </w:rPr>
      </w:pPr>
    </w:p>
    <w:p>
      <w:pPr>
        <w:jc w:val="both"/>
        <w:ind w:left="340" w:right="559" w:firstLine="333"/>
        <w:spacing w:after="0" w:line="250" w:lineRule="auto"/>
        <w:rPr>
          <w:sz w:val="20"/>
          <w:szCs w:val="20"/>
          <w:color w:val="auto"/>
        </w:rPr>
      </w:pPr>
      <w:r>
        <w:rPr>
          <w:rFonts w:ascii="Times New Roman" w:cs="Times New Roman" w:eastAsia="Times New Roman" w:hAnsi="Times New Roman"/>
          <w:sz w:val="14"/>
          <w:szCs w:val="14"/>
          <w:color w:val="auto"/>
        </w:rPr>
        <w:t>You should also carefully read the factors described under “Risk Factors” and in other cautionary statements in this prospectus supplement, the accompanying prospectus and in our Annual Report on Form 10-K for the year ended December 31, 2025 and our other filings with the SEC that are incorporated by reference into this prospectus supplement, for a description of certain risks that could, among other things, cause our actual results to differ from those expressed in forward-looking statements.</w:t>
      </w:r>
    </w:p>
    <w:p>
      <w:pPr>
        <w:spacing w:after="0" w:line="146" w:lineRule="exact"/>
        <w:rPr>
          <w:sz w:val="20"/>
          <w:szCs w:val="20"/>
          <w:color w:val="auto"/>
        </w:rPr>
      </w:pPr>
    </w:p>
    <w:p>
      <w:pPr>
        <w:ind w:left="340" w:right="439" w:firstLine="333"/>
        <w:spacing w:after="0" w:line="316" w:lineRule="auto"/>
        <w:rPr>
          <w:sz w:val="20"/>
          <w:szCs w:val="20"/>
          <w:color w:val="auto"/>
        </w:rPr>
      </w:pPr>
      <w:r>
        <w:rPr>
          <w:rFonts w:ascii="Times New Roman" w:cs="Times New Roman" w:eastAsia="Times New Roman" w:hAnsi="Times New Roman"/>
          <w:sz w:val="12"/>
          <w:szCs w:val="12"/>
          <w:color w:val="auto"/>
        </w:rPr>
        <w:t>All forward-looking statements speak only as of the date of this prospectus supplement and are expressly qualified in their entirety by the risk factors and cautionary statements included in, or incorporated by reference into, this prospectus supplement. Except as is required by law, we expressly disclaim any obligation to publicly release any revisions to forward-looking statements to reflect events after the date of this prospectus supplement.</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9019"/>
          </w:cols>
          <w:pgMar w:left="1440" w:top="239"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ELI LILLY AND COMPANY</w:t>
      </w:r>
    </w:p>
    <w:p>
      <w:pPr>
        <w:spacing w:after="0" w:line="170" w:lineRule="exact"/>
        <w:rPr>
          <w:sz w:val="20"/>
          <w:szCs w:val="20"/>
          <w:color w:val="auto"/>
        </w:rPr>
      </w:pPr>
    </w:p>
    <w:p>
      <w:pPr>
        <w:ind w:left="340" w:right="419" w:firstLine="333"/>
        <w:spacing w:after="0" w:line="247" w:lineRule="auto"/>
        <w:rPr>
          <w:sz w:val="20"/>
          <w:szCs w:val="20"/>
          <w:color w:val="auto"/>
        </w:rPr>
      </w:pPr>
      <w:r>
        <w:rPr>
          <w:rFonts w:ascii="Times New Roman" w:cs="Times New Roman" w:eastAsia="Times New Roman" w:hAnsi="Times New Roman"/>
          <w:sz w:val="14"/>
          <w:szCs w:val="14"/>
          <w:color w:val="auto"/>
        </w:rPr>
        <w:t>We are a worldwide research-based pharmaceutical company. We were incorporated in 1901 in Indiana to succeed to the drug manufacturing business founded in Indianapolis, Indiana, in 1876 by Colonel Eli Lilly. We discover, develop, manufacture and market products in a single business segment—human pharmaceutical products. Our purpose is to unite caring with discovery to create medicines that make life better for people around the world. Our long-term success depends on our ability to continually discover or acquire, develop and commercialize innovative medicines. We manufacture and distribute our products through facilities in the United States, including Puerto Rico, and in Europe and Asia. Our products are sold in approximately 90 countries.</w:t>
      </w:r>
    </w:p>
    <w:p>
      <w:pPr>
        <w:spacing w:after="0" w:line="150" w:lineRule="exact"/>
        <w:rPr>
          <w:sz w:val="20"/>
          <w:szCs w:val="20"/>
          <w:color w:val="auto"/>
        </w:rPr>
      </w:pPr>
    </w:p>
    <w:p>
      <w:pPr>
        <w:ind w:left="340" w:right="399" w:firstLine="333"/>
        <w:spacing w:after="0" w:line="254" w:lineRule="auto"/>
        <w:rPr>
          <w:sz w:val="20"/>
          <w:szCs w:val="20"/>
          <w:color w:val="auto"/>
        </w:rPr>
      </w:pPr>
      <w:r>
        <w:rPr>
          <w:rFonts w:ascii="Times New Roman" w:cs="Times New Roman" w:eastAsia="Times New Roman" w:hAnsi="Times New Roman"/>
          <w:sz w:val="14"/>
          <w:szCs w:val="14"/>
          <w:color w:val="auto"/>
        </w:rPr>
        <w:t>Our corporate offices are located at Lilly Corporate Center, Indianapolis, Indiana 46285, our telephone number is (317) 276-2000 and our website is www.lilly.com. We have included our website address in this prospectus supplement solely as an inactive textual reference, and the information contained in, or that can be accessed through, our website is not a part of, or incorporated by reference in, this prospectus supplement.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9019"/>
          </w:cols>
          <w:pgMar w:left="1440" w:top="235"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RISK FACTORS</w:t>
      </w:r>
    </w:p>
    <w:p>
      <w:pPr>
        <w:spacing w:after="0" w:line="168" w:lineRule="exact"/>
        <w:rPr>
          <w:sz w:val="20"/>
          <w:szCs w:val="20"/>
          <w:color w:val="auto"/>
        </w:rPr>
      </w:pPr>
    </w:p>
    <w:p>
      <w:pPr>
        <w:ind w:left="340" w:right="479" w:firstLine="333"/>
        <w:spacing w:after="0" w:line="249" w:lineRule="auto"/>
        <w:rPr>
          <w:sz w:val="20"/>
          <w:szCs w:val="20"/>
          <w:color w:val="auto"/>
        </w:rPr>
      </w:pPr>
      <w:r>
        <w:rPr>
          <w:rFonts w:ascii="Times New Roman" w:cs="Times New Roman" w:eastAsia="Times New Roman" w:hAnsi="Times New Roman"/>
          <w:sz w:val="14"/>
          <w:szCs w:val="14"/>
          <w:i w:val="1"/>
          <w:iCs w:val="1"/>
          <w:color w:val="auto"/>
        </w:rPr>
        <w:t>Your investment in the notes involves risks. You should consider carefully the risks described below and those discussed under “Risk Factors” in our Annual Report on Form 10-K for the fiscal year ended December 31, 2025 and our other filings with the SEC that are incorporated by reference into this prospectus supplement and the accompanying prospectus. It is possible that our business, financial condition, liquidity, cash flows, results of operations, reputation and prospects could be materially adversely affected by any of these risks or additional risks and uncertainties not presently known to us or that we currently believe to be immaterial.</w:t>
      </w:r>
    </w:p>
    <w:p>
      <w:pPr>
        <w:spacing w:after="0" w:line="145" w:lineRule="exact"/>
        <w:rPr>
          <w:sz w:val="20"/>
          <w:szCs w:val="20"/>
          <w:color w:val="auto"/>
        </w:rPr>
      </w:pPr>
    </w:p>
    <w:p>
      <w:pPr>
        <w:ind w:left="340" w:right="399" w:firstLine="333"/>
        <w:spacing w:after="0" w:line="249" w:lineRule="auto"/>
        <w:rPr>
          <w:sz w:val="20"/>
          <w:szCs w:val="20"/>
          <w:color w:val="auto"/>
        </w:rPr>
      </w:pPr>
      <w:r>
        <w:rPr>
          <w:rFonts w:ascii="Times New Roman" w:cs="Times New Roman" w:eastAsia="Times New Roman" w:hAnsi="Times New Roman"/>
          <w:sz w:val="14"/>
          <w:szCs w:val="14"/>
          <w:i w:val="1"/>
          <w:iCs w:val="1"/>
          <w:color w:val="auto"/>
        </w:rPr>
        <w:t>This prospectus supplement and the documents incorporated by reference herein also contain forward-looking statements and estimates that involve risks and uncertainties. Our actual results could differ materially from those anticipated in the forward-looking statements as a result of specific factors, including those described in our filings with the SEC that are incorporated by reference herein. See “Special Note Regarding Forward-Looking Statements” in this prospectus supplement and the accompanying prospectus, “Forward-Looking Statements” in our Annual Report on Form 10-K and similar sections in other filings with the SEC that are incorporated by reference herein.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Additional Risks Related to the Centessa Acquisition</w:t>
      </w:r>
    </w:p>
    <w:p>
      <w:pPr>
        <w:spacing w:after="0" w:line="84" w:lineRule="exact"/>
        <w:rPr>
          <w:sz w:val="20"/>
          <w:szCs w:val="20"/>
          <w:color w:val="auto"/>
        </w:rPr>
      </w:pPr>
    </w:p>
    <w:p>
      <w:pPr>
        <w:ind w:left="340" w:right="559" w:firstLine="333"/>
        <w:spacing w:after="0" w:line="356" w:lineRule="auto"/>
        <w:rPr>
          <w:sz w:val="20"/>
          <w:szCs w:val="20"/>
          <w:color w:val="auto"/>
        </w:rPr>
      </w:pPr>
      <w:r>
        <w:rPr>
          <w:rFonts w:ascii="Times New Roman" w:cs="Times New Roman" w:eastAsia="Times New Roman" w:hAnsi="Times New Roman"/>
          <w:sz w:val="12"/>
          <w:szCs w:val="12"/>
          <w:b w:val="1"/>
          <w:bCs w:val="1"/>
          <w:i w:val="1"/>
          <w:iCs w:val="1"/>
          <w:color w:val="auto"/>
        </w:rPr>
        <w:t>If we are required to redeem the Centessa Mandatorily Redeemable Notes in connection with the Centessa Special Mandatory Redemption, you may realize a lower return on your investment than if the Centessa Mandatorily Redeemable Notes had been held through maturity.</w:t>
      </w:r>
    </w:p>
    <w:p>
      <w:pPr>
        <w:spacing w:after="0" w:line="85" w:lineRule="exact"/>
        <w:rPr>
          <w:sz w:val="20"/>
          <w:szCs w:val="20"/>
          <w:color w:val="auto"/>
        </w:rPr>
      </w:pPr>
    </w:p>
    <w:p>
      <w:pPr>
        <w:ind w:left="340" w:right="519" w:firstLine="333"/>
        <w:spacing w:after="0" w:line="264" w:lineRule="auto"/>
        <w:rPr>
          <w:sz w:val="20"/>
          <w:szCs w:val="20"/>
          <w:color w:val="auto"/>
        </w:rPr>
      </w:pPr>
      <w:r>
        <w:rPr>
          <w:rFonts w:ascii="Times New Roman" w:cs="Times New Roman" w:eastAsia="Times New Roman" w:hAnsi="Times New Roman"/>
          <w:sz w:val="14"/>
          <w:szCs w:val="14"/>
          <w:color w:val="auto"/>
        </w:rPr>
        <w:t>Our ability to consummate each of the Acquisitions is subject to various closing conditions, many of which are beyond our control, and we may not be able to consummate either Acquisition in the anticipated timeframe or at all.</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In the event that (x) the Centessa Acquisition is not consummated on or prior to the date that is five (5) business days after the later of</w:t>
      </w:r>
    </w:p>
    <w:p>
      <w:pPr>
        <w:spacing w:after="0" w:line="14" w:lineRule="exact"/>
        <w:rPr>
          <w:sz w:val="20"/>
          <w:szCs w:val="20"/>
          <w:color w:val="auto"/>
        </w:rPr>
      </w:pPr>
    </w:p>
    <w:p>
      <w:pPr>
        <w:ind w:left="340" w:right="379" w:hanging="3"/>
        <w:spacing w:after="0" w:line="244" w:lineRule="auto"/>
        <w:tabs>
          <w:tab w:leader="none" w:pos="50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March 31, 2027 or (ii) any later date as the parties to the Centessa Agreement may agree as the “Outside Date” thereunder or (y) we notify the trustee in writing that we will not pursue the consummation of the Centessa Acquisition, we will be required to redeem the Centessa Mandatorily Redeemable Notes then outstanding at a redemption price equal to 101% of the principal amount of such Centessa Mandatorily Redeemable Notes plus accrued and unpaid interest, if any, to, but excluding, the Centessa Special Mandatory Redemption Date. See “Description of the Notes—Special Mandatory Redemption” for additional information and definitions for the capitalized terms used but not defined in this risk factor.</w:t>
      </w:r>
    </w:p>
    <w:p>
      <w:pPr>
        <w:spacing w:after="0" w:line="150" w:lineRule="exact"/>
        <w:rPr>
          <w:sz w:val="20"/>
          <w:szCs w:val="20"/>
          <w:color w:val="auto"/>
        </w:rPr>
      </w:pPr>
    </w:p>
    <w:p>
      <w:pPr>
        <w:ind w:left="340" w:right="379" w:firstLine="333"/>
        <w:spacing w:after="0" w:line="245" w:lineRule="auto"/>
        <w:rPr>
          <w:sz w:val="20"/>
          <w:szCs w:val="20"/>
          <w:color w:val="auto"/>
        </w:rPr>
      </w:pPr>
      <w:r>
        <w:rPr>
          <w:rFonts w:ascii="Times New Roman" w:cs="Times New Roman" w:eastAsia="Times New Roman" w:hAnsi="Times New Roman"/>
          <w:sz w:val="14"/>
          <w:szCs w:val="14"/>
          <w:color w:val="auto"/>
        </w:rPr>
        <w:t>The net proceeds from the sale of notes in this offering will not be deposited into an escrow account pending completion of the Centessa Acquisition or the Centessa Special Mandatory Redemption, nor will we be required to grant any security interest or other lien on the proceeds to secure any redemption of the notes, and the indenture or any other definitive documentation that will govern any series of notes does not and will not impose any specific restrictions on our use of the proceeds prior to the consummation of the Acquisitions. Accordingly, the source of funds for the Centessa Special Mandatory Redemption would be the proceeds that we have voluntarily retained or other sources of liquidity. If we are required to redeem any series of notes pursuant to “Description of the Notes—Special Mandatory Redemption,” our ability to pay the redemption price may be limited by our financial resources at the time. In addition, whether or not a special mandatory redemption of the Centessa Mandatorily Redeemable Notes is ultimately triggered, the existence of these redemption provisions may adversely affect the trading prices (if active trading markets for the Centessa Mandatorily Redeemable Notes develop, which they may not) of the Centessa Mandatorily Redeemable Notes until such time, if any, as the Centessa Acquisition is consummated.</w:t>
      </w:r>
    </w:p>
    <w:p>
      <w:pPr>
        <w:spacing w:after="0" w:line="154" w:lineRule="exact"/>
        <w:rPr>
          <w:sz w:val="20"/>
          <w:szCs w:val="20"/>
          <w:color w:val="auto"/>
        </w:rPr>
      </w:pPr>
    </w:p>
    <w:p>
      <w:pPr>
        <w:ind w:left="340" w:right="1019" w:firstLine="333"/>
        <w:spacing w:after="0" w:line="264" w:lineRule="auto"/>
        <w:rPr>
          <w:sz w:val="20"/>
          <w:szCs w:val="20"/>
          <w:color w:val="auto"/>
        </w:rPr>
      </w:pPr>
      <w:r>
        <w:rPr>
          <w:rFonts w:ascii="Times New Roman" w:cs="Times New Roman" w:eastAsia="Times New Roman" w:hAnsi="Times New Roman"/>
          <w:sz w:val="14"/>
          <w:szCs w:val="14"/>
          <w:color w:val="auto"/>
        </w:rPr>
        <w:t>Even if we redeem the Centessa Mandatorily Redeemable Notes pursuant to the Centessa Special Mandatory Redemption described in “Description of the Notes—Special Mandatory Redemption,” you may not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9019"/>
          </w:cols>
          <w:pgMar w:left="1440" w:top="235" w:right="1440" w:bottom="1440" w:gutter="0" w:footer="0" w:header="0"/>
        </w:sectPr>
      </w:pPr>
    </w:p>
    <w:bookmarkStart w:id="8" w:name="page9"/>
    <w:bookmarkEnd w:id="8"/>
    <w:p>
      <w:pPr>
        <w:ind w:left="340" w:right="439"/>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be able to reinvest the proceeds you receive from the redemption in a comparable security at an effective interest rate or return on investment as high as you would have received on your notes being redeemed. Holders of the Centessa Mandatorily Redeemable Notes will have no right to opt out of the special mandatory redemption provisions of such notes. Your decision to invest in the notes is made at the time of the offering of the notes. We will not be required to redeem the Centessa Mandatorily Redeemable Notes if, between the closing of the offering of the notes and the closing of the Centessa Acquisition, we experience any change in our business or financial condition.</w:t>
      </w:r>
    </w:p>
    <w:p>
      <w:pPr>
        <w:spacing w:after="0" w:line="149" w:lineRule="exact"/>
        <w:rPr>
          <w:sz w:val="20"/>
          <w:szCs w:val="20"/>
          <w:color w:val="auto"/>
        </w:rPr>
      </w:pPr>
    </w:p>
    <w:p>
      <w:pPr>
        <w:ind w:left="340" w:right="379" w:firstLine="333"/>
        <w:spacing w:after="0" w:line="305" w:lineRule="auto"/>
        <w:rPr>
          <w:sz w:val="20"/>
          <w:szCs w:val="20"/>
          <w:color w:val="auto"/>
        </w:rPr>
      </w:pPr>
      <w:r>
        <w:rPr>
          <w:rFonts w:ascii="Times New Roman" w:cs="Times New Roman" w:eastAsia="Times New Roman" w:hAnsi="Times New Roman"/>
          <w:sz w:val="12"/>
          <w:szCs w:val="12"/>
          <w:color w:val="auto"/>
        </w:rPr>
        <w:t>The 2028 floating rate notes, the 5.600% notes and the 5.700% notes do not constitute Centessa Mandatorily Redeemable Notes and will not be subject to the Centessa Special Mandatory Redemption. Accordingly, if a Centessa Special Mandatory Redemption is triggered, such series of notes will not be required to be redeemed and will remain outstanding in accordance with their terms, subject to our right to redeem certain of such series of notes, in whole or in part, at any time and from time to time, even if the Centessa Acquisition is not consummated. See “Description of the Notes.”</w:t>
      </w:r>
    </w:p>
    <w:p>
      <w:pPr>
        <w:spacing w:after="0" w:line="1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The Centessa Agreement and the related documents may be amended or modified without your consent.</w:t>
      </w:r>
    </w:p>
    <w:p>
      <w:pPr>
        <w:spacing w:after="0" w:line="170" w:lineRule="exact"/>
        <w:rPr>
          <w:sz w:val="20"/>
          <w:szCs w:val="20"/>
          <w:color w:val="auto"/>
        </w:rPr>
      </w:pPr>
    </w:p>
    <w:p>
      <w:pPr>
        <w:ind w:left="340" w:right="399" w:firstLine="333"/>
        <w:spacing w:after="0" w:line="250" w:lineRule="auto"/>
        <w:rPr>
          <w:sz w:val="20"/>
          <w:szCs w:val="20"/>
          <w:color w:val="auto"/>
        </w:rPr>
      </w:pPr>
      <w:r>
        <w:rPr>
          <w:rFonts w:ascii="Times New Roman" w:cs="Times New Roman" w:eastAsia="Times New Roman" w:hAnsi="Times New Roman"/>
          <w:sz w:val="14"/>
          <w:szCs w:val="14"/>
          <w:color w:val="auto"/>
        </w:rPr>
        <w:t>Between the time of the issuance of the notes and the consummation of the Centessa Acquisition, the parties to the Centessa Agreement or other related transaction documents may agree to modify or waive the terms or conditions of such documents without consent from the holders of the notes. The terms of the notes will not preclude the parties to the Centessa Agreement from making certain changes to the terms of the Centessa Acquisition, or from waiving certain conditions to the Centessa Acquisition, that may adversely affect your investment in the notes.</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Additional Risks Related to the Floating Rate Notes</w:t>
      </w:r>
    </w:p>
    <w:p>
      <w:pPr>
        <w:spacing w:after="0" w:line="84" w:lineRule="exact"/>
        <w:rPr>
          <w:sz w:val="20"/>
          <w:szCs w:val="20"/>
          <w:color w:val="auto"/>
        </w:rPr>
      </w:pPr>
    </w:p>
    <w:p>
      <w:pPr>
        <w:ind w:left="340" w:right="559" w:firstLine="333"/>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amount of interest payable on either series of floating rate notes is set only once per period and will be determined only near the end of the relevant Interest Period.</w:t>
      </w:r>
    </w:p>
    <w:p>
      <w:pPr>
        <w:spacing w:after="0" w:line="132" w:lineRule="exact"/>
        <w:rPr>
          <w:sz w:val="20"/>
          <w:szCs w:val="20"/>
          <w:color w:val="auto"/>
        </w:rPr>
      </w:pPr>
    </w:p>
    <w:p>
      <w:pPr>
        <w:ind w:left="340" w:right="359" w:firstLine="333"/>
        <w:spacing w:after="0" w:line="245" w:lineRule="auto"/>
        <w:rPr>
          <w:sz w:val="20"/>
          <w:szCs w:val="20"/>
          <w:color w:val="auto"/>
        </w:rPr>
      </w:pPr>
      <w:r>
        <w:rPr>
          <w:rFonts w:ascii="Times New Roman" w:cs="Times New Roman" w:eastAsia="Times New Roman" w:hAnsi="Times New Roman"/>
          <w:sz w:val="14"/>
          <w:szCs w:val="14"/>
          <w:color w:val="auto"/>
        </w:rPr>
        <w:t>The amount of interest payable on either series of floating rate notes is determined by reference to Compounded SOFR. This floating rate may be volatile over time, which could result in holders of either series of floating rate notes experiencing a decline in their receipt of interest and also could cause a decline in the market price of either series of floating rate notes. We have no control over a number of factors that may affect market rates, including geopolitical conditions and economic, financial, political, regulatory, judicial or other events that affect the markets generally and that are important in determining the existence, magnitude and longevity of market rate risk. Furthermore, you should note that historical levels, fluctuations and trends of Compounded SOFR are not necessarily indicative of future levels. Any historical upward or downward trend in Compounded SOFR is not an indication that Compounded SOFR is more or less likely to increase or decrease at any time during the applicable life of either series of floating rate notes, and you should not take the historical levels of Compounded SOFR as an indication of its future performance. You should further note that, although the actual level of Compounded SOFR on an interest payment date or at other times during an Interest Period (as defined under “Description of the Notes—Floating Rate Notes”) may be higher than the level of Compounded SOFR on the Interest Determination Date (as defined under “Description of the Notes—Floating Rate Notes”) on which the interest rate is determined for such Interest Period, you will not benefit from the level of Compounded SOFR at any time other than on such Interest Determination Date. As a result, changes in Compounded SOFR may not result in a comparable change in the market value of either series of floating rate notes.</w:t>
      </w:r>
    </w:p>
    <w:p>
      <w:pPr>
        <w:spacing w:after="0" w:line="151" w:lineRule="exact"/>
        <w:rPr>
          <w:sz w:val="20"/>
          <w:szCs w:val="20"/>
          <w:color w:val="auto"/>
        </w:rPr>
      </w:pPr>
    </w:p>
    <w:p>
      <w:pPr>
        <w:ind w:left="340" w:right="379" w:firstLine="333"/>
        <w:spacing w:after="0" w:line="250" w:lineRule="auto"/>
        <w:rPr>
          <w:sz w:val="20"/>
          <w:szCs w:val="20"/>
          <w:color w:val="auto"/>
        </w:rPr>
      </w:pPr>
      <w:r>
        <w:rPr>
          <w:rFonts w:ascii="Times New Roman" w:cs="Times New Roman" w:eastAsia="Times New Roman" w:hAnsi="Times New Roman"/>
          <w:sz w:val="14"/>
          <w:szCs w:val="14"/>
          <w:color w:val="auto"/>
        </w:rPr>
        <w:t>In addition, interest payments due on either series of floating rate notes will be determined only near the end of the relevant Interest Period. Therefore, holders of either series of floating rate notes will not know the total amount of interest payable with respect to a particular Interest Period until shortly prior to the related interest payment date, and it may be difficult for holders of such series of floating rate notes to reliably estimate the total amount of interest that will be payable on each such interest payment date for the applicable series of floating</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9019"/>
          </w:cols>
          <w:pgMar w:left="1440" w:top="239" w:right="1440" w:bottom="1440" w:gutter="0" w:footer="0" w:header="0"/>
        </w:sectPr>
      </w:pPr>
    </w:p>
    <w:bookmarkStart w:id="9" w:name="page10"/>
    <w:bookmarkEnd w:id="9"/>
    <w:p>
      <w:pPr>
        <w:ind w:left="340" w:right="759"/>
        <w:spacing w:after="0" w:line="34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rate notes. In addition, some investors may be unwilling or unable to trade either series of floating rate notes without changes to their information technology systems, both of which could adversely impact the liquidity and trading price of the applicable series of floating rate notes.</w:t>
      </w:r>
    </w:p>
    <w:p>
      <w:pPr>
        <w:spacing w:after="0" w:line="8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SOFR has a limited history, and its future performance cannot be predicted based on its historical performance.</w:t>
      </w:r>
    </w:p>
    <w:p>
      <w:pPr>
        <w:spacing w:after="0" w:line="170" w:lineRule="exact"/>
        <w:rPr>
          <w:sz w:val="20"/>
          <w:szCs w:val="20"/>
          <w:color w:val="auto"/>
        </w:rPr>
      </w:pPr>
    </w:p>
    <w:p>
      <w:pPr>
        <w:ind w:left="340" w:right="379" w:firstLine="333"/>
        <w:spacing w:after="0" w:line="294" w:lineRule="auto"/>
        <w:rPr>
          <w:sz w:val="20"/>
          <w:szCs w:val="20"/>
          <w:color w:val="auto"/>
        </w:rPr>
      </w:pPr>
      <w:r>
        <w:rPr>
          <w:rFonts w:ascii="Times New Roman" w:cs="Times New Roman" w:eastAsia="Times New Roman" w:hAnsi="Times New Roman"/>
          <w:sz w:val="12"/>
          <w:szCs w:val="12"/>
          <w:color w:val="auto"/>
        </w:rPr>
        <w:t>Publication of SOFR began in April 2018, and it therefore has a limited history. The future performance of SOFR cannot be predicted based on its limited historical performance. Future levels of SOFR may bear little or no relation to the historical level of SOFR. Prior observed patterns, if any, in the behavior of market variables and their relation to SOFR, such as correlations, may change in the future. Because only limited historical data have been released by the New York Federal Reserve, such analysis inherently involves assumptions, estimates and approximations. The future performance of SOFR is impossible to predict, and therefore no future performance of either series of floating rate notes may be inferred from any of the historical actual or historical indicative data. Hypothetical or historical performance data are not indicative of, and have no bearing on, the potential performance of the applicable series of floating rate notes. Changes in the levels of SOFR may affect the return on either series of floating rate notes and the trading price of the applicable series of floating rate notes, but it is impossible to predict whether such levels will rise or fall.</w:t>
      </w:r>
    </w:p>
    <w:p>
      <w:pPr>
        <w:spacing w:after="0" w:line="2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Any failure of SOFR to maintain market acceptance could adversely affect value of either series of floating rate notes.</w:t>
      </w:r>
    </w:p>
    <w:p>
      <w:pPr>
        <w:spacing w:after="0" w:line="170" w:lineRule="exact"/>
        <w:rPr>
          <w:sz w:val="20"/>
          <w:szCs w:val="20"/>
          <w:color w:val="auto"/>
        </w:rPr>
      </w:pPr>
    </w:p>
    <w:p>
      <w:pPr>
        <w:ind w:left="340" w:right="379" w:firstLine="333"/>
        <w:spacing w:after="0" w:line="294" w:lineRule="auto"/>
        <w:rPr>
          <w:sz w:val="20"/>
          <w:szCs w:val="20"/>
          <w:color w:val="auto"/>
        </w:rPr>
      </w:pPr>
      <w:r>
        <w:rPr>
          <w:rFonts w:ascii="Times New Roman" w:cs="Times New Roman" w:eastAsia="Times New Roman" w:hAnsi="Times New Roman"/>
          <w:sz w:val="12"/>
          <w:szCs w:val="12"/>
          <w:color w:val="auto"/>
        </w:rPr>
        <w:t>SOFR was developed for use in certain U.S. dollar derivatives and other financial contracts as an alternative to the U.S. dollar London Interbank Offered Rate (“LIBOR”) in part because it is considered to be a good representation of general funding conditions in the overnight U.S. Treasury repurchase agreement market. However, as a rate based on transactions secured by U.S. Treasury securities, it does not measure bank-specific credit risk and, as a result, is less likely to correlate with the unsecured short-term funding costs of banks. This may mean that market participants would not consider SOFR to be a suitable substitute, replacement or successor for all of the purposes for which U.S. dollar LIBOR historically has been used (including, without limitation, as a representation of the unsecured short-term funding costs of banks), which may, in turn, lessen market acceptance of SOFR. Any failure of SOFR to maintain market acceptance could adversely affect the return on and value of either series of floating rate notes and the price at which holders of either series of floating rate notes can sell the applicable series of floating rate notes in the secondary market.</w:t>
      </w:r>
    </w:p>
    <w:p>
      <w:pPr>
        <w:spacing w:after="0" w:line="287" w:lineRule="exact"/>
        <w:rPr>
          <w:sz w:val="20"/>
          <w:szCs w:val="20"/>
          <w:color w:val="auto"/>
        </w:rPr>
      </w:pPr>
    </w:p>
    <w:p>
      <w:pPr>
        <w:ind w:left="340" w:right="559" w:firstLine="333"/>
        <w:spacing w:after="0" w:line="246" w:lineRule="auto"/>
        <w:rPr>
          <w:sz w:val="20"/>
          <w:szCs w:val="20"/>
          <w:color w:val="auto"/>
        </w:rPr>
      </w:pPr>
      <w:r>
        <w:rPr>
          <w:rFonts w:ascii="Times New Roman" w:cs="Times New Roman" w:eastAsia="Times New Roman" w:hAnsi="Times New Roman"/>
          <w:sz w:val="14"/>
          <w:szCs w:val="14"/>
          <w:color w:val="auto"/>
        </w:rPr>
        <w:t>In addition, if SOFR does not continue to be widely used as a benchmark in securities that are similar or comparable to either series of floating rate notes, the trading price of the applicable series of floating rate notes may be lower than those of securities that are linked to rates that are more widely used. Similarly, market terms for floating rate debt securities linked to SOFR, such as the spread over the base rate reflected in interest rate provisions or the manner of compounding the base rate, may evolve over time, and trading prices of either series of floating rate notes may be lower than those of later-issued SOFR-based debt securities as a result. Holders of either series of floating rate notes may not be able to sell the applicable series of floating rate notes at all or may not be able to sell the applicable series of floating rate notes at prices that will provide them with a yield comparable to similar investments that have a developed secondary market and may consequently suffer from increased pricing volatility and market risk.</w:t>
      </w:r>
    </w:p>
    <w:p>
      <w:pPr>
        <w:spacing w:after="0" w:line="14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SOFR may be more volatile than other market rates.</w:t>
      </w:r>
    </w:p>
    <w:p>
      <w:pPr>
        <w:spacing w:after="0" w:line="170" w:lineRule="exact"/>
        <w:rPr>
          <w:sz w:val="20"/>
          <w:szCs w:val="20"/>
          <w:color w:val="auto"/>
        </w:rPr>
      </w:pPr>
    </w:p>
    <w:p>
      <w:pPr>
        <w:ind w:left="340" w:right="439" w:firstLine="333"/>
        <w:spacing w:after="0" w:line="250" w:lineRule="auto"/>
        <w:rPr>
          <w:sz w:val="20"/>
          <w:szCs w:val="20"/>
          <w:color w:val="auto"/>
        </w:rPr>
      </w:pPr>
      <w:r>
        <w:rPr>
          <w:rFonts w:ascii="Times New Roman" w:cs="Times New Roman" w:eastAsia="Times New Roman" w:hAnsi="Times New Roman"/>
          <w:sz w:val="14"/>
          <w:szCs w:val="14"/>
          <w:color w:val="auto"/>
        </w:rPr>
        <w:t>Since the initial publication of SOFR, daily changes in the rate have, on occasion, been more volatile than daily changes in other benchmark or market rates during corresponding periods. In addition, although changes in Compounded SOFR generally are not expected to be as volatile as changes in SOFR on a daily basis, the return on, value of and market for either series of floating rate notes may fluctuate more than floating rate debt securities with interest rates based on less volatile rates. In addition, the volatility of SOFR has reflected the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9019"/>
          </w:cols>
          <w:pgMar w:left="1440" w:top="239" w:right="1440" w:bottom="1440" w:gutter="0" w:footer="0" w:header="0"/>
        </w:sectPr>
      </w:pPr>
    </w:p>
    <w:bookmarkStart w:id="10" w:name="page11"/>
    <w:bookmarkEnd w:id="10"/>
    <w:p>
      <w:pPr>
        <w:ind w:left="340" w:right="359"/>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underlying volatility of the overnight U.S. Treasury repo market. The New York Federal Reserve has at times conducted operations in the overnight U.S. Treasury repo market in order to help maintain the federal funds rate within a target range. There can be no assurance that the New York Federal Reserve will continue to conduct such operations in the future, and the duration and extent of any such operations is inherently uncertain. The effect of any such operations, or of the cessation of such operations to the extent they are commenced, is uncertain and could be materially adverse to investors in either series of floating rate notes.</w:t>
      </w:r>
    </w:p>
    <w:p>
      <w:pPr>
        <w:spacing w:after="0" w:line="145" w:lineRule="exact"/>
        <w:rPr>
          <w:sz w:val="20"/>
          <w:szCs w:val="20"/>
          <w:color w:val="auto"/>
        </w:rPr>
      </w:pPr>
    </w:p>
    <w:p>
      <w:pPr>
        <w:ind w:left="340" w:right="639" w:firstLine="333"/>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interest rate on either series of floating rate notes is based on Compounded SOFR and the SOFR Index, both of which have a limited history in the marketplace.</w:t>
      </w:r>
    </w:p>
    <w:p>
      <w:pPr>
        <w:spacing w:after="0" w:line="132" w:lineRule="exact"/>
        <w:rPr>
          <w:sz w:val="20"/>
          <w:szCs w:val="20"/>
          <w:color w:val="auto"/>
        </w:rPr>
      </w:pPr>
    </w:p>
    <w:p>
      <w:pPr>
        <w:ind w:left="340" w:right="419" w:firstLine="333"/>
        <w:spacing w:after="0" w:line="247" w:lineRule="auto"/>
        <w:rPr>
          <w:sz w:val="20"/>
          <w:szCs w:val="20"/>
          <w:color w:val="auto"/>
        </w:rPr>
      </w:pPr>
      <w:r>
        <w:rPr>
          <w:rFonts w:ascii="Times New Roman" w:cs="Times New Roman" w:eastAsia="Times New Roman" w:hAnsi="Times New Roman"/>
          <w:sz w:val="14"/>
          <w:szCs w:val="14"/>
          <w:color w:val="auto"/>
        </w:rPr>
        <w:t>The interest rate for either series of floating rate notes for each applicable Interest Period will be based on Compounded SOFR, which will be calculated according to a specific formula described under “Description of the Notes—Floating Rate Notes,” not by using SOFR published on or in respect of a particular date during such Interest Period or an arithmetic average of SOFR during such period. For this and other reasons, the interest rate on either series of floating rate notes during any applicable Interest Period will not necessarily be the same as the interest rate on other SOFR-linked investments that use an alternative basis to determine the applicable interest rate. Further, if SOFR in respect of a particular date during an Interest Period is negative, its contribution to the SOFR Index will be less than one, resulting in a reduction to Compounded SOFR used to calculate the interest payable on the applicable series of floating rate notes on the interest payment date for such Interest Period.</w:t>
      </w:r>
    </w:p>
    <w:p>
      <w:pPr>
        <w:spacing w:after="0" w:line="147" w:lineRule="exact"/>
        <w:rPr>
          <w:sz w:val="20"/>
          <w:szCs w:val="20"/>
          <w:color w:val="auto"/>
        </w:rPr>
      </w:pPr>
    </w:p>
    <w:p>
      <w:pPr>
        <w:ind w:left="340" w:right="399" w:firstLine="333"/>
        <w:spacing w:after="0" w:line="300" w:lineRule="auto"/>
        <w:rPr>
          <w:sz w:val="20"/>
          <w:szCs w:val="20"/>
          <w:color w:val="auto"/>
        </w:rPr>
      </w:pPr>
      <w:r>
        <w:rPr>
          <w:rFonts w:ascii="Times New Roman" w:cs="Times New Roman" w:eastAsia="Times New Roman" w:hAnsi="Times New Roman"/>
          <w:sz w:val="12"/>
          <w:szCs w:val="12"/>
          <w:color w:val="auto"/>
        </w:rPr>
        <w:t>In addition, the New York Federal Reserve only began publishing the SOFR Index on March 2, 2020. Accordingly, the use of the specific formula for Compounded SOFR used in the calculation of the interest rate for either series of floating rate notes may not be widely adopted by other market participants. You should carefully review the specific formula for Compounded SOFR as described under “Description of the Notes—Floating Rate Notes” before making an investment in either series of floating rate notes. If the market adopts a different calculation method than used for either series of floating rate notes, that will likely adversely affect the liquidity and market value of the applicable series of floating rate notes.</w:t>
      </w:r>
    </w:p>
    <w:p>
      <w:pPr>
        <w:spacing w:after="0" w:line="114" w:lineRule="exact"/>
        <w:rPr>
          <w:sz w:val="20"/>
          <w:szCs w:val="20"/>
          <w:color w:val="auto"/>
        </w:rPr>
      </w:pPr>
    </w:p>
    <w:p>
      <w:pPr>
        <w:ind w:left="340" w:right="479" w:firstLine="333"/>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SOFR Index may be modified or discontinued, and either series of floating rate notes may bear interest by reference to a rate other than Compounded SOFR, which could adversely affect the value of the applicable series of floating rate notes.</w:t>
      </w:r>
    </w:p>
    <w:p>
      <w:pPr>
        <w:spacing w:after="0" w:line="132" w:lineRule="exact"/>
        <w:rPr>
          <w:sz w:val="20"/>
          <w:szCs w:val="20"/>
          <w:color w:val="auto"/>
        </w:rPr>
      </w:pPr>
    </w:p>
    <w:p>
      <w:pPr>
        <w:ind w:left="340" w:right="359" w:firstLine="333"/>
        <w:spacing w:after="0" w:line="246" w:lineRule="auto"/>
        <w:rPr>
          <w:sz w:val="20"/>
          <w:szCs w:val="20"/>
          <w:color w:val="auto"/>
        </w:rPr>
      </w:pPr>
      <w:r>
        <w:rPr>
          <w:rFonts w:ascii="Times New Roman" w:cs="Times New Roman" w:eastAsia="Times New Roman" w:hAnsi="Times New Roman"/>
          <w:sz w:val="14"/>
          <w:szCs w:val="14"/>
          <w:color w:val="auto"/>
        </w:rPr>
        <w:t>The SOFR Index is published by the New York Federal Reserve based on data received by it from sources other than us, and we have no control over its methods of calculation, publication schedule or rate revision practices, or availability of the SOFR Index at any time. There can be no guarantee, particularly given its relatively limited history, that the SOFR Index will not be discontinued or fundamentally altered in a manner that is materially adverse to the interests of investors in either series of floating rate notes. If the manner in which the SOFR Index is calculated, including the manner in which SOFR is calculated, is changed, that change may result in a reduction in the amount of interest payable on the applicable series of floating rate notes and the trading prices of the applicable series of floating rate notes. In addition, the New York Federal Reserve may withdraw, modify or amend the published SOFR Index or SOFR data in its sole discretion and without notice. The interest rate on either series of floating rate notes for any Interest Period will not be adjusted for any modifications or amendments to the SOFR Index or SOFR data that the New York Federal Reserve may publish after the interest rate for that Interest Period has been determined.</w:t>
      </w:r>
    </w:p>
    <w:p>
      <w:pPr>
        <w:spacing w:after="0" w:line="149" w:lineRule="exact"/>
        <w:rPr>
          <w:sz w:val="20"/>
          <w:szCs w:val="20"/>
          <w:color w:val="auto"/>
        </w:rPr>
      </w:pPr>
    </w:p>
    <w:p>
      <w:pPr>
        <w:ind w:left="340" w:right="459" w:firstLine="333"/>
        <w:spacing w:after="0" w:line="248" w:lineRule="auto"/>
        <w:rPr>
          <w:sz w:val="20"/>
          <w:szCs w:val="20"/>
          <w:color w:val="auto"/>
        </w:rPr>
      </w:pPr>
      <w:r>
        <w:rPr>
          <w:rFonts w:ascii="Times New Roman" w:cs="Times New Roman" w:eastAsia="Times New Roman" w:hAnsi="Times New Roman"/>
          <w:sz w:val="14"/>
          <w:szCs w:val="14"/>
          <w:color w:val="auto"/>
        </w:rPr>
        <w:t>If we or our designee determine that a Benchmark Transition Event (as defined under “Description of the Notes—Floating Rate Notes”) and its related Benchmark Replacement Date (as defined under “Description of the Notes—Floating Rate Notes”) has occurred, the interest rate on all or any series of floating rate notes, as applicable, will no longer be determined by reference to Compounded SOFR, but instead by reference to a different rate or a different Benchmark (as defined under “Description of the Notes—Floating Rate Notes”), plus a spread adjustment, which we refer to as a “Benchmark Replacement,” as further described under “Description of the Notes—Floating Rate Notes.”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9019"/>
          </w:cols>
          <w:pgMar w:left="1440" w:top="239" w:right="1440" w:bottom="1440" w:gutter="0" w:footer="0" w:header="0"/>
        </w:sectPr>
      </w:pPr>
    </w:p>
    <w:bookmarkStart w:id="11" w:name="page12"/>
    <w:bookmarkEnd w:id="11"/>
    <w:p>
      <w:pPr>
        <w:ind w:left="340" w:right="399" w:firstLine="333"/>
        <w:spacing w:after="0" w:line="29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If a particular Benchmark Replacement cannot be determined, then the next available Benchmark Replacement will apply. These replacement rates and adjustments may be selected, recommended or formulated by (i) the Relevant Governmental Body (as defined under “Description of the Notes —Floating Rate Notes”) (such as the Federal Reserve Board), (ii) the International Swaps and Derivatives Association (“ISDA”) or (iii) in certain circumstances, us or our designee. In addition, the terms of the floating rate notes expressly authorize us or our designee to make Benchmark Replacement Conforming Changes (as defined under “Description of the Notes—Floating Rate Notes”) with respect to, among other things, changes to the definition or interpretation of “Interest Period,” the timing and frequency of determining rates and making payments of interest, the rounding of amounts or tenors and other administrative matters. The determination of a Benchmark Replacement, the calculation of the interest rate on either series of floating rate notes by reference to a Benchmark Replacement (including the application of a Benchmark Replacement Adjustment), any implementation of Benchmark Replacement Conforming Changes and any other determinations, decisions or elections that may be made under the terms of the applicable series of floating rate notes in connection with a Benchmark Transition Event, could adversely affect the value of either series of floating rate notes, the return on either series of floating rate notes and the price at which you can sell either series of floating rate notes.</w:t>
      </w:r>
    </w:p>
    <w:p>
      <w:pPr>
        <w:spacing w:after="0" w:line="288" w:lineRule="exact"/>
        <w:rPr>
          <w:sz w:val="20"/>
          <w:szCs w:val="20"/>
          <w:color w:val="auto"/>
        </w:rPr>
      </w:pPr>
    </w:p>
    <w:p>
      <w:pPr>
        <w:ind w:left="340" w:right="379" w:firstLine="333"/>
        <w:spacing w:after="0" w:line="247" w:lineRule="auto"/>
        <w:rPr>
          <w:sz w:val="20"/>
          <w:szCs w:val="20"/>
          <w:color w:val="auto"/>
        </w:rPr>
      </w:pPr>
      <w:r>
        <w:rPr>
          <w:rFonts w:ascii="Times New Roman" w:cs="Times New Roman" w:eastAsia="Times New Roman" w:hAnsi="Times New Roman"/>
          <w:sz w:val="14"/>
          <w:szCs w:val="14"/>
          <w:color w:val="auto"/>
        </w:rPr>
        <w:t>In addition, it is possible that (i) the Benchmark Replacement may not be the economic equivalent of Compounded SOFR and does not perform in the same way as Compounded SOFR would have at any time, (ii) the Benchmark Replacement fails to gain market acceptance, (iii) the Benchmark Replacement may have a very limited history and the future performance of the Benchmark Replacement may not be predictable based on historical performance, (iv) the secondary trading market for either series of floating rate notes linked to the Benchmark Replacement may be limited and (v) the administrator of the Benchmark Replacement may make changes that could change the value of the Benchmark Replacement or discontinue the Benchmark Replacement. As a result, any Benchmark Transition Event could adversely affect the value of either series of floating rate notes, the return on either series of floating rate notes and the price at which you can sell either series of floating rate notes.</w:t>
      </w:r>
    </w:p>
    <w:p>
      <w:pPr>
        <w:spacing w:after="0" w:line="143" w:lineRule="exact"/>
        <w:rPr>
          <w:sz w:val="20"/>
          <w:szCs w:val="20"/>
          <w:color w:val="auto"/>
        </w:rPr>
      </w:pPr>
    </w:p>
    <w:p>
      <w:pPr>
        <w:ind w:left="340" w:right="399" w:firstLine="333"/>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or our designee will have authority to make determinations, elections, calculations and adjustments that could affect the value of and your return on either series of floating rate notes.</w:t>
      </w:r>
    </w:p>
    <w:p>
      <w:pPr>
        <w:spacing w:after="0" w:line="132" w:lineRule="exact"/>
        <w:rPr>
          <w:sz w:val="20"/>
          <w:szCs w:val="20"/>
          <w:color w:val="auto"/>
        </w:rPr>
      </w:pPr>
    </w:p>
    <w:p>
      <w:pPr>
        <w:ind w:left="340" w:right="359" w:firstLine="333"/>
        <w:spacing w:after="0" w:line="288" w:lineRule="auto"/>
        <w:rPr>
          <w:sz w:val="20"/>
          <w:szCs w:val="20"/>
          <w:color w:val="auto"/>
        </w:rPr>
      </w:pPr>
      <w:r>
        <w:rPr>
          <w:rFonts w:ascii="Times New Roman" w:cs="Times New Roman" w:eastAsia="Times New Roman" w:hAnsi="Times New Roman"/>
          <w:sz w:val="12"/>
          <w:szCs w:val="12"/>
          <w:color w:val="auto"/>
        </w:rPr>
        <w:t>We or our designee will make certain determinations, decisions, elections, calculations and adjustments with respect to either series of floating rate notes, including in connection with any Benchmark Transition Event and Benchmark Replacement, that may adversely affect the value of and your return on the applicable series of floating rate notes. In particular, if a Benchmark Transition Event occurs with respect to either series of floating rate notes, the applicable Benchmark Replacement will be determined in accordance with the Benchmark transition provisions described under “Description of the Notes—Floating Rate Notes—Effect of a Benchmark Transition Event,” and we or our designee can make certain adjustments in connection with the implementation of the applicable Benchmark Replacement. Certain determinations may require the exercise of discretion and the making of subjective judgments, such as with respect to the determination of the Benchmark Replacement or the occurrence or non-occurrence of a Benchmark Transition Event. Because the continuation of SOFR on the current basis, and in turn the calculation of Compounded SOFR, cannot and will not be guaranteed, and because the applicable Benchmark Replacement is uncertain, we or our designee are likely to exercise more discretion in respect of calculating interest payable on either series of floating rate notes than would be the case in the absence of a Benchmark Transition Event. All determinations, decisions and elections by us or our designee are in our or such designee’s sole discretion (subject to consultation with us and our right to object to any determinations, decisions and elections made by our designee) as further described under “Description of the Notes—Floating Rate Notes” and will be conclusive for all purposes and binding on us and holders of the floating rate notes absent manifest error. Furthermore, all determinations, decisions and elections by us or our designee will become effective without consent from the holders of the applicable series of floating rate notes or any other party. These potentially subjective determinations may adversely affect the value of either series of floating rate notes, the return on either series of floating rate notes and the price at which you can sell either series of floating rate notes.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9019"/>
          </w:cols>
          <w:pgMar w:left="1440" w:top="239"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USE OF PROCEEDS</w:t>
      </w:r>
    </w:p>
    <w:p>
      <w:pPr>
        <w:spacing w:after="0" w:line="170" w:lineRule="exact"/>
        <w:rPr>
          <w:sz w:val="20"/>
          <w:szCs w:val="20"/>
          <w:color w:val="auto"/>
        </w:rPr>
      </w:pPr>
    </w:p>
    <w:p>
      <w:pPr>
        <w:ind w:left="340" w:right="499" w:firstLine="333"/>
        <w:spacing w:after="0" w:line="264" w:lineRule="auto"/>
        <w:rPr>
          <w:sz w:val="20"/>
          <w:szCs w:val="20"/>
          <w:color w:val="auto"/>
        </w:rPr>
      </w:pPr>
      <w:r>
        <w:rPr>
          <w:rFonts w:ascii="Times New Roman" w:cs="Times New Roman" w:eastAsia="Times New Roman" w:hAnsi="Times New Roman"/>
          <w:sz w:val="14"/>
          <w:szCs w:val="14"/>
          <w:color w:val="auto"/>
        </w:rPr>
        <w:t>We estimate that the net proceeds from the sale of the notes will be approximately $8.94 billion after deduction of the underwriting discount and before deduction of the estimated expenses of the offering.</w:t>
      </w:r>
    </w:p>
    <w:p>
      <w:pPr>
        <w:spacing w:after="0" w:line="136" w:lineRule="exact"/>
        <w:rPr>
          <w:sz w:val="20"/>
          <w:szCs w:val="20"/>
          <w:color w:val="auto"/>
        </w:rPr>
      </w:pPr>
    </w:p>
    <w:p>
      <w:pPr>
        <w:ind w:left="340" w:right="539" w:firstLine="333"/>
        <w:spacing w:after="0" w:line="248" w:lineRule="auto"/>
        <w:rPr>
          <w:sz w:val="20"/>
          <w:szCs w:val="20"/>
          <w:color w:val="auto"/>
        </w:rPr>
      </w:pPr>
      <w:r>
        <w:rPr>
          <w:rFonts w:ascii="Times New Roman" w:cs="Times New Roman" w:eastAsia="Times New Roman" w:hAnsi="Times New Roman"/>
          <w:sz w:val="14"/>
          <w:szCs w:val="14"/>
          <w:color w:val="auto"/>
        </w:rPr>
        <w:t>We expect to use the net proceeds from the sale of the notes for general corporate purposes, which may include the repayment of outstanding commercial paper, as well as potentially to fund all or a portion of the upfront cash consideration and related fees and expenses payable in connection with our pending acquisitions of Centessa and Kelonia. Prior to such uses, we may temporarily invest the net proceeds in marketable securities and short-term investments. As of May 5, 2026, the weighted average interest rate of our outstanding commercial paper borrowings was approximately 3.730% per annum and the weighted average maturity was approximately 17 days from issuance.</w:t>
      </w:r>
    </w:p>
    <w:p>
      <w:pPr>
        <w:spacing w:after="0" w:line="149" w:lineRule="exact"/>
        <w:rPr>
          <w:sz w:val="20"/>
          <w:szCs w:val="20"/>
          <w:color w:val="auto"/>
        </w:rPr>
      </w:pPr>
    </w:p>
    <w:p>
      <w:pPr>
        <w:ind w:left="340" w:right="899" w:firstLine="333"/>
        <w:spacing w:after="0" w:line="264" w:lineRule="auto"/>
        <w:rPr>
          <w:sz w:val="20"/>
          <w:szCs w:val="20"/>
          <w:color w:val="auto"/>
        </w:rPr>
      </w:pPr>
      <w:r>
        <w:rPr>
          <w:rFonts w:ascii="Times New Roman" w:cs="Times New Roman" w:eastAsia="Times New Roman" w:hAnsi="Times New Roman"/>
          <w:sz w:val="14"/>
          <w:szCs w:val="14"/>
          <w:color w:val="auto"/>
        </w:rPr>
        <w:t>This prospectus supplement is not an offer to purchase or a solicitation of an offer to sell any securities of Centessa or Kelonia, nor is it a solicitation to any securityholders of Centessa or Kelonia.</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9019"/>
          </w:cols>
          <w:pgMar w:left="1440" w:top="235"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DESCRIPTION OF THE NOTES</w:t>
      </w:r>
    </w:p>
    <w:p>
      <w:pPr>
        <w:spacing w:after="0" w:line="170" w:lineRule="exact"/>
        <w:rPr>
          <w:sz w:val="20"/>
          <w:szCs w:val="20"/>
          <w:color w:val="auto"/>
        </w:rPr>
      </w:pPr>
    </w:p>
    <w:p>
      <w:pPr>
        <w:ind w:left="340" w:right="399" w:firstLine="333"/>
        <w:spacing w:after="0" w:line="245" w:lineRule="auto"/>
        <w:rPr>
          <w:sz w:val="20"/>
          <w:szCs w:val="20"/>
          <w:color w:val="auto"/>
        </w:rPr>
      </w:pPr>
      <w:r>
        <w:rPr>
          <w:rFonts w:ascii="Times New Roman" w:cs="Times New Roman" w:eastAsia="Times New Roman" w:hAnsi="Times New Roman"/>
          <w:sz w:val="14"/>
          <w:szCs w:val="14"/>
          <w:color w:val="auto"/>
        </w:rPr>
        <w:t>The following summary describes certain terms of the floating rate notes due 2028 (the “2028 floating rate notes”), the floating rate notes due 2029 (the “2029 floating rate notes” and, together with the 2028 floating rate notes, the “floating rate notes”), the 4.150% notes due 2029 (the “4.150% notes”), the 4.375% notes due 2031 (the “4.375% notes”), the 4.650% notes due 2033 (the “4.650% notes”), the 4.850% notes due 2036 (the “4.850% notes”), the 5.600% notes due 2056 (the “5.600% notes”) and the 5.700% notes due 2066 (the “5.700% notes” and, collectively with the 4.150% notes, the 4.375% notes, the 4.650% notes, the 4.850% notes and the 5.600% notes, the “fixed rate notes” and, unless the context otherwise requires, the fixed rate notes together with the floating rate notes, the “notes”), respectively, and supplements, and to the extent inconsistent replaces, the description of the general terms of the debt securities included in the accompanying prospectus. Each series of notes will be a single series of debt securities issued under an indenture, dated as of February 1, 1991 (the “Indenture”), between us and Deutsche Bank Trust Company Americas (as successor to Citibank, N.A.), as trustee. The following summary of the notes does not purport to be complete and is subject to, and is qualified in its entirety by reference to, the actual provisions of the notes and the Indenture. As used in this section, unless otherwise indicated, all references to “we,” “us,” “our” and “Eli Lilly” refer only to Eli Lilly and Company and not to any of our subsidiaries.</w:t>
      </w:r>
    </w:p>
    <w:p>
      <w:pPr>
        <w:spacing w:after="0" w:line="2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8" w:lineRule="exact"/>
        <w:rPr>
          <w:sz w:val="20"/>
          <w:szCs w:val="20"/>
          <w:color w:val="auto"/>
        </w:rPr>
      </w:pPr>
    </w:p>
    <w:p>
      <w:pPr>
        <w:ind w:left="340" w:right="439" w:firstLine="333"/>
        <w:spacing w:after="0" w:line="254" w:lineRule="auto"/>
        <w:rPr>
          <w:sz w:val="20"/>
          <w:szCs w:val="20"/>
          <w:color w:val="auto"/>
        </w:rPr>
      </w:pPr>
      <w:r>
        <w:rPr>
          <w:rFonts w:ascii="Times New Roman" w:cs="Times New Roman" w:eastAsia="Times New Roman" w:hAnsi="Times New Roman"/>
          <w:sz w:val="14"/>
          <w:szCs w:val="14"/>
          <w:color w:val="auto"/>
        </w:rPr>
        <w:t>The notes will be our unsecured and unsubordinated obligations and will rank equally with all of our other unsecured and unsubordinated indebtedness. The notes will be issued in fully registered form only, in minimum denominations of $2,000 and integral multiples of $1,000 in excess of that amount.</w:t>
      </w:r>
    </w:p>
    <w:p>
      <w:pPr>
        <w:spacing w:after="0" w:line="142" w:lineRule="exact"/>
        <w:rPr>
          <w:sz w:val="20"/>
          <w:szCs w:val="20"/>
          <w:color w:val="auto"/>
        </w:rPr>
      </w:pPr>
    </w:p>
    <w:p>
      <w:pPr>
        <w:ind w:left="340" w:right="459" w:firstLine="333"/>
        <w:spacing w:after="0" w:line="287" w:lineRule="auto"/>
        <w:rPr>
          <w:sz w:val="20"/>
          <w:szCs w:val="20"/>
          <w:color w:val="auto"/>
        </w:rPr>
      </w:pPr>
      <w:r>
        <w:rPr>
          <w:rFonts w:ascii="Times New Roman" w:cs="Times New Roman" w:eastAsia="Times New Roman" w:hAnsi="Times New Roman"/>
          <w:sz w:val="12"/>
          <w:szCs w:val="12"/>
          <w:color w:val="auto"/>
        </w:rPr>
        <w:t>We will issue $750,000,000 in aggregate principal amount of 2028 floating rate notes, $500,000,000 in aggregate principal amount of 2029 floating rate notes, $750,000,000 in aggregate principal amount of 4.150% notes, $1,500,000,000 in aggregate principal amount of 4.375% notes, $1,250,000,000 in aggregate principal amount of 4.650% notes, $1,500,000,000 in aggregate principal amount of 4.850% notes, $1,750,000,000 in aggregate principal amount of 5.600% notes and $1,000,000,000 in aggregate principal amount of 5.700% notes and, except as contemplated below under “—Optional Redemption” or “—Special Mandatory Redemption” with respect to the applicable series of notes, the 4.150% notes will mature on May 20, 2029, the 4.375% notes will mature on May 20, 2031, the 4.650% notes will mature on May 20, 2033, the 4.850% notes will mature on</w:t>
      </w:r>
    </w:p>
    <w:p>
      <w:pPr>
        <w:spacing w:after="0" w:line="2" w:lineRule="exact"/>
        <w:rPr>
          <w:sz w:val="20"/>
          <w:szCs w:val="20"/>
          <w:color w:val="auto"/>
        </w:rPr>
      </w:pPr>
    </w:p>
    <w:p>
      <w:pPr>
        <w:ind w:left="340" w:right="399"/>
        <w:spacing w:after="0" w:line="245" w:lineRule="auto"/>
        <w:rPr>
          <w:sz w:val="20"/>
          <w:szCs w:val="20"/>
          <w:color w:val="auto"/>
        </w:rPr>
      </w:pPr>
      <w:r>
        <w:rPr>
          <w:rFonts w:ascii="Times New Roman" w:cs="Times New Roman" w:eastAsia="Times New Roman" w:hAnsi="Times New Roman"/>
          <w:sz w:val="14"/>
          <w:szCs w:val="14"/>
          <w:color w:val="auto"/>
        </w:rPr>
        <w:t>May 20, 2036, the 5.600% notes will mature on May 20, 2056 and the 5.700% notes will mature on May 20, 2066. Except as contemplated below under “—Special Mandatory Redemption” with respect to the applicable series of notes, the 2028 floating rate notes will mature on May 20, 2028 and the 2029 floating rate notes will mature on May 20, 2029.</w:t>
      </w:r>
    </w:p>
    <w:p>
      <w:pPr>
        <w:spacing w:after="0" w:line="149" w:lineRule="exact"/>
        <w:rPr>
          <w:sz w:val="20"/>
          <w:szCs w:val="20"/>
          <w:color w:val="auto"/>
        </w:rPr>
      </w:pPr>
    </w:p>
    <w:p>
      <w:pPr>
        <w:jc w:val="both"/>
        <w:ind w:left="340" w:right="619" w:firstLine="333"/>
        <w:spacing w:after="0" w:line="305" w:lineRule="auto"/>
        <w:rPr>
          <w:sz w:val="20"/>
          <w:szCs w:val="20"/>
          <w:color w:val="auto"/>
        </w:rPr>
      </w:pPr>
      <w:r>
        <w:rPr>
          <w:rFonts w:ascii="Times New Roman" w:cs="Times New Roman" w:eastAsia="Times New Roman" w:hAnsi="Times New Roman"/>
          <w:sz w:val="12"/>
          <w:szCs w:val="12"/>
          <w:color w:val="auto"/>
        </w:rPr>
        <w:t>However, we may, without the consent of the holders of notes, issue additional debt securities having the same ranking, interest rate, maturity, redemption provisions and other terms as the notes of a particular series. Any additional debt securities having such similar terms, together with the notes of such series, will constitute a single series of debt securities under the Indenture. If, however, such additional debt securities are not fungible with the notes for U.S. federal income tax purposes, such additional debt securities will have one or more separate CUSIP numbers.</w:t>
      </w:r>
    </w:p>
    <w:p>
      <w:pPr>
        <w:spacing w:after="0" w:line="116" w:lineRule="exact"/>
        <w:rPr>
          <w:sz w:val="20"/>
          <w:szCs w:val="20"/>
          <w:color w:val="auto"/>
        </w:rPr>
      </w:pPr>
    </w:p>
    <w:p>
      <w:pPr>
        <w:ind w:left="340" w:right="459" w:firstLine="333"/>
        <w:spacing w:after="0" w:line="264" w:lineRule="auto"/>
        <w:rPr>
          <w:sz w:val="20"/>
          <w:szCs w:val="20"/>
          <w:color w:val="auto"/>
        </w:rPr>
      </w:pPr>
      <w:r>
        <w:rPr>
          <w:rFonts w:ascii="Times New Roman" w:cs="Times New Roman" w:eastAsia="Times New Roman" w:hAnsi="Times New Roman"/>
          <w:sz w:val="14"/>
          <w:szCs w:val="14"/>
          <w:color w:val="auto"/>
        </w:rPr>
        <w:t>As used in this prospectus supplement, “business day” means any day, other than a Saturday or a Sunday, that is neither a legal holiday nor a day on which banking institutions are authorized or required by law or regulation to close in the City of New York, New York.</w:t>
      </w:r>
    </w:p>
    <w:p>
      <w:pPr>
        <w:spacing w:after="0" w:line="136" w:lineRule="exact"/>
        <w:rPr>
          <w:sz w:val="20"/>
          <w:szCs w:val="20"/>
          <w:color w:val="auto"/>
        </w:rPr>
      </w:pPr>
    </w:p>
    <w:p>
      <w:pPr>
        <w:ind w:left="340" w:right="819" w:firstLine="333"/>
        <w:spacing w:after="0" w:line="264" w:lineRule="auto"/>
        <w:rPr>
          <w:sz w:val="20"/>
          <w:szCs w:val="20"/>
          <w:color w:val="auto"/>
        </w:rPr>
      </w:pPr>
      <w:r>
        <w:rPr>
          <w:rFonts w:ascii="Times New Roman" w:cs="Times New Roman" w:eastAsia="Times New Roman" w:hAnsi="Times New Roman"/>
          <w:sz w:val="14"/>
          <w:szCs w:val="14"/>
          <w:color w:val="auto"/>
        </w:rPr>
        <w:t>The notes will not have the benefit of any sinking fund and, except as set forth under “Special Mandatory Redemption” with respect to the applicable series of notes, the notes will not be subject to any mandatory redemption provision.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9019"/>
          </w:cols>
          <w:pgMar w:left="1440" w:top="235" w:right="1440" w:bottom="1440" w:gutter="0" w:footer="0" w:header="0"/>
        </w:sectPr>
      </w:pPr>
    </w:p>
    <w:bookmarkStart w:id="14" w:name="page15"/>
    <w:bookmarkEnd w:id="14"/>
    <w:p>
      <w:pPr>
        <w:ind w:left="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Fixed Rate Notes</w:t>
      </w:r>
    </w:p>
    <w:p>
      <w:pPr>
        <w:spacing w:after="0" w:line="88" w:lineRule="exact"/>
        <w:rPr>
          <w:sz w:val="20"/>
          <w:szCs w:val="20"/>
          <w:color w:val="auto"/>
        </w:rPr>
      </w:pPr>
    </w:p>
    <w:p>
      <w:pPr>
        <w:ind w:left="340" w:right="559" w:firstLine="333"/>
        <w:spacing w:after="0" w:line="316" w:lineRule="auto"/>
        <w:rPr>
          <w:sz w:val="20"/>
          <w:szCs w:val="20"/>
          <w:color w:val="auto"/>
        </w:rPr>
      </w:pPr>
      <w:r>
        <w:rPr>
          <w:rFonts w:ascii="Times New Roman" w:cs="Times New Roman" w:eastAsia="Times New Roman" w:hAnsi="Times New Roman"/>
          <w:sz w:val="12"/>
          <w:szCs w:val="12"/>
          <w:color w:val="auto"/>
        </w:rPr>
        <w:t>We will pay interest on the fixed rate notes at the rates stated in the table below, semi-annually in arrears, on May 20 and November 20 of each year, commencing on November 20, 2026, to the persons in whose names such fixed rate notes are registered at the close of business on May 5 or November 5, respectively, as the case may be (whether or not a business day), immediately preceding the relevant interest payment date.</w:t>
      </w:r>
    </w:p>
    <w:p>
      <w:pPr>
        <w:spacing w:after="0" w:line="108" w:lineRule="exact"/>
        <w:rPr>
          <w:sz w:val="20"/>
          <w:szCs w:val="20"/>
          <w:color w:val="auto"/>
        </w:rPr>
      </w:pPr>
    </w:p>
    <w:tbl>
      <w:tblPr>
        <w:tblLayout w:type="fixed"/>
        <w:tblInd w:w="1680" w:type="dxa"/>
        <w:tblCellMar>
          <w:top w:w="0" w:type="dxa"/>
          <w:left w:w="0" w:type="dxa"/>
          <w:bottom w:w="0" w:type="dxa"/>
          <w:right w:w="0" w:type="dxa"/>
        </w:tblCellMar>
      </w:tblPr>
      <w:tr>
        <w:trPr>
          <w:trHeight w:val="126"/>
        </w:trPr>
        <w:tc>
          <w:tcPr>
            <w:tcW w:w="2900" w:type="dxa"/>
            <w:vAlign w:val="bottom"/>
          </w:tcPr>
          <w:p>
            <w:pPr>
              <w:spacing w:after="0"/>
              <w:rPr>
                <w:sz w:val="11"/>
                <w:szCs w:val="11"/>
                <w:color w:val="auto"/>
              </w:rPr>
            </w:pPr>
          </w:p>
        </w:tc>
        <w:tc>
          <w:tcPr>
            <w:tcW w:w="2760" w:type="dxa"/>
            <w:vAlign w:val="bottom"/>
            <w:gridSpan w:val="3"/>
          </w:tcPr>
          <w:p>
            <w:pPr>
              <w:ind w:left="2000"/>
              <w:spacing w:after="0"/>
              <w:rPr>
                <w:sz w:val="20"/>
                <w:szCs w:val="20"/>
                <w:color w:val="auto"/>
              </w:rPr>
            </w:pPr>
            <w:r>
              <w:rPr>
                <w:rFonts w:ascii="Times New Roman" w:cs="Times New Roman" w:eastAsia="Times New Roman" w:hAnsi="Times New Roman"/>
                <w:sz w:val="11"/>
                <w:szCs w:val="11"/>
                <w:b w:val="1"/>
                <w:bCs w:val="1"/>
                <w:color w:val="auto"/>
              </w:rPr>
              <w:t>Interest Rate</w:t>
            </w:r>
          </w:p>
        </w:tc>
      </w:tr>
      <w:tr>
        <w:trPr>
          <w:trHeight w:val="131"/>
        </w:trPr>
        <w:tc>
          <w:tcPr>
            <w:tcW w:w="2900" w:type="dxa"/>
            <w:vAlign w:val="bottom"/>
            <w:tcBorders>
              <w:bottom w:val="single" w:sz="8" w:color="CCEEFF"/>
            </w:tcBorders>
          </w:tcPr>
          <w:p>
            <w:pPr>
              <w:spacing w:after="0"/>
              <w:rPr>
                <w:sz w:val="11"/>
                <w:szCs w:val="11"/>
                <w:color w:val="auto"/>
              </w:rPr>
            </w:pPr>
          </w:p>
        </w:tc>
        <w:tc>
          <w:tcPr>
            <w:tcW w:w="200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8"/>
              </w:rPr>
              <w:t>(per annum)</w:t>
            </w:r>
          </w:p>
        </w:tc>
        <w:tc>
          <w:tcPr>
            <w:tcW w:w="160" w:type="dxa"/>
            <w:vAlign w:val="bottom"/>
            <w:tcBorders>
              <w:bottom w:val="single" w:sz="8" w:color="CCEEFF"/>
            </w:tcBorders>
          </w:tcPr>
          <w:p>
            <w:pPr>
              <w:spacing w:after="0"/>
              <w:rPr>
                <w:sz w:val="11"/>
                <w:szCs w:val="11"/>
                <w:color w:val="auto"/>
              </w:rPr>
            </w:pPr>
          </w:p>
        </w:tc>
      </w:tr>
      <w:tr>
        <w:trPr>
          <w:trHeight w:val="154"/>
        </w:trPr>
        <w:tc>
          <w:tcPr>
            <w:tcW w:w="29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Per 4.150% note</w:t>
            </w:r>
          </w:p>
        </w:tc>
        <w:tc>
          <w:tcPr>
            <w:tcW w:w="20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54" w:lineRule="exact"/>
              <w:rPr>
                <w:sz w:val="20"/>
                <w:szCs w:val="20"/>
                <w:color w:val="auto"/>
              </w:rPr>
            </w:pPr>
            <w:r>
              <w:rPr>
                <w:rFonts w:ascii="Times New Roman" w:cs="Times New Roman" w:eastAsia="Times New Roman" w:hAnsi="Times New Roman"/>
                <w:sz w:val="14"/>
                <w:szCs w:val="14"/>
                <w:color w:val="auto"/>
              </w:rPr>
              <w:t>4.150%</w:t>
            </w:r>
          </w:p>
        </w:tc>
      </w:tr>
      <w:tr>
        <w:trPr>
          <w:trHeight w:val="163"/>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Per 4.375% note</w:t>
            </w:r>
          </w:p>
        </w:tc>
        <w:tc>
          <w:tcPr>
            <w:tcW w:w="2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4.375%</w:t>
            </w:r>
          </w:p>
        </w:tc>
      </w:tr>
      <w:tr>
        <w:trPr>
          <w:trHeight w:val="16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4.650% note</w:t>
            </w:r>
          </w:p>
        </w:tc>
        <w:tc>
          <w:tcPr>
            <w:tcW w:w="2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4.650%</w:t>
            </w:r>
          </w:p>
        </w:tc>
      </w:tr>
      <w:tr>
        <w:trPr>
          <w:trHeight w:val="163"/>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Per 4.850% note</w:t>
            </w:r>
          </w:p>
        </w:tc>
        <w:tc>
          <w:tcPr>
            <w:tcW w:w="2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4.850%</w:t>
            </w:r>
          </w:p>
        </w:tc>
      </w:tr>
      <w:tr>
        <w:trPr>
          <w:trHeight w:val="16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5.600% note</w:t>
            </w:r>
          </w:p>
        </w:tc>
        <w:tc>
          <w:tcPr>
            <w:tcW w:w="2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5.600%</w:t>
            </w:r>
          </w:p>
        </w:tc>
      </w:tr>
      <w:tr>
        <w:trPr>
          <w:trHeight w:val="175"/>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Per 5.700% note</w:t>
            </w:r>
          </w:p>
        </w:tc>
        <w:tc>
          <w:tcPr>
            <w:tcW w:w="2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5.700%</w:t>
            </w:r>
          </w:p>
        </w:tc>
      </w:tr>
    </w:tbl>
    <w:p>
      <w:pPr>
        <w:spacing w:after="0" w:line="139" w:lineRule="exact"/>
        <w:rPr>
          <w:sz w:val="20"/>
          <w:szCs w:val="20"/>
          <w:color w:val="auto"/>
        </w:rPr>
      </w:pPr>
    </w:p>
    <w:p>
      <w:pPr>
        <w:ind w:left="340" w:right="579" w:firstLine="333"/>
        <w:spacing w:after="0" w:line="250" w:lineRule="auto"/>
        <w:rPr>
          <w:sz w:val="20"/>
          <w:szCs w:val="20"/>
          <w:color w:val="auto"/>
        </w:rPr>
      </w:pPr>
      <w:r>
        <w:rPr>
          <w:rFonts w:ascii="Times New Roman" w:cs="Times New Roman" w:eastAsia="Times New Roman" w:hAnsi="Times New Roman"/>
          <w:sz w:val="14"/>
          <w:szCs w:val="14"/>
          <w:color w:val="auto"/>
        </w:rPr>
        <w:t>Interest payments for the fixed rate notes will include accrued interest from, and including, the date of issuance or from, and including, the last date in respect of which interest has been paid or duly provided for, as the case may be, to, but excluding, the applicable interest payment date or the stated maturity date or the date of earlier redemption, as the case may be. Interest will be computed on the basis of a 360-day year of twelve 30-day months.</w:t>
      </w:r>
    </w:p>
    <w:p>
      <w:pPr>
        <w:spacing w:after="0" w:line="146" w:lineRule="exact"/>
        <w:rPr>
          <w:sz w:val="20"/>
          <w:szCs w:val="20"/>
          <w:color w:val="auto"/>
        </w:rPr>
      </w:pPr>
    </w:p>
    <w:p>
      <w:pPr>
        <w:ind w:left="340" w:right="379" w:firstLine="333"/>
        <w:spacing w:after="0" w:line="248" w:lineRule="auto"/>
        <w:rPr>
          <w:sz w:val="20"/>
          <w:szCs w:val="20"/>
          <w:color w:val="auto"/>
        </w:rPr>
      </w:pPr>
      <w:r>
        <w:rPr>
          <w:rFonts w:ascii="Times New Roman" w:cs="Times New Roman" w:eastAsia="Times New Roman" w:hAnsi="Times New Roman"/>
          <w:sz w:val="14"/>
          <w:szCs w:val="14"/>
          <w:color w:val="auto"/>
        </w:rPr>
        <w:t>If any interest payment date falls on a day that is not a business day, we will make the required interest payment on the next business day, and no interest on such payment will accrue for the period from and after such interest payment date. Similarly, if the stated maturity date or the date of earlier redemption, as the case may be (a “maturity date”), of the fixed rate notes falls on a day that is not a business day, we will make the required payment of principal, premium, if any, and interest, if any, on the next succeeding business day, and no interest on such payment will accrue for the period from and after such maturity date.</w:t>
      </w: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Floating Rate Notes</w:t>
      </w:r>
    </w:p>
    <w:p>
      <w:pPr>
        <w:spacing w:after="0" w:line="88" w:lineRule="exact"/>
        <w:rPr>
          <w:sz w:val="20"/>
          <w:szCs w:val="20"/>
          <w:color w:val="auto"/>
        </w:rPr>
      </w:pPr>
    </w:p>
    <w:p>
      <w:pPr>
        <w:ind w:left="340" w:right="359" w:firstLine="333"/>
        <w:spacing w:after="0" w:line="245" w:lineRule="auto"/>
        <w:rPr>
          <w:sz w:val="20"/>
          <w:szCs w:val="20"/>
          <w:color w:val="auto"/>
        </w:rPr>
      </w:pPr>
      <w:r>
        <w:rPr>
          <w:rFonts w:ascii="Times New Roman" w:cs="Times New Roman" w:eastAsia="Times New Roman" w:hAnsi="Times New Roman"/>
          <w:sz w:val="14"/>
          <w:szCs w:val="14"/>
          <w:color w:val="auto"/>
        </w:rPr>
        <w:t>The 2028 floating rate notes will bear interest at a floating rate, reset quarterly on each Floating Rate Interest Payment Date (as defined below), equal to Compounded SOFR, plus 0.350%. The 2029 floating rate notes will bear interest at a floating rate, reset quarterly on each Floating Rate Interest Payment Date, equal to Compounded SOFR, plus 0.460%. In no event will the interest on either series of floating rate notes be (i) higher than the maximum rate permitted by New York law as the same may be modified by U.S. law of general application or (ii) lower than zero. Interest on the floating rate notes will be payable quarterly in arrears on February 20, May 20, August 20 and November 20 of each year, commencing on August 20, 2026, and at the respective maturity of each series of floating rate notes (each, a “Floating Rate Interest Payment Date”), to holders of record of the applicable series of floating rate notes as of the close of business on the date that is 15 calendar days prior to the applicable Floating Rate Interest Payment Date. Interest on the floating rate notes will accrue from and including the most recent Floating Rate Interest Payment Date for the applicable series of floating rate notes or, if no interest has been paid, from May 20, 2026. If February 20, May 20, August 20 or November 20 of any year is not a business day, then the next succeeding business day will be the applicable Floating Rate Interest Payment Date for the applicable series of floating rate notes and interest on such series of floating rate notes will be paid on such next succeeding business day (unless such next succeeding business day falls in the succeeding calendar month, in which case the applicable Floating Rate Interest Payment Date for such series of floating rate notes will be the business day immediately preceding such February 20, May 20, August 20 or November 20, and interest on such series of floating rate notes will be paid on such immediately preceding business day). If the maturity date of either series of floating rate notes is not a business day, the payment of principal of, and interest on, such series of floating rate notes will be made on the next succeeding business day, and no interest will accrue for the period from and after such maturity date.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9019"/>
          </w:cols>
          <w:pgMar w:left="1440" w:top="235" w:right="1440" w:bottom="1440" w:gutter="0" w:footer="0" w:header="0"/>
        </w:sectPr>
      </w:pPr>
    </w:p>
    <w:bookmarkStart w:id="15" w:name="page16"/>
    <w:bookmarkEnd w:id="15"/>
    <w:p>
      <w:pPr>
        <w:ind w:left="340" w:right="519" w:firstLine="333"/>
        <w:spacing w:after="0" w:line="29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“initial Interest Period” for either series of floating rate notes means the period from and including May 20, 2026 to, but excluding, the first Floating Rate Interest Payment Date for such series of floating rate notes. Thereafter, each “Interest Period” means the period from and including the applicable Floating Rate Interest Payment Date to, but excluding, the immediately succeeding Floating Rate Interest Payment Date for such series of floating rate notes (such succeeding Floating Rate Interest Payment Date, the “Latter Floating Rate Interest Payment Date”); provided that the final Interest Period for either series of floating rate notes will be the period from and including the Floating Rate Interest Payment Date immediately preceding the maturity date of such series of floating rate notes to, but excluding, the maturity date of such series of floating rate notes. Interest on the floating rate notes will be computed on the basis of a 360-day year and the actual number of days in the Observation Period.</w:t>
      </w:r>
    </w:p>
    <w:p>
      <w:pPr>
        <w:spacing w:after="0" w:line="120" w:lineRule="exact"/>
        <w:rPr>
          <w:sz w:val="20"/>
          <w:szCs w:val="20"/>
          <w:color w:val="auto"/>
        </w:rPr>
      </w:pPr>
    </w:p>
    <w:p>
      <w:pPr>
        <w:ind w:left="340" w:right="399" w:firstLine="333"/>
        <w:spacing w:after="0" w:line="247" w:lineRule="auto"/>
        <w:rPr>
          <w:sz w:val="20"/>
          <w:szCs w:val="20"/>
          <w:color w:val="auto"/>
        </w:rPr>
      </w:pPr>
      <w:r>
        <w:rPr>
          <w:rFonts w:ascii="Times New Roman" w:cs="Times New Roman" w:eastAsia="Times New Roman" w:hAnsi="Times New Roman"/>
          <w:sz w:val="14"/>
          <w:szCs w:val="14"/>
          <w:color w:val="auto"/>
        </w:rPr>
        <w:t>The interest rate for the initial Interest Period (x) with respect to the 2028 floating rate notes will be Compounded SOFR determined on August 18, 2026, plus 0.350% and (y) with respect to the 2029 floating rate notes will be Compounded SOFR determined on August 18, 2026, plus 0.460%. Thereafter, the interest rate for any Interest Period will be Compounded SOFR, as determined on the applicable date that is the second U.S. Government Securities Business Day (as defined below) preceding such Floating Rate Interest Payment Date for such series of floating rate notes (the “Interest Determination Date”), plus (x) with respect to the 2028 floating rate notes, a margin of 0.350% and (y) with respect to the 2029 floating rate notes, a margin of 0.460%.</w:t>
      </w:r>
    </w:p>
    <w:p>
      <w:pPr>
        <w:spacing w:after="0" w:line="150" w:lineRule="exact"/>
        <w:rPr>
          <w:sz w:val="20"/>
          <w:szCs w:val="20"/>
          <w:color w:val="auto"/>
        </w:rPr>
      </w:pPr>
    </w:p>
    <w:p>
      <w:pPr>
        <w:ind w:left="340" w:right="459" w:firstLine="333"/>
        <w:spacing w:after="0" w:line="305" w:lineRule="auto"/>
        <w:rPr>
          <w:sz w:val="20"/>
          <w:szCs w:val="20"/>
          <w:color w:val="auto"/>
        </w:rPr>
      </w:pPr>
      <w:r>
        <w:rPr>
          <w:rFonts w:ascii="Times New Roman" w:cs="Times New Roman" w:eastAsia="Times New Roman" w:hAnsi="Times New Roman"/>
          <w:sz w:val="12"/>
          <w:szCs w:val="12"/>
          <w:color w:val="auto"/>
        </w:rPr>
        <w:t>Deutsche Bank Trust Company Americas, or its successor appointed by us, will act as calculation agent. We may change the calculation agent with respect to any series of floating rate notes at any time without notice to the holders of either series of floating rate notes. The interest rate and amount of interest to be paid on the floating rate notes for each Interest Period will be determined by the calculation agent. All determinations made by the calculation agent shall, in the absence of manifest error, be conclusive for all purposes and binding on us and the holders of the floating rate notes.</w:t>
      </w:r>
    </w:p>
    <w:p>
      <w:pPr>
        <w:spacing w:after="0" w:line="116" w:lineRule="exact"/>
        <w:rPr>
          <w:sz w:val="20"/>
          <w:szCs w:val="20"/>
          <w:color w:val="auto"/>
        </w:rPr>
      </w:pPr>
    </w:p>
    <w:p>
      <w:pPr>
        <w:ind w:left="340" w:right="379" w:firstLine="333"/>
        <w:spacing w:after="0" w:line="316" w:lineRule="auto"/>
        <w:rPr>
          <w:sz w:val="20"/>
          <w:szCs w:val="20"/>
          <w:color w:val="auto"/>
        </w:rPr>
      </w:pPr>
      <w:r>
        <w:rPr>
          <w:rFonts w:ascii="Times New Roman" w:cs="Times New Roman" w:eastAsia="Times New Roman" w:hAnsi="Times New Roman"/>
          <w:sz w:val="12"/>
          <w:szCs w:val="12"/>
          <w:color w:val="auto"/>
        </w:rPr>
        <w:t>The amount of interest accrued and payable on either series of floating rate notes for each Interest Period will be equal to the product of (i) the outstanding principal amount of such series of floating rate notes multiplied by (ii) the product of (a) the Interest Rate for the relevant Interest Period for such series of floating rate notes multiplied by (b) the quotient of the actual number of calendar days in the Observation Period divided by 360.</w:t>
      </w:r>
    </w:p>
    <w:p>
      <w:pPr>
        <w:spacing w:after="0" w:line="1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As used herein the following terms have the meanings assigned to them:</w:t>
      </w:r>
    </w:p>
    <w:p>
      <w:pPr>
        <w:spacing w:after="0" w:line="84" w:lineRule="exact"/>
        <w:rPr>
          <w:sz w:val="20"/>
          <w:szCs w:val="20"/>
          <w:color w:val="auto"/>
        </w:rPr>
      </w:pPr>
    </w:p>
    <w:p>
      <w:pPr>
        <w:ind w:left="340" w:right="359" w:firstLine="333"/>
        <w:spacing w:after="0" w:line="254" w:lineRule="auto"/>
        <w:rPr>
          <w:sz w:val="20"/>
          <w:szCs w:val="20"/>
          <w:color w:val="auto"/>
        </w:rPr>
      </w:pPr>
      <w:r>
        <w:rPr>
          <w:rFonts w:ascii="Times New Roman" w:cs="Times New Roman" w:eastAsia="Times New Roman" w:hAnsi="Times New Roman"/>
          <w:sz w:val="14"/>
          <w:szCs w:val="14"/>
          <w:color w:val="auto"/>
        </w:rPr>
        <w:t>“Compounded SOFR” means, with respect to any Interest Period, the rate computed in accordance with the following formula set forth below (and the resulting percentage will be rounded, if necessary, to the nearest one hundred-thousandth of a percentage point (e.g., 9.753973% (or .09753973) being rounded down to 9.75397% (or .0975397) and 9.753978% (or .09753978) being rounded up to 9.75398% (or .0975398))):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2350770</wp:posOffset>
            </wp:positionH>
            <wp:positionV relativeFrom="paragraph">
              <wp:posOffset>111760</wp:posOffset>
            </wp:positionV>
            <wp:extent cx="1017905" cy="213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17905" cy="213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where:</w:t>
      </w:r>
    </w:p>
    <w:p>
      <w:pPr>
        <w:spacing w:after="0" w:line="84" w:lineRule="exact"/>
        <w:rPr>
          <w:sz w:val="20"/>
          <w:szCs w:val="20"/>
          <w:color w:val="auto"/>
        </w:rPr>
      </w:pPr>
    </w:p>
    <w:p>
      <w:pPr>
        <w:ind w:left="340" w:right="659" w:firstLine="333"/>
        <w:spacing w:after="0" w:line="264" w:lineRule="auto"/>
        <w:rPr>
          <w:sz w:val="20"/>
          <w:szCs w:val="20"/>
          <w:color w:val="auto"/>
        </w:rPr>
      </w:pPr>
      <w:r>
        <w:rPr>
          <w:rFonts w:ascii="Times New Roman" w:cs="Times New Roman" w:eastAsia="Times New Roman" w:hAnsi="Times New Roman"/>
          <w:sz w:val="14"/>
          <w:szCs w:val="14"/>
          <w:color w:val="auto"/>
        </w:rPr>
        <w:t>“SOFR IndexStart” is the SOFR Index value for the day that is two U.S. Government Securities Business Days preceding the first date of the relevant Interest Period;</w:t>
      </w:r>
    </w:p>
    <w:p>
      <w:pPr>
        <w:spacing w:after="0" w:line="136" w:lineRule="exact"/>
        <w:rPr>
          <w:sz w:val="20"/>
          <w:szCs w:val="20"/>
          <w:color w:val="auto"/>
        </w:rPr>
      </w:pPr>
    </w:p>
    <w:p>
      <w:pPr>
        <w:ind w:left="340" w:right="519" w:firstLine="333"/>
        <w:spacing w:after="0" w:line="254" w:lineRule="auto"/>
        <w:rPr>
          <w:sz w:val="20"/>
          <w:szCs w:val="20"/>
          <w:color w:val="auto"/>
        </w:rPr>
      </w:pPr>
      <w:r>
        <w:rPr>
          <w:rFonts w:ascii="Times New Roman" w:cs="Times New Roman" w:eastAsia="Times New Roman" w:hAnsi="Times New Roman"/>
          <w:sz w:val="14"/>
          <w:szCs w:val="14"/>
          <w:color w:val="auto"/>
        </w:rPr>
        <w:t>“SOFR IndexEnd” is the SOFR Index value for the day that is two U.S. Government Securities Business Days preceding the applicable Latter Floating Rate Interest Payment Date relating to such Interest Period (or in the applicable final Interest Period, preceding the applicable maturity date); and</w:t>
      </w:r>
    </w:p>
    <w:p>
      <w:pPr>
        <w:spacing w:after="0" w:line="142" w:lineRule="exact"/>
        <w:rPr>
          <w:sz w:val="20"/>
          <w:szCs w:val="20"/>
          <w:color w:val="auto"/>
        </w:rPr>
      </w:pPr>
    </w:p>
    <w:p>
      <w:pPr>
        <w:ind w:left="340" w:right="739" w:firstLine="333"/>
        <w:spacing w:after="0" w:line="264" w:lineRule="auto"/>
        <w:rPr>
          <w:sz w:val="20"/>
          <w:szCs w:val="20"/>
          <w:color w:val="auto"/>
        </w:rPr>
      </w:pPr>
      <w:r>
        <w:rPr>
          <w:rFonts w:ascii="Times New Roman" w:cs="Times New Roman" w:eastAsia="Times New Roman" w:hAnsi="Times New Roman"/>
          <w:sz w:val="14"/>
          <w:szCs w:val="14"/>
          <w:color w:val="auto"/>
        </w:rPr>
        <w:t>“dc” is the actual number of calendar days from (and including) SOFR IndexStart to (but excluding) SOFR IndexEnd (the actual number of calendar days in the applicable Observation Period).</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9019"/>
          </w:cols>
          <w:pgMar w:left="1440" w:top="239" w:right="1440" w:bottom="1440" w:gutter="0" w:footer="0" w:header="0"/>
        </w:sectPr>
      </w:pPr>
    </w:p>
    <w:bookmarkStart w:id="16" w:name="page17"/>
    <w:bookmarkEnd w:id="16"/>
    <w:p>
      <w:pPr>
        <w:ind w:left="6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For purposes of determining Compounded SOFR, “SOFR Index” means, with respect to any U.S. Government Securities Business Day:</w:t>
      </w:r>
    </w:p>
    <w:p>
      <w:pPr>
        <w:spacing w:after="0" w:line="84" w:lineRule="exact"/>
        <w:rPr>
          <w:sz w:val="20"/>
          <w:szCs w:val="20"/>
          <w:color w:val="auto"/>
        </w:rPr>
      </w:pPr>
    </w:p>
    <w:p>
      <w:pPr>
        <w:ind w:left="340" w:right="579" w:firstLine="331"/>
        <w:spacing w:after="0" w:line="349" w:lineRule="auto"/>
        <w:tabs>
          <w:tab w:leader="none" w:pos="866"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SOFR Index value as published by the New York Federal Reserve as such index appears on the New York Federal Reserve’s Website at 3:00 p.m. (New York City time) on such U.S. Government Securities Business Day (the “SOFR Determination Time”); provided that:</w:t>
      </w:r>
    </w:p>
    <w:p>
      <w:pPr>
        <w:spacing w:after="0" w:line="7" w:lineRule="exact"/>
        <w:rPr>
          <w:rFonts w:ascii="Times New Roman" w:cs="Times New Roman" w:eastAsia="Times New Roman" w:hAnsi="Times New Roman"/>
          <w:sz w:val="12"/>
          <w:szCs w:val="12"/>
          <w:color w:val="auto"/>
        </w:rPr>
      </w:pPr>
    </w:p>
    <w:p>
      <w:pPr>
        <w:ind w:left="860" w:hanging="189"/>
        <w:spacing w:after="0"/>
        <w:tabs>
          <w:tab w:leader="none" w:pos="8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SOFR Index value does not so appear as specified in clause (1) above at the SOFR Determination Time, then:</w:t>
      </w:r>
    </w:p>
    <w:p>
      <w:pPr>
        <w:spacing w:after="0" w:line="84" w:lineRule="exact"/>
        <w:rPr>
          <w:sz w:val="20"/>
          <w:szCs w:val="20"/>
          <w:color w:val="auto"/>
        </w:rPr>
      </w:pPr>
    </w:p>
    <w:p>
      <w:pPr>
        <w:ind w:left="340" w:right="739" w:firstLine="331"/>
        <w:spacing w:after="0" w:line="349" w:lineRule="auto"/>
        <w:tabs>
          <w:tab w:leader="none" w:pos="836"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Benchmark Transition Event and its related Benchmark Replacement Date (each as defined below) have not occurred with respect to SOFR, then Compounded SOFR shall be the rate determined pursuant to the “SOFR Index Unavailable” provisions described below; or</w:t>
      </w:r>
    </w:p>
    <w:p>
      <w:pPr>
        <w:spacing w:after="0" w:line="88" w:lineRule="exact"/>
        <w:rPr>
          <w:rFonts w:ascii="Times New Roman" w:cs="Times New Roman" w:eastAsia="Times New Roman" w:hAnsi="Times New Roman"/>
          <w:sz w:val="12"/>
          <w:szCs w:val="12"/>
          <w:color w:val="auto"/>
        </w:rPr>
      </w:pPr>
    </w:p>
    <w:p>
      <w:pPr>
        <w:ind w:left="340" w:right="419" w:firstLine="331"/>
        <w:spacing w:after="0" w:line="264" w:lineRule="auto"/>
        <w:tabs>
          <w:tab w:leader="none" w:pos="873"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Benchmark Transition Event and its related Benchmark Replacement Date have occurred with respect to SOFR, then Compounded SOFR shall be the rate determined pursuant to the “Effect of a Benchmark Transition Event” provisions described below.</w:t>
      </w:r>
    </w:p>
    <w:p>
      <w:pPr>
        <w:spacing w:after="0" w:line="1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“New York Federal Reserve” means the Federal Reserve Bank of New York (or a successor administrator of the Secured Overnight Financing</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Rate).</w:t>
      </w:r>
    </w:p>
    <w:p>
      <w:pPr>
        <w:spacing w:after="0" w:line="154" w:lineRule="exact"/>
        <w:rPr>
          <w:sz w:val="20"/>
          <w:szCs w:val="20"/>
          <w:color w:val="auto"/>
        </w:rPr>
      </w:pPr>
    </w:p>
    <w:p>
      <w:pPr>
        <w:ind w:left="340" w:right="659" w:firstLine="333"/>
        <w:spacing w:after="0" w:line="264" w:lineRule="auto"/>
        <w:rPr>
          <w:sz w:val="20"/>
          <w:szCs w:val="20"/>
          <w:color w:val="auto"/>
        </w:rPr>
      </w:pPr>
      <w:r>
        <w:rPr>
          <w:rFonts w:ascii="Times New Roman" w:cs="Times New Roman" w:eastAsia="Times New Roman" w:hAnsi="Times New Roman"/>
          <w:sz w:val="14"/>
          <w:szCs w:val="14"/>
          <w:color w:val="auto"/>
        </w:rPr>
        <w:t>“New York Federal Reserve’s Website” means the website of the New York Federal Reserve, currently at http://www.newyorkfed.org, or any successor source.</w:t>
      </w:r>
    </w:p>
    <w:p>
      <w:pPr>
        <w:spacing w:after="0" w:line="136" w:lineRule="exact"/>
        <w:rPr>
          <w:sz w:val="20"/>
          <w:szCs w:val="20"/>
          <w:color w:val="auto"/>
        </w:rPr>
      </w:pPr>
    </w:p>
    <w:p>
      <w:pPr>
        <w:ind w:left="340" w:right="399" w:firstLine="333"/>
        <w:spacing w:after="0" w:line="247" w:lineRule="auto"/>
        <w:rPr>
          <w:sz w:val="20"/>
          <w:szCs w:val="20"/>
          <w:color w:val="auto"/>
        </w:rPr>
      </w:pPr>
      <w:r>
        <w:rPr>
          <w:rFonts w:ascii="Times New Roman" w:cs="Times New Roman" w:eastAsia="Times New Roman" w:hAnsi="Times New Roman"/>
          <w:sz w:val="14"/>
          <w:szCs w:val="14"/>
          <w:color w:val="auto"/>
        </w:rPr>
        <w:t>“Observation Period” means, in respect of each Interest Period, the period from and including two U.S. Government Securities Business Days preceding the first date of such relevant Interest Period to but excluding two U.S. Government Securities Business Days preceding the applicable Latter Floating Rate Interest Payment Date for such Interest Period (or in the applicable final Interest Period, preceding the applicable maturity date); provided that the first Observation Period for each series of floating rate notes shall be the period from and including two U.S. Government Securities Business Days preceding the settlement date of such series of floating rate notes to, but excluding, the two U.S. Government Securities Business Days preceding the first Floating Rate Interest Payment Date for such series of floating rate notes.</w:t>
      </w:r>
    </w:p>
    <w:p>
      <w:pPr>
        <w:spacing w:after="0" w:line="150" w:lineRule="exact"/>
        <w:rPr>
          <w:sz w:val="20"/>
          <w:szCs w:val="20"/>
          <w:color w:val="auto"/>
        </w:rPr>
      </w:pPr>
    </w:p>
    <w:p>
      <w:pPr>
        <w:ind w:left="340" w:right="479" w:firstLine="333"/>
        <w:spacing w:after="0" w:line="264" w:lineRule="auto"/>
        <w:rPr>
          <w:sz w:val="20"/>
          <w:szCs w:val="20"/>
          <w:color w:val="auto"/>
        </w:rPr>
      </w:pPr>
      <w:r>
        <w:rPr>
          <w:rFonts w:ascii="Times New Roman" w:cs="Times New Roman" w:eastAsia="Times New Roman" w:hAnsi="Times New Roman"/>
          <w:sz w:val="14"/>
          <w:szCs w:val="14"/>
          <w:color w:val="auto"/>
        </w:rPr>
        <w:t>“Secured Overnight Financing Rate” or “SOFR” means the daily secured overnight financing rate as provided by the New York Federal Reserve on the New York Federal Reserve’s Website.</w:t>
      </w:r>
    </w:p>
    <w:p>
      <w:pPr>
        <w:spacing w:after="0" w:line="136" w:lineRule="exact"/>
        <w:rPr>
          <w:sz w:val="20"/>
          <w:szCs w:val="20"/>
          <w:color w:val="auto"/>
        </w:rPr>
      </w:pPr>
    </w:p>
    <w:p>
      <w:pPr>
        <w:ind w:left="340" w:right="359" w:firstLine="333"/>
        <w:spacing w:after="0" w:line="254" w:lineRule="auto"/>
        <w:rPr>
          <w:sz w:val="20"/>
          <w:szCs w:val="20"/>
          <w:color w:val="auto"/>
        </w:rPr>
      </w:pPr>
      <w:r>
        <w:rPr>
          <w:rFonts w:ascii="Times New Roman" w:cs="Times New Roman" w:eastAsia="Times New Roman" w:hAnsi="Times New Roman"/>
          <w:sz w:val="14"/>
          <w:szCs w:val="14"/>
          <w:color w:val="auto"/>
        </w:rPr>
        <w:t>“U.S. Government Securities Business Day” means any day except for a Saturday, a Sunday or a day on which the Securities Industry and Financial Markets Association recommends that the fixed income departments of its members be closed for the entire day for purposes of trading in U.S. government securities.</w:t>
      </w:r>
    </w:p>
    <w:p>
      <w:pPr>
        <w:spacing w:after="0" w:line="142" w:lineRule="exact"/>
        <w:rPr>
          <w:sz w:val="20"/>
          <w:szCs w:val="20"/>
          <w:color w:val="auto"/>
        </w:rPr>
      </w:pPr>
    </w:p>
    <w:p>
      <w:pPr>
        <w:jc w:val="both"/>
        <w:ind w:left="340" w:right="359" w:firstLine="333"/>
        <w:spacing w:after="0" w:line="305" w:lineRule="auto"/>
        <w:rPr>
          <w:sz w:val="20"/>
          <w:szCs w:val="20"/>
          <w:color w:val="auto"/>
        </w:rPr>
      </w:pPr>
      <w:r>
        <w:rPr>
          <w:rFonts w:ascii="Times New Roman" w:cs="Times New Roman" w:eastAsia="Times New Roman" w:hAnsi="Times New Roman"/>
          <w:sz w:val="12"/>
          <w:szCs w:val="12"/>
          <w:color w:val="auto"/>
        </w:rPr>
        <w:t>Notwithstanding anything to the contrary in the documentation relating to the floating rate notes, if we or our designee determine on or prior to the relevant Reference Time (as defined below) that a Benchmark Transition Event and its related Benchmark Replacement Date have occurred with respect to determining Compounded SOFR for any series of floating rate notes, then the benchmark replacement provisions set forth below under “—Effect of a Benchmark Transition Event” will thereafter apply to all determinations of the rate of interest payable on such series of floating rate notes.</w:t>
      </w:r>
    </w:p>
    <w:p>
      <w:pPr>
        <w:spacing w:after="0" w:line="19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SOFR and the SOFR Index</w:t>
      </w:r>
    </w:p>
    <w:p>
      <w:pPr>
        <w:spacing w:after="0" w:line="88" w:lineRule="exact"/>
        <w:rPr>
          <w:sz w:val="20"/>
          <w:szCs w:val="20"/>
          <w:color w:val="auto"/>
        </w:rPr>
      </w:pPr>
    </w:p>
    <w:p>
      <w:pPr>
        <w:ind w:left="340" w:right="419" w:firstLine="333"/>
        <w:spacing w:after="0" w:line="264" w:lineRule="auto"/>
        <w:rPr>
          <w:sz w:val="20"/>
          <w:szCs w:val="20"/>
          <w:color w:val="auto"/>
        </w:rPr>
      </w:pPr>
      <w:r>
        <w:rPr>
          <w:rFonts w:ascii="Times New Roman" w:cs="Times New Roman" w:eastAsia="Times New Roman" w:hAnsi="Times New Roman"/>
          <w:sz w:val="14"/>
          <w:szCs w:val="14"/>
          <w:color w:val="auto"/>
        </w:rPr>
        <w:t>SOFR is published by the New York Federal Reserve and is intended to be a broad measure of the cost of borrowing cash overnight collateralized by U.S. Treasury securities.</w:t>
      </w:r>
    </w:p>
    <w:p>
      <w:pPr>
        <w:spacing w:after="0" w:line="136" w:lineRule="exact"/>
        <w:rPr>
          <w:sz w:val="20"/>
          <w:szCs w:val="20"/>
          <w:color w:val="auto"/>
        </w:rPr>
      </w:pPr>
    </w:p>
    <w:p>
      <w:pPr>
        <w:ind w:left="340" w:right="359" w:firstLine="333"/>
        <w:spacing w:after="0" w:line="254" w:lineRule="auto"/>
        <w:rPr>
          <w:sz w:val="20"/>
          <w:szCs w:val="20"/>
          <w:color w:val="auto"/>
        </w:rPr>
      </w:pPr>
      <w:r>
        <w:rPr>
          <w:rFonts w:ascii="Times New Roman" w:cs="Times New Roman" w:eastAsia="Times New Roman" w:hAnsi="Times New Roman"/>
          <w:sz w:val="14"/>
          <w:szCs w:val="14"/>
          <w:color w:val="auto"/>
        </w:rPr>
        <w:t>The SOFR Index is published by the New York Federal Reserve and measures the cumulative impact of compounding SOFR on a unit of investment over time, with the initial value set to 1.00000000 on April 2, 2018, the first value date of SOFR. The SOFR Index value reflects the effect of compounding SOFR each business day and allows the calculation of compounded SOFR averages over custom time periods.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9019"/>
          </w:cols>
          <w:pgMar w:left="1440" w:top="239" w:right="1440" w:bottom="1440" w:gutter="0" w:footer="0" w:header="0"/>
        </w:sectPr>
      </w:pPr>
    </w:p>
    <w:bookmarkStart w:id="17" w:name="page18"/>
    <w:bookmarkEnd w:id="17"/>
    <w:p>
      <w:pPr>
        <w:ind w:left="340" w:right="439" w:firstLine="333"/>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New York Federal Reserve notes on its publication page for the SOFR Index that use of the SOFR Index is subject to important limitations, indemnification obligations and disclaimers, including that the New York Federal Reserve may alter the methods of calculation, publication schedule, rate revision practices or availability of the SOFR Index at any time without notice. The interest rate for any Interest Period will not be adjusted for any modifications or amendments to the SOFR Index or SOFR data that the New York Federal Reserve may publish after the interest rate for that Interest Period has been determined.</w:t>
      </w:r>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SOFR Index Unavailable</w:t>
      </w:r>
    </w:p>
    <w:p>
      <w:pPr>
        <w:spacing w:after="0" w:line="88" w:lineRule="exact"/>
        <w:rPr>
          <w:sz w:val="20"/>
          <w:szCs w:val="20"/>
          <w:color w:val="auto"/>
        </w:rPr>
      </w:pPr>
    </w:p>
    <w:p>
      <w:pPr>
        <w:ind w:left="340" w:right="359" w:firstLine="333"/>
        <w:spacing w:after="0" w:line="293" w:lineRule="auto"/>
        <w:rPr>
          <w:sz w:val="20"/>
          <w:szCs w:val="20"/>
          <w:color w:val="auto"/>
        </w:rPr>
      </w:pPr>
      <w:r>
        <w:rPr>
          <w:rFonts w:ascii="Times New Roman" w:cs="Times New Roman" w:eastAsia="Times New Roman" w:hAnsi="Times New Roman"/>
          <w:sz w:val="12"/>
          <w:szCs w:val="12"/>
          <w:color w:val="auto"/>
        </w:rPr>
        <w:t>If a SOFR IndexStart or SOFR IndexEnd is not published on the associated Interest Determination Date and a Benchmark Transition Event and its related Benchmark Replacement Date have not occurred with respect to the Secured Overnight Financing Rate, “Compounded SOFR” shall mean, for the applicable Interest Period for which such index is not available, the rate of return on a daily compounded interest investment calculated in accordance with the formula for SOFR Averages, and definitions required for such formula, published on the New York Federal Reserve’s Website, initially located at https://www.newyorkfed.org/markets/treasury-repo-reference-rates-information. For the purposes of this provision, references in the SOFR Averages compounding formula and related definitions to “calculation period” shall be replaced with “Observation Period” and the words “that is, 30-, 90-, or 180- calendar days” shall be removed. If the daily Secured Overnight Financing Rate (“SOFRi”) does not so appear for any day, “i” in the Observation Period, SOFRi for such day “i” shall be SOFR published in respect of the first preceding U.S. Government Securities Business Day for which the Secured Overnight Financing Rate was published on the New York Federal Reserve’s Website.</w:t>
      </w:r>
    </w:p>
    <w:p>
      <w:pPr>
        <w:spacing w:after="0" w:line="36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Effect of a Benchmark Transition Event</w:t>
      </w:r>
    </w:p>
    <w:p>
      <w:pPr>
        <w:spacing w:after="0" w:line="88" w:lineRule="exact"/>
        <w:rPr>
          <w:sz w:val="20"/>
          <w:szCs w:val="20"/>
          <w:color w:val="auto"/>
        </w:rPr>
      </w:pPr>
    </w:p>
    <w:p>
      <w:pPr>
        <w:ind w:left="340" w:right="359" w:firstLine="333"/>
        <w:spacing w:after="0" w:line="250" w:lineRule="auto"/>
        <w:rPr>
          <w:sz w:val="20"/>
          <w:szCs w:val="20"/>
          <w:color w:val="auto"/>
        </w:rPr>
      </w:pPr>
      <w:r>
        <w:rPr>
          <w:rFonts w:ascii="Times New Roman" w:cs="Times New Roman" w:eastAsia="Times New Roman" w:hAnsi="Times New Roman"/>
          <w:sz w:val="14"/>
          <w:szCs w:val="14"/>
          <w:color w:val="auto"/>
        </w:rPr>
        <w:t>If we or our designee determine on or prior to the relevant Reference Time that a Benchmark Transition Event and its related Benchmark Replacement Date have occurred with respect to the then-current Benchmark, the Benchmark Replacement will replace the then-current Benchmark for all purposes relating to all or any series of floating rate notes, as applicable, in respect of all determinations on such date and for all determinations on all subsequent dates.</w:t>
      </w:r>
    </w:p>
    <w:p>
      <w:pPr>
        <w:spacing w:after="0" w:line="146" w:lineRule="exact"/>
        <w:rPr>
          <w:sz w:val="20"/>
          <w:szCs w:val="20"/>
          <w:color w:val="auto"/>
        </w:rPr>
      </w:pPr>
    </w:p>
    <w:p>
      <w:pPr>
        <w:ind w:left="340" w:right="579" w:firstLine="333"/>
        <w:spacing w:after="0" w:line="264" w:lineRule="auto"/>
        <w:rPr>
          <w:sz w:val="20"/>
          <w:szCs w:val="20"/>
          <w:color w:val="auto"/>
        </w:rPr>
      </w:pPr>
      <w:r>
        <w:rPr>
          <w:rFonts w:ascii="Times New Roman" w:cs="Times New Roman" w:eastAsia="Times New Roman" w:hAnsi="Times New Roman"/>
          <w:sz w:val="14"/>
          <w:szCs w:val="14"/>
          <w:color w:val="auto"/>
        </w:rPr>
        <w:t>In connection with the implementation of a Benchmark Replacement, we or our designee will have the right to make Benchmark Replacement Conforming Changes from time to time.</w:t>
      </w:r>
    </w:p>
    <w:p>
      <w:pPr>
        <w:spacing w:after="0" w:line="136" w:lineRule="exact"/>
        <w:rPr>
          <w:sz w:val="20"/>
          <w:szCs w:val="20"/>
          <w:color w:val="auto"/>
        </w:rPr>
      </w:pPr>
    </w:p>
    <w:p>
      <w:pPr>
        <w:ind w:left="340" w:right="399" w:firstLine="333"/>
        <w:spacing w:after="0" w:line="254" w:lineRule="auto"/>
        <w:rPr>
          <w:sz w:val="20"/>
          <w:szCs w:val="20"/>
          <w:color w:val="auto"/>
        </w:rPr>
      </w:pPr>
      <w:r>
        <w:rPr>
          <w:rFonts w:ascii="Times New Roman" w:cs="Times New Roman" w:eastAsia="Times New Roman" w:hAnsi="Times New Roman"/>
          <w:sz w:val="14"/>
          <w:szCs w:val="14"/>
          <w:color w:val="auto"/>
        </w:rPr>
        <w:t>Any determination, decision or election that may be made by us or our designee pursuant to this section, including a determination with respect to a tenor, rate or adjustment or of the occurrence or non-occurrence of an event, circumstance or date and any decision to take or refrain from taking any action or any selection:</w:t>
      </w:r>
    </w:p>
    <w:p>
      <w:pPr>
        <w:spacing w:after="0" w:line="61" w:lineRule="exact"/>
        <w:rPr>
          <w:sz w:val="20"/>
          <w:szCs w:val="20"/>
          <w:color w:val="auto"/>
        </w:rPr>
      </w:pPr>
    </w:p>
    <w:p>
      <w:pPr>
        <w:ind w:left="860" w:hanging="189"/>
        <w:spacing w:after="0"/>
        <w:tabs>
          <w:tab w:leader="none" w:pos="8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conclusive and binding absent manifest error;</w:t>
      </w:r>
    </w:p>
    <w:p>
      <w:pPr>
        <w:spacing w:after="0" w:line="165" w:lineRule="exact"/>
        <w:rPr>
          <w:rFonts w:ascii="Times New Roman" w:cs="Times New Roman" w:eastAsia="Times New Roman" w:hAnsi="Times New Roman"/>
          <w:sz w:val="14"/>
          <w:szCs w:val="14"/>
          <w:color w:val="auto"/>
        </w:rPr>
      </w:pPr>
    </w:p>
    <w:p>
      <w:pPr>
        <w:ind w:left="860" w:hanging="189"/>
        <w:spacing w:after="0"/>
        <w:tabs>
          <w:tab w:leader="none" w:pos="8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made by us, will be made in our sole discretion;</w:t>
      </w:r>
    </w:p>
    <w:p>
      <w:pPr>
        <w:spacing w:after="0" w:line="165" w:lineRule="exact"/>
        <w:rPr>
          <w:rFonts w:ascii="Times New Roman" w:cs="Times New Roman" w:eastAsia="Times New Roman" w:hAnsi="Times New Roman"/>
          <w:sz w:val="14"/>
          <w:szCs w:val="14"/>
          <w:color w:val="auto"/>
        </w:rPr>
      </w:pPr>
    </w:p>
    <w:p>
      <w:pPr>
        <w:ind w:left="340" w:right="379" w:firstLine="331"/>
        <w:spacing w:after="0" w:line="264" w:lineRule="auto"/>
        <w:tabs>
          <w:tab w:leader="none" w:pos="86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made by our designee, will be made after consultation with us, and such designee will not make any such determination, decision or election to which we object; and</w:t>
      </w:r>
    </w:p>
    <w:p>
      <w:pPr>
        <w:spacing w:after="0" w:line="136" w:lineRule="exact"/>
        <w:rPr>
          <w:rFonts w:ascii="Times New Roman" w:cs="Times New Roman" w:eastAsia="Times New Roman" w:hAnsi="Times New Roman"/>
          <w:sz w:val="14"/>
          <w:szCs w:val="14"/>
          <w:color w:val="auto"/>
        </w:rPr>
      </w:pPr>
    </w:p>
    <w:p>
      <w:pPr>
        <w:jc w:val="both"/>
        <w:ind w:left="340" w:right="399" w:firstLine="331"/>
        <w:spacing w:after="0" w:line="254" w:lineRule="auto"/>
        <w:tabs>
          <w:tab w:leader="none" w:pos="86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this prospectus supplement and the accompanying prospectus or in the other documents relating to the floating rate notes, including the Indenture, any supplemental indenture or any other definitive documentation that will govern any series of floating rate notes, shall become effective without consent from the holders of any series of floating rate notes or any other party.</w:t>
      </w:r>
    </w:p>
    <w:p>
      <w:pPr>
        <w:spacing w:after="0" w:line="14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As used herein the following terms have the meanings assigned to them:</w:t>
      </w:r>
    </w:p>
    <w:p>
      <w:pPr>
        <w:spacing w:after="0" w:line="84" w:lineRule="exact"/>
        <w:rPr>
          <w:sz w:val="20"/>
          <w:szCs w:val="20"/>
          <w:color w:val="auto"/>
        </w:rPr>
      </w:pPr>
    </w:p>
    <w:p>
      <w:pPr>
        <w:ind w:left="340" w:right="379" w:firstLine="333"/>
        <w:spacing w:after="0" w:line="264" w:lineRule="auto"/>
        <w:rPr>
          <w:sz w:val="20"/>
          <w:szCs w:val="20"/>
          <w:color w:val="auto"/>
        </w:rPr>
      </w:pPr>
      <w:r>
        <w:rPr>
          <w:rFonts w:ascii="Times New Roman" w:cs="Times New Roman" w:eastAsia="Times New Roman" w:hAnsi="Times New Roman"/>
          <w:sz w:val="14"/>
          <w:szCs w:val="14"/>
          <w:color w:val="auto"/>
        </w:rPr>
        <w:t>“Benchmark” means, initially, Compounded SOFR, as such term is defined above; provided that if we or our designee determine on or prior to the Reference Time that a Benchmark Transition Event and its related</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9019"/>
          </w:cols>
          <w:pgMar w:left="1440" w:top="239" w:right="1440" w:bottom="1440" w:gutter="0" w:footer="0" w:header="0"/>
        </w:sectPr>
      </w:pPr>
    </w:p>
    <w:bookmarkStart w:id="18" w:name="page19"/>
    <w:bookmarkEnd w:id="18"/>
    <w:p>
      <w:pPr>
        <w:ind w:left="340" w:right="39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Benchmark Replacement Date have occurred with respect to Compounded SOFR (or the published daily SOFR Index used in the calculation thereof) or the then-current Benchmark, then “Benchmark” means the applicable Benchmark Replacement.</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“Benchmark Replacement” means the first alternative set forth in the order below that can be determined by us or our designee as of the</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Benchmark Replacement Date:</w:t>
      </w:r>
    </w:p>
    <w:p>
      <w:pPr>
        <w:spacing w:after="0" w:line="72" w:lineRule="exact"/>
        <w:rPr>
          <w:sz w:val="20"/>
          <w:szCs w:val="20"/>
          <w:color w:val="auto"/>
        </w:rPr>
      </w:pPr>
    </w:p>
    <w:p>
      <w:pPr>
        <w:ind w:left="340" w:right="439" w:firstLine="331"/>
        <w:spacing w:after="0" w:line="264" w:lineRule="auto"/>
        <w:tabs>
          <w:tab w:leader="none" w:pos="86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(a) the alternate rate of interest that has been selected or recommended by the Relevant Governmental Body as the replacement for the then-current Benchmark and (b) the Benchmark Replacement Adjustment;</w:t>
      </w:r>
    </w:p>
    <w:p>
      <w:pPr>
        <w:spacing w:after="0" w:line="136" w:lineRule="exact"/>
        <w:rPr>
          <w:rFonts w:ascii="Times New Roman" w:cs="Times New Roman" w:eastAsia="Times New Roman" w:hAnsi="Times New Roman"/>
          <w:sz w:val="14"/>
          <w:szCs w:val="14"/>
          <w:color w:val="auto"/>
        </w:rPr>
      </w:pPr>
    </w:p>
    <w:p>
      <w:pPr>
        <w:ind w:left="860" w:hanging="189"/>
        <w:spacing w:after="0"/>
        <w:tabs>
          <w:tab w:leader="none" w:pos="8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(a) the ISDA Fallback Rate and (b) the Benchmark Replacement Adjustment; or</w:t>
      </w:r>
    </w:p>
    <w:p>
      <w:pPr>
        <w:spacing w:after="0" w:line="165" w:lineRule="exact"/>
        <w:rPr>
          <w:rFonts w:ascii="Times New Roman" w:cs="Times New Roman" w:eastAsia="Times New Roman" w:hAnsi="Times New Roman"/>
          <w:sz w:val="14"/>
          <w:szCs w:val="14"/>
          <w:color w:val="auto"/>
        </w:rPr>
      </w:pPr>
    </w:p>
    <w:p>
      <w:pPr>
        <w:ind w:left="340" w:right="419" w:firstLine="331"/>
        <w:spacing w:after="0" w:line="254" w:lineRule="auto"/>
        <w:tabs>
          <w:tab w:leader="none" w:pos="86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(a) the alternate rate of interest that has been selected by us or our designee as the replacement for the then-current Benchmark giving due consideration to any industry-accepted rate of interest as a replacement for the then-current Benchmark for U.S. dollar-denominated floating rate notes at such time and (b) the Benchmark Replacement Adjustment.</w:t>
      </w:r>
    </w:p>
    <w:p>
      <w:pPr>
        <w:spacing w:after="0" w:line="142" w:lineRule="exact"/>
        <w:rPr>
          <w:sz w:val="20"/>
          <w:szCs w:val="20"/>
          <w:color w:val="auto"/>
        </w:rPr>
      </w:pPr>
    </w:p>
    <w:p>
      <w:pPr>
        <w:ind w:left="340" w:right="459" w:firstLine="333"/>
        <w:spacing w:after="0" w:line="264" w:lineRule="auto"/>
        <w:rPr>
          <w:sz w:val="20"/>
          <w:szCs w:val="20"/>
          <w:color w:val="auto"/>
        </w:rPr>
      </w:pPr>
      <w:r>
        <w:rPr>
          <w:rFonts w:ascii="Times New Roman" w:cs="Times New Roman" w:eastAsia="Times New Roman" w:hAnsi="Times New Roman"/>
          <w:sz w:val="14"/>
          <w:szCs w:val="14"/>
          <w:color w:val="auto"/>
        </w:rPr>
        <w:t>“Benchmark Replacement Adjustment” means the first alternative set forth in the order below that can be determined by us or our designee as of the Benchmark Replacement Date:</w:t>
      </w:r>
    </w:p>
    <w:p>
      <w:pPr>
        <w:spacing w:after="0" w:line="54" w:lineRule="exact"/>
        <w:rPr>
          <w:sz w:val="20"/>
          <w:szCs w:val="20"/>
          <w:color w:val="auto"/>
        </w:rPr>
      </w:pPr>
    </w:p>
    <w:p>
      <w:pPr>
        <w:ind w:left="340" w:right="519" w:firstLine="331"/>
        <w:spacing w:after="0" w:line="264" w:lineRule="auto"/>
        <w:tabs>
          <w:tab w:leader="none" w:pos="86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spread adjustment (which may be a positive or negative value or zero), or method for calculating or determining such spread adjustment, that has been selected or recommended by the Relevant Governmental Body for the applicable Unadjusted Benchmark Replacement;</w:t>
      </w:r>
    </w:p>
    <w:p>
      <w:pPr>
        <w:spacing w:after="0" w:line="136" w:lineRule="exact"/>
        <w:rPr>
          <w:rFonts w:ascii="Times New Roman" w:cs="Times New Roman" w:eastAsia="Times New Roman" w:hAnsi="Times New Roman"/>
          <w:sz w:val="14"/>
          <w:szCs w:val="14"/>
          <w:color w:val="auto"/>
        </w:rPr>
      </w:pPr>
    </w:p>
    <w:p>
      <w:pPr>
        <w:ind w:left="860" w:hanging="189"/>
        <w:spacing w:after="0"/>
        <w:tabs>
          <w:tab w:leader="none" w:pos="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applicable Unadjusted Benchmark Replacement is equivalent to the ISDA Fallback Rate, the ISDA Fallback Adjustment; or</w:t>
      </w:r>
    </w:p>
    <w:p>
      <w:pPr>
        <w:spacing w:after="0" w:line="165" w:lineRule="exact"/>
        <w:rPr>
          <w:rFonts w:ascii="Times New Roman" w:cs="Times New Roman" w:eastAsia="Times New Roman" w:hAnsi="Times New Roman"/>
          <w:sz w:val="14"/>
          <w:szCs w:val="14"/>
          <w:color w:val="auto"/>
        </w:rPr>
      </w:pPr>
    </w:p>
    <w:p>
      <w:pPr>
        <w:ind w:left="340" w:right="499" w:firstLine="331"/>
        <w:spacing w:after="0" w:line="316" w:lineRule="auto"/>
        <w:tabs>
          <w:tab w:leader="none" w:pos="866"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spread adjustment (which may be a positive or negative value or zero) that has been selected by us or our designee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w:t>
      </w:r>
    </w:p>
    <w:p>
      <w:pPr>
        <w:spacing w:after="0" w:line="109" w:lineRule="exact"/>
        <w:rPr>
          <w:sz w:val="20"/>
          <w:szCs w:val="20"/>
          <w:color w:val="auto"/>
        </w:rPr>
      </w:pPr>
    </w:p>
    <w:p>
      <w:pPr>
        <w:ind w:left="340" w:right="439" w:firstLine="333"/>
        <w:spacing w:after="0" w:line="247" w:lineRule="auto"/>
        <w:rPr>
          <w:sz w:val="20"/>
          <w:szCs w:val="20"/>
          <w:color w:val="auto"/>
        </w:rPr>
      </w:pPr>
      <w:r>
        <w:rPr>
          <w:rFonts w:ascii="Times New Roman" w:cs="Times New Roman" w:eastAsia="Times New Roman" w:hAnsi="Times New Roman"/>
          <w:sz w:val="14"/>
          <w:szCs w:val="14"/>
          <w:color w:val="auto"/>
        </w:rPr>
        <w:t>“Benchmark Replacement Conforming Changes” means, with respect to any Benchmark Replacement, any technical, administrative or operational changes (including changes to the definition or interpretation of the Interest Period, timing and frequency of determining rates and making payments of interest, rounding of amounts or tenors and other administrative matters) that we or our designee decide may be appropriate to reflect the adoption of such Benchmark Replacement in a manner substantially consistent with market practice (or, if we or our designee decide that adoption of any portion of such market practice is not administratively feasible or if we or our designee determine that no market practice for use of the Benchmark Replacement exists, in such other manner as we or our designee determine is reasonably practicable).</w:t>
      </w:r>
    </w:p>
    <w:p>
      <w:pPr>
        <w:spacing w:after="0" w:line="150" w:lineRule="exact"/>
        <w:rPr>
          <w:sz w:val="20"/>
          <w:szCs w:val="20"/>
          <w:color w:val="auto"/>
        </w:rPr>
      </w:pPr>
    </w:p>
    <w:p>
      <w:pPr>
        <w:ind w:left="340" w:right="559" w:firstLine="333"/>
        <w:spacing w:after="0" w:line="264" w:lineRule="auto"/>
        <w:rPr>
          <w:sz w:val="20"/>
          <w:szCs w:val="20"/>
          <w:color w:val="auto"/>
        </w:rPr>
      </w:pPr>
      <w:r>
        <w:rPr>
          <w:rFonts w:ascii="Times New Roman" w:cs="Times New Roman" w:eastAsia="Times New Roman" w:hAnsi="Times New Roman"/>
          <w:sz w:val="14"/>
          <w:szCs w:val="14"/>
          <w:color w:val="auto"/>
        </w:rPr>
        <w:t>“Benchmark Replacement Date” means the earliest to occur of the following events with respect to the then-current Benchmark (including any daily published component used in the calculation thereof):</w:t>
      </w:r>
    </w:p>
    <w:p>
      <w:pPr>
        <w:spacing w:after="0" w:line="54" w:lineRule="exact"/>
        <w:rPr>
          <w:sz w:val="20"/>
          <w:szCs w:val="20"/>
          <w:color w:val="auto"/>
        </w:rPr>
      </w:pPr>
    </w:p>
    <w:p>
      <w:pPr>
        <w:ind w:left="340" w:right="379" w:firstLine="331"/>
        <w:spacing w:after="0" w:line="254" w:lineRule="auto"/>
        <w:tabs>
          <w:tab w:leader="none" w:pos="86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 such component); or</w:t>
      </w:r>
    </w:p>
    <w:p>
      <w:pPr>
        <w:spacing w:after="0" w:line="142" w:lineRule="exact"/>
        <w:rPr>
          <w:rFonts w:ascii="Times New Roman" w:cs="Times New Roman" w:eastAsia="Times New Roman" w:hAnsi="Times New Roman"/>
          <w:sz w:val="14"/>
          <w:szCs w:val="14"/>
          <w:color w:val="auto"/>
        </w:rPr>
      </w:pPr>
    </w:p>
    <w:p>
      <w:pPr>
        <w:ind w:left="340" w:right="699" w:firstLine="331"/>
        <w:spacing w:after="0" w:line="264" w:lineRule="auto"/>
        <w:tabs>
          <w:tab w:leader="none" w:pos="86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clause (3) of the definition of “Benchmark Transition Event,” the date of the public statement or publication of information referenced therein.</w:t>
      </w:r>
    </w:p>
    <w:p>
      <w:pPr>
        <w:spacing w:after="0" w:line="136" w:lineRule="exact"/>
        <w:rPr>
          <w:sz w:val="20"/>
          <w:szCs w:val="20"/>
          <w:color w:val="auto"/>
        </w:rPr>
      </w:pPr>
    </w:p>
    <w:p>
      <w:pPr>
        <w:ind w:left="340" w:right="619" w:firstLine="333"/>
        <w:spacing w:after="0" w:line="254" w:lineRule="auto"/>
        <w:rPr>
          <w:sz w:val="20"/>
          <w:szCs w:val="20"/>
          <w:color w:val="auto"/>
        </w:rPr>
      </w:pPr>
      <w:r>
        <w:rPr>
          <w:rFonts w:ascii="Times New Roman" w:cs="Times New Roman" w:eastAsia="Times New Roman" w:hAnsi="Times New Roman"/>
          <w:sz w:val="14"/>
          <w:szCs w:val="14"/>
          <w:color w:val="auto"/>
        </w:rPr>
        <w:t>For the avoidance of doubt, if the event that gives rise to the Benchmark Replacement Date occurs on the same day as, but earlier than, the Reference Time in respect of any determination, the Benchmark Replacement Date will be deemed to have occurred prior to the Reference Time for such determination.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9019"/>
          </w:cols>
          <w:pgMar w:left="1440" w:top="239" w:right="1440" w:bottom="1440" w:gutter="0" w:footer="0" w:header="0"/>
        </w:sectPr>
      </w:pPr>
    </w:p>
    <w:bookmarkStart w:id="19" w:name="page20"/>
    <w:bookmarkEnd w:id="19"/>
    <w:p>
      <w:pPr>
        <w:ind w:left="340" w:right="739" w:firstLine="333"/>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For the avoidance of doubt, for purposes of the definitions of Benchmark Replacement Date and Benchmark Transition Event, references to Benchmark also include any reference rate underlying such Benchmark.</w:t>
      </w:r>
    </w:p>
    <w:p>
      <w:pPr>
        <w:spacing w:after="0" w:line="136" w:lineRule="exact"/>
        <w:rPr>
          <w:sz w:val="20"/>
          <w:szCs w:val="20"/>
          <w:color w:val="auto"/>
        </w:rPr>
      </w:pPr>
    </w:p>
    <w:p>
      <w:pPr>
        <w:ind w:left="340" w:right="919" w:firstLine="333"/>
        <w:spacing w:after="0" w:line="264" w:lineRule="auto"/>
        <w:rPr>
          <w:sz w:val="20"/>
          <w:szCs w:val="20"/>
          <w:color w:val="auto"/>
        </w:rPr>
      </w:pPr>
      <w:r>
        <w:rPr>
          <w:rFonts w:ascii="Times New Roman" w:cs="Times New Roman" w:eastAsia="Times New Roman" w:hAnsi="Times New Roman"/>
          <w:sz w:val="14"/>
          <w:szCs w:val="14"/>
          <w:color w:val="auto"/>
        </w:rPr>
        <w:t>“Benchmark Transition Event” means the occurrence of one or more of the following events with respect to the then-current Benchmark (including the daily published component used in the calculation thereof):</w:t>
      </w:r>
    </w:p>
    <w:p>
      <w:pPr>
        <w:spacing w:after="0" w:line="54" w:lineRule="exact"/>
        <w:rPr>
          <w:sz w:val="20"/>
          <w:szCs w:val="20"/>
          <w:color w:val="auto"/>
        </w:rPr>
      </w:pPr>
    </w:p>
    <w:p>
      <w:pPr>
        <w:ind w:left="340" w:right="499" w:firstLine="331"/>
        <w:spacing w:after="0" w:line="254" w:lineRule="auto"/>
        <w:tabs>
          <w:tab w:leader="none" w:pos="86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public statement or publication of information by or on behalf of the administrator of the Benchmark (or such component) announcing that such administrator has ceased or will cease to provide the Benchmark (or such component), permanently or indefinitely; provided that, at the time of such statement or publication, there is no successor administrator that will continue to provide the Benchmark (or such component);</w:t>
      </w:r>
    </w:p>
    <w:p>
      <w:pPr>
        <w:spacing w:after="0" w:line="142" w:lineRule="exact"/>
        <w:rPr>
          <w:rFonts w:ascii="Times New Roman" w:cs="Times New Roman" w:eastAsia="Times New Roman" w:hAnsi="Times New Roman"/>
          <w:sz w:val="14"/>
          <w:szCs w:val="14"/>
          <w:color w:val="auto"/>
        </w:rPr>
      </w:pPr>
    </w:p>
    <w:p>
      <w:pPr>
        <w:ind w:left="340" w:right="419" w:firstLine="331"/>
        <w:spacing w:after="0" w:line="297" w:lineRule="auto"/>
        <w:tabs>
          <w:tab w:leader="none" w:pos="866"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public statement or publication of information by the regulatory supervisor for the administrator of the Benchmark (or such component), the central bank for the currency of the Benchmark (or such component), an insolvency official with jurisdiction over the administrator for the Benchmark (or such component), a resolution authority with jurisdiction over the administrator for the Benchmark (or such component) or a court or an entity with similar insolvency or resolution authority over the administrator for the Benchmark (or such component), which states that the administrator of the Benchmark (or such component) has ceased or will cease to provide the Benchmark (or such component) permanently or indefinitely; provided that, at the time of such statement or publication, there is no successor administrator that will continue to provide the Benchmark (or such component); or</w:t>
      </w:r>
    </w:p>
    <w:p>
      <w:pPr>
        <w:spacing w:after="0" w:line="119" w:lineRule="exact"/>
        <w:rPr>
          <w:rFonts w:ascii="Times New Roman" w:cs="Times New Roman" w:eastAsia="Times New Roman" w:hAnsi="Times New Roman"/>
          <w:sz w:val="12"/>
          <w:szCs w:val="12"/>
          <w:color w:val="auto"/>
        </w:rPr>
      </w:pPr>
    </w:p>
    <w:p>
      <w:pPr>
        <w:ind w:left="340" w:right="719" w:firstLine="331"/>
        <w:spacing w:after="0" w:line="264" w:lineRule="auto"/>
        <w:tabs>
          <w:tab w:leader="none" w:pos="86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public statement or publication of information by the regulatory supervisor for the administrator of the Benchmark announcing that the Benchmark is no longer representative.</w:t>
      </w:r>
    </w:p>
    <w:p>
      <w:pPr>
        <w:spacing w:after="0" w:line="136" w:lineRule="exact"/>
        <w:rPr>
          <w:sz w:val="20"/>
          <w:szCs w:val="20"/>
          <w:color w:val="auto"/>
        </w:rPr>
      </w:pPr>
    </w:p>
    <w:p>
      <w:pPr>
        <w:jc w:val="both"/>
        <w:ind w:left="340" w:right="519" w:firstLine="333"/>
        <w:spacing w:after="0" w:line="349" w:lineRule="auto"/>
        <w:rPr>
          <w:sz w:val="20"/>
          <w:szCs w:val="20"/>
          <w:color w:val="auto"/>
        </w:rPr>
      </w:pPr>
      <w:r>
        <w:rPr>
          <w:rFonts w:ascii="Times New Roman" w:cs="Times New Roman" w:eastAsia="Times New Roman" w:hAnsi="Times New Roman"/>
          <w:sz w:val="12"/>
          <w:szCs w:val="12"/>
          <w:color w:val="auto"/>
        </w:rPr>
        <w:t>“ISDA Definitions” means the 2006 ISDA Definitions published by the International Swaps and Derivatives Association, Inc. or any successor thereto, as amended or supplemented from time to time, or any successor definitional booklet for interest rate derivatives published from time to time.</w:t>
      </w:r>
    </w:p>
    <w:p>
      <w:pPr>
        <w:spacing w:after="0" w:line="89" w:lineRule="exact"/>
        <w:rPr>
          <w:sz w:val="20"/>
          <w:szCs w:val="20"/>
          <w:color w:val="auto"/>
        </w:rPr>
      </w:pPr>
    </w:p>
    <w:p>
      <w:pPr>
        <w:ind w:left="340" w:right="519" w:firstLine="333"/>
        <w:spacing w:after="0" w:line="349" w:lineRule="auto"/>
        <w:rPr>
          <w:sz w:val="20"/>
          <w:szCs w:val="20"/>
          <w:color w:val="auto"/>
        </w:rPr>
      </w:pPr>
      <w:r>
        <w:rPr>
          <w:rFonts w:ascii="Times New Roman" w:cs="Times New Roman" w:eastAsia="Times New Roman" w:hAnsi="Times New Roman"/>
          <w:sz w:val="12"/>
          <w:szCs w:val="12"/>
          <w:color w:val="auto"/>
        </w:rPr>
        <w:t>“ISDA Fallback Adjustment” means the spread adjustment (which may be a positive or negative value or zero) that would apply for derivatives transactions referencing the ISDA Definitions to be determined upon the occurrence of an index cessation event with respect to the Benchmark.</w:t>
      </w:r>
    </w:p>
    <w:p>
      <w:pPr>
        <w:spacing w:after="0" w:line="89" w:lineRule="exact"/>
        <w:rPr>
          <w:sz w:val="20"/>
          <w:szCs w:val="20"/>
          <w:color w:val="auto"/>
        </w:rPr>
      </w:pPr>
    </w:p>
    <w:p>
      <w:pPr>
        <w:ind w:left="340" w:right="679" w:firstLine="333"/>
        <w:spacing w:after="0" w:line="349" w:lineRule="auto"/>
        <w:rPr>
          <w:sz w:val="20"/>
          <w:szCs w:val="20"/>
          <w:color w:val="auto"/>
        </w:rPr>
      </w:pPr>
      <w:r>
        <w:rPr>
          <w:rFonts w:ascii="Times New Roman" w:cs="Times New Roman" w:eastAsia="Times New Roman" w:hAnsi="Times New Roman"/>
          <w:sz w:val="12"/>
          <w:szCs w:val="12"/>
          <w:color w:val="auto"/>
        </w:rPr>
        <w:t>“ISDA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89" w:lineRule="exact"/>
        <w:rPr>
          <w:sz w:val="20"/>
          <w:szCs w:val="20"/>
          <w:color w:val="auto"/>
        </w:rPr>
      </w:pPr>
    </w:p>
    <w:p>
      <w:pPr>
        <w:ind w:left="340" w:right="959" w:firstLine="333"/>
        <w:spacing w:after="0" w:line="254" w:lineRule="auto"/>
        <w:rPr>
          <w:sz w:val="20"/>
          <w:szCs w:val="20"/>
          <w:color w:val="auto"/>
        </w:rPr>
      </w:pPr>
      <w:r>
        <w:rPr>
          <w:rFonts w:ascii="Times New Roman" w:cs="Times New Roman" w:eastAsia="Times New Roman" w:hAnsi="Times New Roman"/>
          <w:sz w:val="14"/>
          <w:szCs w:val="14"/>
          <w:color w:val="auto"/>
        </w:rPr>
        <w:t>“Reference Time” with respect to any determination of the Benchmark means (1) if the Benchmark is Compounded SOFR, the SOFR Determination Time, and (2) if the Benchmark is not Compounded SOFR, the time determined by us or our designee after giving effect to the Benchmark Replacement Conforming Changes.</w:t>
      </w:r>
    </w:p>
    <w:p>
      <w:pPr>
        <w:spacing w:after="0" w:line="142" w:lineRule="exact"/>
        <w:rPr>
          <w:sz w:val="20"/>
          <w:szCs w:val="20"/>
          <w:color w:val="auto"/>
        </w:rPr>
      </w:pPr>
    </w:p>
    <w:p>
      <w:pPr>
        <w:ind w:left="340" w:right="759" w:firstLine="333"/>
        <w:spacing w:after="0" w:line="264" w:lineRule="auto"/>
        <w:rPr>
          <w:sz w:val="20"/>
          <w:szCs w:val="20"/>
          <w:color w:val="auto"/>
        </w:rPr>
      </w:pPr>
      <w:r>
        <w:rPr>
          <w:rFonts w:ascii="Times New Roman" w:cs="Times New Roman" w:eastAsia="Times New Roman" w:hAnsi="Times New Roman"/>
          <w:sz w:val="14"/>
          <w:szCs w:val="14"/>
          <w:color w:val="auto"/>
        </w:rPr>
        <w:t>“Relevant Governmental Body” means the Federal Reserve Board and/or the Federal Reserve Bank of New York, or a committee officially endorsed or convened by the Federal Reserve Board and/or the Federal Reserve Bank of New York or any successor thereto.</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“Unadjusted Benchmark Replacement” means the Benchmark Replacement excluding the Benchmark Replacement Adjustment.</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88" w:lineRule="exact"/>
        <w:rPr>
          <w:sz w:val="20"/>
          <w:szCs w:val="20"/>
          <w:color w:val="auto"/>
        </w:rPr>
      </w:pPr>
    </w:p>
    <w:p>
      <w:pPr>
        <w:ind w:left="340" w:right="499" w:firstLine="333"/>
        <w:spacing w:after="0" w:line="264" w:lineRule="auto"/>
        <w:rPr>
          <w:sz w:val="20"/>
          <w:szCs w:val="20"/>
          <w:color w:val="auto"/>
        </w:rPr>
      </w:pPr>
      <w:r>
        <w:rPr>
          <w:rFonts w:ascii="Times New Roman" w:cs="Times New Roman" w:eastAsia="Times New Roman" w:hAnsi="Times New Roman"/>
          <w:sz w:val="14"/>
          <w:szCs w:val="14"/>
          <w:color w:val="auto"/>
        </w:rPr>
        <w:t>Subject to “—Special Mandatory Redemption” with respect to the applicable series of notes, we may not redeem the floating rate notes of either series at our option prior to maturity.</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9019"/>
          </w:cols>
          <w:pgMar w:left="1440" w:top="239" w:right="1440" w:bottom="1440" w:gutter="0" w:footer="0" w:header="0"/>
        </w:sectPr>
      </w:pPr>
    </w:p>
    <w:bookmarkStart w:id="20" w:name="page21"/>
    <w:bookmarkEnd w:id="20"/>
    <w:p>
      <w:pPr>
        <w:ind w:left="340" w:right="379" w:firstLine="333"/>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Prior to the applicable Par Call Date, we may redeem the fixed rate notes of any series at our option, in whole or in part, at any time and from time to time, at a redemption price (expressed as a percentage of principal amount and rounded to three decimal places) equal to the greater of:</w:t>
      </w:r>
    </w:p>
    <w:p>
      <w:pPr>
        <w:spacing w:after="0" w:line="54" w:lineRule="exact"/>
        <w:rPr>
          <w:sz w:val="20"/>
          <w:szCs w:val="20"/>
          <w:color w:val="auto"/>
        </w:rPr>
      </w:pPr>
    </w:p>
    <w:p>
      <w:pPr>
        <w:ind w:left="340" w:right="479" w:firstLine="331"/>
        <w:spacing w:after="0" w:line="247" w:lineRule="auto"/>
        <w:tabs>
          <w:tab w:leader="none" w:pos="86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sum of the present values of the remaining scheduled payments of principal and interest on the fixed rate notes being redeemed discounted to the redemption date (assuming the fixed rate notes being redeemed matured on the applicable Par Call Date) on a semi-annual basis (assuming a 360-day year consisting of twelve 30-day months) at the applicable Treasury Rate, plus 5 basis points in the case of the 4.150% notes, 10 basis points in the case of the 4.375% notes, 10 basis points in the case of the 4.650% notes, 10 basis points in the case of the 4.850% notes, 12.5 basis points in the case of the 5.600% notes or 15 basis points in the case of the 5.700% notes, less (b) interest accrued to the redemption date, and (2) 100% of the principal amount of the fixed rate notes being redeemed on such redemption date, plus, in each case, accrued and unpaid interest thereon to, but excluding, the redemption date.</w:t>
      </w:r>
    </w:p>
    <w:p>
      <w:pPr>
        <w:spacing w:after="0" w:line="147" w:lineRule="exact"/>
        <w:rPr>
          <w:sz w:val="20"/>
          <w:szCs w:val="20"/>
          <w:color w:val="auto"/>
        </w:rPr>
      </w:pPr>
    </w:p>
    <w:p>
      <w:pPr>
        <w:ind w:left="340" w:right="499" w:firstLine="333"/>
        <w:spacing w:after="0" w:line="254" w:lineRule="auto"/>
        <w:rPr>
          <w:sz w:val="20"/>
          <w:szCs w:val="20"/>
          <w:color w:val="auto"/>
        </w:rPr>
      </w:pPr>
      <w:r>
        <w:rPr>
          <w:rFonts w:ascii="Times New Roman" w:cs="Times New Roman" w:eastAsia="Times New Roman" w:hAnsi="Times New Roman"/>
          <w:sz w:val="14"/>
          <w:szCs w:val="14"/>
          <w:color w:val="auto"/>
        </w:rPr>
        <w:t>In addition, on or after the applicable Par Call Date, we may redeem the applicable series of fixed rate notes, in whole or in part, at any time and from time to time, at a redemption price equal to 100% of the principal amount of such series of fixed rate notes being redeemed plus accrued and unpaid interest thereon to, but excluding, the redemption date.</w:t>
      </w:r>
    </w:p>
    <w:p>
      <w:pPr>
        <w:spacing w:after="0" w:line="142" w:lineRule="exact"/>
        <w:rPr>
          <w:sz w:val="20"/>
          <w:szCs w:val="20"/>
          <w:color w:val="auto"/>
        </w:rPr>
      </w:pPr>
    </w:p>
    <w:p>
      <w:pPr>
        <w:ind w:left="340" w:right="359" w:firstLine="333"/>
        <w:spacing w:after="0" w:line="248" w:lineRule="auto"/>
        <w:rPr>
          <w:sz w:val="20"/>
          <w:szCs w:val="20"/>
          <w:color w:val="auto"/>
        </w:rPr>
      </w:pPr>
      <w:r>
        <w:rPr>
          <w:rFonts w:ascii="Times New Roman" w:cs="Times New Roman" w:eastAsia="Times New Roman" w:hAnsi="Times New Roman"/>
          <w:sz w:val="14"/>
          <w:szCs w:val="14"/>
          <w:color w:val="auto"/>
        </w:rPr>
        <w:t>“Par Call Date” means, with respect to the 4.150% notes, April 20, 2029 (one month prior to the maturity date of the 4.150% notes), with respect to the 4.375% notes, April 20, 2031 (one month prior to the maturity date of the 4.375% notes), with respect to the 4.650% notes, March 20, 2033 (two months prior to the maturity date of the 4.650% notes), with respect to the 4.850% notes, February 20, 2036 (three months prior to the maturity date of the 4.850% notes), with respect to the 5.600% notes, November 20, 2055 (six months prior to the maturity date of the 5.600% notes), and with respect to the 5.700% notes, November 20, 2065 (six months prior to the maturity date of the 5.700% notes).</w:t>
      </w:r>
    </w:p>
    <w:p>
      <w:pPr>
        <w:spacing w:after="0" w:line="149" w:lineRule="exact"/>
        <w:rPr>
          <w:sz w:val="20"/>
          <w:szCs w:val="20"/>
          <w:color w:val="auto"/>
        </w:rPr>
      </w:pPr>
    </w:p>
    <w:p>
      <w:pPr>
        <w:ind w:left="340" w:right="739" w:firstLine="333"/>
        <w:spacing w:after="0" w:line="264" w:lineRule="auto"/>
        <w:rPr>
          <w:sz w:val="20"/>
          <w:szCs w:val="20"/>
          <w:color w:val="auto"/>
        </w:rPr>
      </w:pPr>
      <w:r>
        <w:rPr>
          <w:rFonts w:ascii="Times New Roman" w:cs="Times New Roman" w:eastAsia="Times New Roman" w:hAnsi="Times New Roman"/>
          <w:sz w:val="14"/>
          <w:szCs w:val="14"/>
          <w:color w:val="auto"/>
        </w:rPr>
        <w:t>“Treasury Rate” means, with respect to any redemption date for any series of fixed rate notes prior to the applicable Par Call Date, the yield determined by us in accordance with the following two paragraphs.</w:t>
      </w:r>
    </w:p>
    <w:p>
      <w:pPr>
        <w:spacing w:after="0" w:line="136" w:lineRule="exact"/>
        <w:rPr>
          <w:sz w:val="20"/>
          <w:szCs w:val="20"/>
          <w:color w:val="auto"/>
        </w:rPr>
      </w:pPr>
    </w:p>
    <w:p>
      <w:pPr>
        <w:ind w:left="340" w:right="379" w:firstLine="333"/>
        <w:spacing w:after="0" w:line="289" w:lineRule="auto"/>
        <w:rPr>
          <w:sz w:val="20"/>
          <w:szCs w:val="20"/>
          <w:color w:val="auto"/>
        </w:rPr>
      </w:pPr>
      <w:r>
        <w:rPr>
          <w:rFonts w:ascii="Times New Roman" w:cs="Times New Roman" w:eastAsia="Times New Roman" w:hAnsi="Times New Roman"/>
          <w:sz w:val="12"/>
          <w:szCs w:val="12"/>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94" w:lineRule="exact"/>
        <w:rPr>
          <w:sz w:val="20"/>
          <w:szCs w:val="20"/>
          <w:color w:val="auto"/>
        </w:rPr>
      </w:pPr>
    </w:p>
    <w:p>
      <w:pPr>
        <w:ind w:left="340" w:right="559" w:firstLine="333"/>
        <w:spacing w:after="0" w:line="254" w:lineRule="auto"/>
        <w:rPr>
          <w:sz w:val="20"/>
          <w:szCs w:val="20"/>
          <w:color w:val="auto"/>
        </w:rPr>
      </w:pPr>
      <w:r>
        <w:rPr>
          <w:rFonts w:ascii="Times New Roman" w:cs="Times New Roman" w:eastAsia="Times New Roman" w:hAnsi="Times New Roman"/>
          <w:sz w:val="14"/>
          <w:szCs w:val="14"/>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9019"/>
          </w:cols>
          <w:pgMar w:left="1440" w:top="239" w:right="1440" w:bottom="1440" w:gutter="0" w:footer="0" w:header="0"/>
        </w:sectPr>
      </w:pPr>
    </w:p>
    <w:bookmarkStart w:id="21" w:name="page22"/>
    <w:bookmarkEnd w:id="21"/>
    <w:p>
      <w:pPr>
        <w:ind w:left="340" w:right="359"/>
        <w:spacing w:after="0" w:line="24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Treasury security maturing on, or with a maturity that is closest to, the applicable Par Call Date.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5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Our actions and determinations in determining the redemption price shall be conclusive and binding for all purposes, absent manifest error.</w:t>
      </w:r>
    </w:p>
    <w:p>
      <w:pPr>
        <w:spacing w:after="0" w:line="166" w:lineRule="exact"/>
        <w:rPr>
          <w:sz w:val="20"/>
          <w:szCs w:val="20"/>
          <w:color w:val="auto"/>
        </w:rPr>
      </w:pPr>
    </w:p>
    <w:p>
      <w:pPr>
        <w:ind w:left="340" w:right="439" w:firstLine="333"/>
        <w:spacing w:after="0" w:line="254" w:lineRule="auto"/>
        <w:rPr>
          <w:sz w:val="20"/>
          <w:szCs w:val="20"/>
          <w:color w:val="auto"/>
        </w:rPr>
      </w:pPr>
      <w:r>
        <w:rPr>
          <w:rFonts w:ascii="Times New Roman" w:cs="Times New Roman" w:eastAsia="Times New Roman" w:hAnsi="Times New Roman"/>
          <w:sz w:val="14"/>
          <w:szCs w:val="14"/>
          <w:color w:val="auto"/>
        </w:rPr>
        <w:t>Notwithstanding the foregoing, installments of interest on fixed rate notes that are due and payable on an interest payment date falling on or prior to a redemption date will be payable on such interest payment date to the registered holders as of the close of business on the relevant record date immediately preceding such interest payment date.</w:t>
      </w:r>
    </w:p>
    <w:p>
      <w:pPr>
        <w:spacing w:after="0" w:line="142" w:lineRule="exact"/>
        <w:rPr>
          <w:sz w:val="20"/>
          <w:szCs w:val="20"/>
          <w:color w:val="auto"/>
        </w:rPr>
      </w:pPr>
    </w:p>
    <w:p>
      <w:pPr>
        <w:ind w:left="340" w:right="399" w:firstLine="333"/>
        <w:spacing w:after="0" w:line="292" w:lineRule="auto"/>
        <w:rPr>
          <w:sz w:val="20"/>
          <w:szCs w:val="20"/>
          <w:color w:val="auto"/>
        </w:rPr>
      </w:pPr>
      <w:r>
        <w:rPr>
          <w:rFonts w:ascii="Times New Roman" w:cs="Times New Roman" w:eastAsia="Times New Roman" w:hAnsi="Times New Roman"/>
          <w:sz w:val="12"/>
          <w:szCs w:val="12"/>
          <w:color w:val="auto"/>
        </w:rPr>
        <w:t>Notice of any redemption will be mailed (or otherwise transmitted in accordance with the depositary’s procedures) at least 10 days but not more than 60 days before the redemption date to each registered holder of the fixed rate notes being redeemed. Subject to any delay in the redemption date or rescission of the notice of redemption described below, once notice of redemption is mailed, the fixed rate notes called for redemption will become due and payable on the applicable redemption date. Any notice of redemption may, at our discretion, be subject to one or more conditions precedent, including completion of a corporate transaction. In such event, the related notice of redemption will describe each such condition and, if applicable, will state that, at our discretion, the redemption date may be delayed until such time (including more than 60 days after the notice of redemption was given) as any or all such conditions are satisfied (or waived by us in our sole discretion), or such redemption may not occur and such notice may be rescinded in the event that any or all such conditions have not been satisfied (or waived by us in our sole discretion) by the redemption date, or by the redemption date as so delayed. If any such redemption has been rescinded or delayed, we will provide written notice to the trustee prior to the close of business two business days before the redemption date and, upon receipt, the trustee will provide such notice to each registered holder.</w:t>
      </w:r>
    </w:p>
    <w:p>
      <w:pPr>
        <w:spacing w:after="0" w:line="286" w:lineRule="exact"/>
        <w:rPr>
          <w:sz w:val="20"/>
          <w:szCs w:val="20"/>
          <w:color w:val="auto"/>
        </w:rPr>
      </w:pPr>
    </w:p>
    <w:p>
      <w:pPr>
        <w:ind w:left="340" w:right="379" w:firstLine="333"/>
        <w:spacing w:after="0" w:line="246" w:lineRule="auto"/>
        <w:rPr>
          <w:sz w:val="20"/>
          <w:szCs w:val="20"/>
          <w:color w:val="auto"/>
        </w:rPr>
      </w:pPr>
      <w:r>
        <w:rPr>
          <w:rFonts w:ascii="Times New Roman" w:cs="Times New Roman" w:eastAsia="Times New Roman" w:hAnsi="Times New Roman"/>
          <w:sz w:val="14"/>
          <w:szCs w:val="14"/>
          <w:color w:val="auto"/>
        </w:rPr>
        <w:t>If fewer than all of the fixed rate notes of a particular series are being redeemed, selection of the fixed rate notes being redeemed will be made pro rata, by lot or by such other method as the trustee in its sole discretion deems appropriate and fair. No fixed rate notes of a principal amount of $2,000 or less will be redeemed in part. If any fixed rate note is being redeemed in part only, the notice of redemption that relates to the fixed rate note will state the portion of the principal amount of the fixed rate note being redeemed. Except in the case of global notes, a new fixed rate note in a principal amount equal to the unredeemed portion of the fixed rate note will be issued in the name of the holder of the note upon surrender for cancellation of the original note. Notwithstanding the foregoing, for so long as the fixed rate notes are held by The Depository Trust Company (“DTC”) (or another depositary), the redemption of the notes shall be done in accordance with the policies and procedures of the depositary. Before any optional redemption date, we will deposit with a paying agent (or the trustee) money sufficient to pay the redemption price of the fixed rate notes of the particular series being redeemed on that date.</w:t>
      </w:r>
    </w:p>
    <w:p>
      <w:pPr>
        <w:spacing w:after="0" w:line="149" w:lineRule="exact"/>
        <w:rPr>
          <w:sz w:val="20"/>
          <w:szCs w:val="20"/>
          <w:color w:val="auto"/>
        </w:rPr>
      </w:pPr>
    </w:p>
    <w:p>
      <w:pPr>
        <w:ind w:left="340" w:right="639" w:firstLine="333"/>
        <w:spacing w:after="0" w:line="264" w:lineRule="auto"/>
        <w:rPr>
          <w:sz w:val="20"/>
          <w:szCs w:val="20"/>
          <w:color w:val="auto"/>
        </w:rPr>
      </w:pPr>
      <w:r>
        <w:rPr>
          <w:rFonts w:ascii="Times New Roman" w:cs="Times New Roman" w:eastAsia="Times New Roman" w:hAnsi="Times New Roman"/>
          <w:sz w:val="14"/>
          <w:szCs w:val="14"/>
          <w:color w:val="auto"/>
        </w:rPr>
        <w:t>Unless we default in payment of the redemption price therefor, on and after the redemption date, interest will cease to accrue on the fixed rate notes or any portions of the fixed rate notes called for redemption.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9019"/>
          </w:cols>
          <w:pgMar w:left="1440" w:top="239" w:right="1440" w:bottom="1440" w:gutter="0" w:footer="0" w:header="0"/>
        </w:sectPr>
      </w:pPr>
    </w:p>
    <w:bookmarkStart w:id="22" w:name="page23"/>
    <w:bookmarkEnd w:id="22"/>
    <w:p>
      <w:pPr>
        <w:ind w:left="6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We may at any time purchase the notes by tender, in the open market or by private agreement, subject to applicable laws.</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Special Mandatory Redemption</w:t>
      </w:r>
    </w:p>
    <w:p>
      <w:pPr>
        <w:spacing w:after="0" w:line="88" w:lineRule="exact"/>
        <w:rPr>
          <w:sz w:val="20"/>
          <w:szCs w:val="20"/>
          <w:color w:val="auto"/>
        </w:rPr>
      </w:pPr>
    </w:p>
    <w:p>
      <w:pPr>
        <w:ind w:left="340" w:right="359" w:firstLine="333"/>
        <w:spacing w:after="0" w:line="295" w:lineRule="auto"/>
        <w:rPr>
          <w:sz w:val="20"/>
          <w:szCs w:val="20"/>
          <w:color w:val="auto"/>
        </w:rPr>
      </w:pPr>
      <w:r>
        <w:rPr>
          <w:rFonts w:ascii="Times New Roman" w:cs="Times New Roman" w:eastAsia="Times New Roman" w:hAnsi="Times New Roman"/>
          <w:sz w:val="12"/>
          <w:szCs w:val="12"/>
          <w:color w:val="auto"/>
        </w:rPr>
        <w:t>In the event that (x) the Centessa Acquisition is not consummated on or prior to the date that is five (5) business days after the later of (i) March 31, 2027 or (ii) any later date as the parties to the Centessa Agreement may agree as the “Outside Date” thereunder or (y) we notify the trustee in writing that we will not pursue the consummation of the Centessa Acquisition (any such event being a “Centessa Special Mandatory Redemption Event”), we will be required to redeem the 2029 floating rate notes, the 4.150% notes, the 4.375% notes, the 4.650% notes and the 4.850% notes (collectively, the “Centessa Mandatorily Redeemable Notes”) then outstanding (such redemption, the “Centessa Special Mandatory Redemption”) at a redemption price equal to 101% of the principal amount of such Centessa Mandatorily Redeemable Notes plus accrued and unpaid interest, if any, to, but excluding, the Centessa Special Mandatory Redemption Date (as defined below) (the “Centessa Special Mandatory Redemption Price”).</w:t>
      </w:r>
    </w:p>
    <w:p>
      <w:pPr>
        <w:spacing w:after="0" w:line="120" w:lineRule="exact"/>
        <w:rPr>
          <w:sz w:val="20"/>
          <w:szCs w:val="20"/>
          <w:color w:val="auto"/>
        </w:rPr>
      </w:pPr>
    </w:p>
    <w:p>
      <w:pPr>
        <w:ind w:left="340" w:right="379" w:firstLine="333"/>
        <w:spacing w:after="0" w:line="245" w:lineRule="auto"/>
        <w:rPr>
          <w:sz w:val="20"/>
          <w:szCs w:val="20"/>
          <w:color w:val="auto"/>
        </w:rPr>
      </w:pPr>
      <w:r>
        <w:rPr>
          <w:rFonts w:ascii="Times New Roman" w:cs="Times New Roman" w:eastAsia="Times New Roman" w:hAnsi="Times New Roman"/>
          <w:sz w:val="14"/>
          <w:szCs w:val="14"/>
          <w:color w:val="auto"/>
        </w:rPr>
        <w:t>In the event that we become obligated to redeem the Centessa Mandatorily Redeemable Notes pursuant to the Centessa Special Mandatory Redemption, we will promptly, and in any event not more than ten business days after the Centessa Special Mandatory Redemption Event, deliver written notice (the “Centessa Special Mandatory Redemption Notice”) to each registered holder of Centessa Mandatorily Redeemable Notes and the trustee of the Centessa Special Mandatory Redemption and the date upon which the Centessa Mandatorily Redeemable Notes will be redeemed (the “Centessa Special Mandatory Redemption Date,” which date shall be no earlier than five days and no later than thirty days following the date of such notice, unless some longer minimum period may be required by DTC (or any successor depositary)). The Centessa Special Mandatory Redemption Notice will, in accordance with the trustee’s (if applicable) and DTC’s (or any successor depositary’s) procedures, be mailed, electronically delivered, or otherwise transmitted, according to the procedures of DTC (or any successor depositary) to each registered holder of Centessa Mandatorily Redeemable Notes. Any Centessa Special Mandatory Redemption Notice may be given by us or may be given, at our written direction, by the trustee in our name and at our expense.</w:t>
      </w:r>
    </w:p>
    <w:p>
      <w:pPr>
        <w:spacing w:after="0" w:line="154" w:lineRule="exact"/>
        <w:rPr>
          <w:sz w:val="20"/>
          <w:szCs w:val="20"/>
          <w:color w:val="auto"/>
        </w:rPr>
      </w:pPr>
    </w:p>
    <w:p>
      <w:pPr>
        <w:ind w:left="340" w:right="439" w:firstLine="333"/>
        <w:spacing w:after="0" w:line="264" w:lineRule="auto"/>
        <w:rPr>
          <w:sz w:val="20"/>
          <w:szCs w:val="20"/>
          <w:color w:val="auto"/>
        </w:rPr>
      </w:pPr>
      <w:r>
        <w:rPr>
          <w:rFonts w:ascii="Times New Roman" w:cs="Times New Roman" w:eastAsia="Times New Roman" w:hAnsi="Times New Roman"/>
          <w:sz w:val="14"/>
          <w:szCs w:val="14"/>
          <w:color w:val="auto"/>
        </w:rPr>
        <w:t>Unless we default in payment of the Centessa Special Mandatory Redemption Price of the Centessa Mandatorily Redeemable Notes, on and after such Centessa Special Mandatory Redemption Date, interest will cease to accrue on the Centessa Mandatorily Redeemable Notes.</w:t>
      </w:r>
    </w:p>
    <w:p>
      <w:pPr>
        <w:spacing w:after="0" w:line="136" w:lineRule="exact"/>
        <w:rPr>
          <w:sz w:val="20"/>
          <w:szCs w:val="20"/>
          <w:color w:val="auto"/>
        </w:rPr>
      </w:pPr>
    </w:p>
    <w:p>
      <w:pPr>
        <w:ind w:left="340" w:right="499" w:firstLine="333"/>
        <w:spacing w:after="0" w:line="316" w:lineRule="auto"/>
        <w:rPr>
          <w:sz w:val="20"/>
          <w:szCs w:val="20"/>
          <w:color w:val="auto"/>
        </w:rPr>
      </w:pPr>
      <w:r>
        <w:rPr>
          <w:rFonts w:ascii="Times New Roman" w:cs="Times New Roman" w:eastAsia="Times New Roman" w:hAnsi="Times New Roman"/>
          <w:sz w:val="12"/>
          <w:szCs w:val="12"/>
          <w:color w:val="auto"/>
        </w:rPr>
        <w:t>Notwithstanding the foregoing, installments of interest on any series of Centessa Mandatorily Redeemable Notes that are due and payable on an interest payment date falling on or prior to the Centessa Special Mandatory Redemption Date will be payable on such interest payment dates to the registered holders as of the close of business on the relevant record dates in accordance with the applicable series of notes and the indenture.</w:t>
      </w:r>
    </w:p>
    <w:p>
      <w:pPr>
        <w:spacing w:after="0" w:line="109" w:lineRule="exact"/>
        <w:rPr>
          <w:sz w:val="20"/>
          <w:szCs w:val="20"/>
          <w:color w:val="auto"/>
        </w:rPr>
      </w:pPr>
    </w:p>
    <w:p>
      <w:pPr>
        <w:ind w:left="340" w:right="379" w:firstLine="333"/>
        <w:spacing w:after="0" w:line="250" w:lineRule="auto"/>
        <w:rPr>
          <w:sz w:val="20"/>
          <w:szCs w:val="20"/>
          <w:color w:val="auto"/>
        </w:rPr>
      </w:pPr>
      <w:r>
        <w:rPr>
          <w:rFonts w:ascii="Times New Roman" w:cs="Times New Roman" w:eastAsia="Times New Roman" w:hAnsi="Times New Roman"/>
          <w:sz w:val="14"/>
          <w:szCs w:val="14"/>
          <w:color w:val="auto"/>
        </w:rPr>
        <w:t>The 2028 floating rate notes, the 5.600% notes and the 5.700% notes do not constitute Centessa Mandatorily Redeemable Notes and will not be subject to the Centessa Special Mandatory Redemption. Accordingly, if a Centessa Special Mandatory Redemption is triggered, such series of notes will not be required to be redeemed and will remain outstanding in accordance with their terms, subject to our right to redeem certain of such series of notes, in whole or in part, at any time and from time to time, even if the Centessa Acquisition is not consummated.</w:t>
      </w:r>
    </w:p>
    <w:p>
      <w:pPr>
        <w:spacing w:after="0" w:line="146" w:lineRule="exact"/>
        <w:rPr>
          <w:sz w:val="20"/>
          <w:szCs w:val="20"/>
          <w:color w:val="auto"/>
        </w:rPr>
      </w:pPr>
    </w:p>
    <w:p>
      <w:pPr>
        <w:jc w:val="both"/>
        <w:ind w:left="340" w:right="639" w:firstLine="333"/>
        <w:spacing w:after="0" w:line="254" w:lineRule="auto"/>
        <w:rPr>
          <w:sz w:val="20"/>
          <w:szCs w:val="20"/>
          <w:color w:val="auto"/>
        </w:rPr>
      </w:pPr>
      <w:r>
        <w:rPr>
          <w:rFonts w:ascii="Times New Roman" w:cs="Times New Roman" w:eastAsia="Times New Roman" w:hAnsi="Times New Roman"/>
          <w:sz w:val="14"/>
          <w:szCs w:val="14"/>
          <w:color w:val="auto"/>
        </w:rPr>
        <w:t>The proceeds from this offering will not be deposited into an escrow account pending completion of the Centessa Acquisition or the Centessa Special Mandatory Redemption, nor will we be required to grant any security interest or other lien on the proceeds to secure any redemption of the notes.</w:t>
      </w:r>
    </w:p>
    <w:p>
      <w:pPr>
        <w:spacing w:after="0" w:line="142" w:lineRule="exact"/>
        <w:rPr>
          <w:sz w:val="20"/>
          <w:szCs w:val="20"/>
          <w:color w:val="auto"/>
        </w:rPr>
      </w:pPr>
    </w:p>
    <w:p>
      <w:pPr>
        <w:ind w:left="340" w:right="459" w:firstLine="333"/>
        <w:spacing w:after="0" w:line="264" w:lineRule="auto"/>
        <w:rPr>
          <w:sz w:val="20"/>
          <w:szCs w:val="20"/>
          <w:color w:val="auto"/>
        </w:rPr>
      </w:pPr>
      <w:r>
        <w:rPr>
          <w:rFonts w:ascii="Times New Roman" w:cs="Times New Roman" w:eastAsia="Times New Roman" w:hAnsi="Times New Roman"/>
          <w:sz w:val="14"/>
          <w:szCs w:val="14"/>
          <w:color w:val="auto"/>
        </w:rPr>
        <w:t>Upon the consummation of the Centessa Acquisition, the foregoing provisions regarding the Centessa Special Mandatory Redemption will cease to apply. For purposes of the foregoing, the Centessa Acquisition will</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9019"/>
          </w:cols>
          <w:pgMar w:left="1440" w:top="239" w:right="1440" w:bottom="1440" w:gutter="0" w:footer="0" w:header="0"/>
        </w:sectPr>
      </w:pPr>
    </w:p>
    <w:bookmarkStart w:id="23" w:name="page24"/>
    <w:bookmarkEnd w:id="23"/>
    <w:p>
      <w:pPr>
        <w:ind w:left="340" w:right="35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be deemed consummated if the closing under the Centessa Agreement occurs, including after giving effect to any amendments, modifications or waivers to the Centessa Agreement.</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As used in this prospectus supplement, the following definitions apply:</w:t>
      </w:r>
    </w:p>
    <w:p>
      <w:pPr>
        <w:spacing w:after="0" w:line="8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“Centessa” means Centessa Pharmaceuticals plc, a public limited company registered in England and Wales.</w:t>
      </w:r>
    </w:p>
    <w:p>
      <w:pPr>
        <w:spacing w:after="0" w:line="166" w:lineRule="exact"/>
        <w:rPr>
          <w:sz w:val="20"/>
          <w:szCs w:val="20"/>
          <w:color w:val="auto"/>
        </w:rPr>
      </w:pPr>
    </w:p>
    <w:p>
      <w:pPr>
        <w:ind w:left="340" w:right="439" w:firstLine="333"/>
        <w:spacing w:after="0" w:line="264" w:lineRule="auto"/>
        <w:rPr>
          <w:sz w:val="20"/>
          <w:szCs w:val="20"/>
          <w:color w:val="auto"/>
        </w:rPr>
      </w:pPr>
      <w:r>
        <w:rPr>
          <w:rFonts w:ascii="Times New Roman" w:cs="Times New Roman" w:eastAsia="Times New Roman" w:hAnsi="Times New Roman"/>
          <w:sz w:val="14"/>
          <w:szCs w:val="14"/>
          <w:color w:val="auto"/>
        </w:rPr>
        <w:t>“Centessa Acquisition” means the acquisition by Eli Lilly and Company (including through the Purchaser (as defined below)) of Centessa and its subsidiaries pursuant to the Centessa Agreement.</w:t>
      </w:r>
    </w:p>
    <w:p>
      <w:pPr>
        <w:spacing w:after="0" w:line="136" w:lineRule="exact"/>
        <w:rPr>
          <w:sz w:val="20"/>
          <w:szCs w:val="20"/>
          <w:color w:val="auto"/>
        </w:rPr>
      </w:pPr>
    </w:p>
    <w:p>
      <w:pPr>
        <w:ind w:left="340" w:right="779" w:firstLine="333"/>
        <w:spacing w:after="0" w:line="254" w:lineRule="auto"/>
        <w:rPr>
          <w:sz w:val="20"/>
          <w:szCs w:val="20"/>
          <w:color w:val="auto"/>
        </w:rPr>
      </w:pPr>
      <w:r>
        <w:rPr>
          <w:rFonts w:ascii="Times New Roman" w:cs="Times New Roman" w:eastAsia="Times New Roman" w:hAnsi="Times New Roman"/>
          <w:sz w:val="14"/>
          <w:szCs w:val="14"/>
          <w:color w:val="auto"/>
        </w:rPr>
        <w:t>“Centessa Agreement” means the Transaction Agreement, dated as of March 31, 2026, by and among Eli Lilly and Company, an Indiana corporation, LDH XV Corporation, a Delaware corporation and direct wholly owned subsidiary of Eli Lilly and Company (the “Purchaser”), and Centessa, as amended, supplemented, renewed, modified or waived from time to time.</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Book-Entry Notes</w:t>
      </w:r>
    </w:p>
    <w:p>
      <w:pPr>
        <w:spacing w:after="0" w:line="88" w:lineRule="exact"/>
        <w:rPr>
          <w:sz w:val="20"/>
          <w:szCs w:val="20"/>
          <w:color w:val="auto"/>
        </w:rPr>
      </w:pPr>
    </w:p>
    <w:p>
      <w:pPr>
        <w:ind w:left="340" w:right="439" w:firstLine="333"/>
        <w:spacing w:after="0" w:line="248" w:lineRule="auto"/>
        <w:rPr>
          <w:sz w:val="20"/>
          <w:szCs w:val="20"/>
          <w:color w:val="auto"/>
        </w:rPr>
      </w:pPr>
      <w:r>
        <w:rPr>
          <w:rFonts w:ascii="Times New Roman" w:cs="Times New Roman" w:eastAsia="Times New Roman" w:hAnsi="Times New Roman"/>
          <w:sz w:val="14"/>
          <w:szCs w:val="14"/>
          <w:color w:val="auto"/>
        </w:rPr>
        <w:t>The information in “Book-Entry Notes” concerning DTC and DTC’s book-entry system, as well as information regarding Euroclear and Clearstream (each as defined below), has been obtained from sources that we believe to be reliable, but we take no responsibility for its accuracy or completeness. This information is not intended to serve as a representation, warranty or contract modification of any kind. We assume no responsibility for the performance by DTC, Euroclear, Clearstream or their respective participants of their respective obligations, including obligations that they have under the rules and procedures that govern their operations.</w:t>
      </w:r>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The Depository Trust Company</w:t>
      </w:r>
    </w:p>
    <w:p>
      <w:pPr>
        <w:spacing w:after="0" w:line="88" w:lineRule="exact"/>
        <w:rPr>
          <w:sz w:val="20"/>
          <w:szCs w:val="20"/>
          <w:color w:val="auto"/>
        </w:rPr>
      </w:pPr>
    </w:p>
    <w:p>
      <w:pPr>
        <w:ind w:left="340" w:right="379" w:firstLine="333"/>
        <w:spacing w:after="0" w:line="254" w:lineRule="auto"/>
        <w:rPr>
          <w:sz w:val="20"/>
          <w:szCs w:val="20"/>
          <w:color w:val="auto"/>
        </w:rPr>
      </w:pPr>
      <w:r>
        <w:rPr>
          <w:rFonts w:ascii="Times New Roman" w:cs="Times New Roman" w:eastAsia="Times New Roman" w:hAnsi="Times New Roman"/>
          <w:sz w:val="14"/>
          <w:szCs w:val="14"/>
          <w:color w:val="auto"/>
        </w:rPr>
        <w:t>Except under the limited circumstances described below, all notes will be book-entry notes. This means that the actual purchasers of the notes will not be entitled to have the notes registered in their names and will not be entitled to receive physical delivery of the notes in definitive (paper) form. Instead, upon issuance, each series of notes will be represented by one or more fully registered global notes.</w:t>
      </w:r>
    </w:p>
    <w:p>
      <w:pPr>
        <w:spacing w:after="0" w:line="142" w:lineRule="exact"/>
        <w:rPr>
          <w:sz w:val="20"/>
          <w:szCs w:val="20"/>
          <w:color w:val="auto"/>
        </w:rPr>
      </w:pPr>
    </w:p>
    <w:p>
      <w:pPr>
        <w:ind w:left="340" w:right="399" w:firstLine="333"/>
        <w:spacing w:after="0" w:line="247" w:lineRule="auto"/>
        <w:rPr>
          <w:sz w:val="20"/>
          <w:szCs w:val="20"/>
          <w:color w:val="auto"/>
        </w:rPr>
      </w:pPr>
      <w:r>
        <w:rPr>
          <w:rFonts w:ascii="Times New Roman" w:cs="Times New Roman" w:eastAsia="Times New Roman" w:hAnsi="Times New Roman"/>
          <w:sz w:val="14"/>
          <w:szCs w:val="14"/>
          <w:color w:val="auto"/>
        </w:rPr>
        <w:t xml:space="preserve">Each global note will be deposited with, or on behalf of, DTC, a securities depositary, and will be registered in the name of Cede &amp; Co., as DTC’s nominee, or such other name as may be requested by an authorized representative of DTC. No global note representing book-entry notes may be transferred except as a whole by DTC to a nominee of DTC or by a nominee of DTC to DTC or another nominee of DTC. DTC will be the only owner and sole registered holder of the notes for purposes of the Indenture. Purchasers may elect to hold interests in the global notes through either DTC (in the United States) or through Clearstream Banking, </w:t>
      </w:r>
      <w:r>
        <w:rPr>
          <w:rFonts w:ascii="Times New Roman" w:cs="Times New Roman" w:eastAsia="Times New Roman" w:hAnsi="Times New Roman"/>
          <w:sz w:val="14"/>
          <w:szCs w:val="14"/>
          <w:i w:val="1"/>
          <w:iCs w:val="1"/>
          <w:color w:val="auto"/>
        </w:rPr>
        <w:t>société anonyme</w:t>
      </w:r>
      <w:r>
        <w:rPr>
          <w:rFonts w:ascii="Times New Roman" w:cs="Times New Roman" w:eastAsia="Times New Roman" w:hAnsi="Times New Roman"/>
          <w:sz w:val="14"/>
          <w:szCs w:val="14"/>
          <w:color w:val="auto"/>
        </w:rPr>
        <w:t xml:space="preserve"> (“Clearstream”), or the Euroclear System (“Euroclear”) (outside the United States) if they are participants in such systems, or indirectly through organizations that are participants in such systems.</w:t>
      </w:r>
    </w:p>
    <w:p>
      <w:pPr>
        <w:spacing w:after="0" w:line="150" w:lineRule="exact"/>
        <w:rPr>
          <w:sz w:val="20"/>
          <w:szCs w:val="20"/>
          <w:color w:val="auto"/>
        </w:rPr>
      </w:pPr>
    </w:p>
    <w:p>
      <w:pPr>
        <w:ind w:left="340" w:right="379" w:firstLine="333"/>
        <w:spacing w:after="0" w:line="247" w:lineRule="auto"/>
        <w:rPr>
          <w:sz w:val="20"/>
          <w:szCs w:val="20"/>
          <w:color w:val="auto"/>
        </w:rPr>
      </w:pPr>
      <w:r>
        <w:rPr>
          <w:rFonts w:ascii="Times New Roman" w:cs="Times New Roman" w:eastAsia="Times New Roman" w:hAnsi="Times New Roman"/>
          <w:sz w:val="14"/>
          <w:szCs w:val="14"/>
          <w:color w:val="auto"/>
        </w:rPr>
        <w:t>Purchases of the notes under the DTC system must be made by or through direct participants, which will receive a credit for the notes in DTC’s records. The ownership interest of each actual purchaser of notes, which we refer to as the “beneficial owner,” will in turn be recorded in the direct and indirect participants’ records. The deposit of the global notes with DTC and their registration in the name of DTC’s nominee will not affect beneficial ownership and is performed merely to facilitate subsequent transfers of the notes. The book-entry system eliminates the need for physical movement of securities certificates. The laws of some jurisdictions, however, may require some purchasers to take physical delivery of notes in definitive form. These laws may impair the ability of holders to transfer book-entry notes.</w:t>
      </w:r>
    </w:p>
    <w:p>
      <w:pPr>
        <w:spacing w:after="0" w:line="150" w:lineRule="exact"/>
        <w:rPr>
          <w:sz w:val="20"/>
          <w:szCs w:val="20"/>
          <w:color w:val="auto"/>
        </w:rPr>
      </w:pPr>
    </w:p>
    <w:p>
      <w:pPr>
        <w:ind w:left="340" w:right="499" w:firstLine="333"/>
        <w:spacing w:after="0" w:line="254" w:lineRule="auto"/>
        <w:rPr>
          <w:sz w:val="20"/>
          <w:szCs w:val="20"/>
          <w:color w:val="auto"/>
        </w:rPr>
      </w:pPr>
      <w:r>
        <w:rPr>
          <w:rFonts w:ascii="Times New Roman" w:cs="Times New Roman" w:eastAsia="Times New Roman" w:hAnsi="Times New Roman"/>
          <w:sz w:val="14"/>
          <w:szCs w:val="14"/>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9019"/>
          </w:cols>
          <w:pgMar w:left="1440" w:top="239" w:right="1440" w:bottom="1440" w:gutter="0" w:footer="0" w:header="0"/>
        </w:sectPr>
      </w:pPr>
    </w:p>
    <w:bookmarkStart w:id="24" w:name="page25"/>
    <w:bookmarkEnd w:id="24"/>
    <w:p>
      <w:pPr>
        <w:ind w:left="340" w:right="379"/>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“clearing agency” registered pursuant to the provisions of Section 17A of the Exchange Act. DTC holds securities that its participants deposit with it. DTC also facilitates the post-trade settlement among its participants of securities transactions, such as transfers and pledges, in deposited securities through electronic computerized book-entry changes in its participants’ accounts. DTC’s participants include underwriters, including the underwriters in this offering, securities brokers and dealers, banks, trust companies, clearing corporations and certain other organizations. Clearstream and Euroclear, which are discussed in more detail below, are indirect participants in the DTC system. The rules applicable to DTC and its participants are on file with the SEC.</w:t>
      </w:r>
    </w:p>
    <w:p>
      <w:pPr>
        <w:spacing w:after="0" w:line="150" w:lineRule="exact"/>
        <w:rPr>
          <w:sz w:val="20"/>
          <w:szCs w:val="20"/>
          <w:color w:val="auto"/>
        </w:rPr>
      </w:pPr>
    </w:p>
    <w:p>
      <w:pPr>
        <w:ind w:left="340" w:right="579" w:firstLine="333"/>
        <w:spacing w:after="0" w:line="250" w:lineRule="auto"/>
        <w:rPr>
          <w:sz w:val="20"/>
          <w:szCs w:val="20"/>
          <w:color w:val="auto"/>
        </w:rPr>
      </w:pPr>
      <w:r>
        <w:rPr>
          <w:rFonts w:ascii="Times New Roman" w:cs="Times New Roman" w:eastAsia="Times New Roman" w:hAnsi="Times New Roman"/>
          <w:sz w:val="14"/>
          <w:szCs w:val="14"/>
          <w:color w:val="auto"/>
        </w:rPr>
        <w:t>Because DTC or its nominee will be the only registered holder of the global notes, Clearstream and Euroclear will hold positions through their respective U.S. depositaries, which in turn will hold positions in the records of DTC. For information on how accounts of ownership of notes held through DTC are recorded, please refer to “Description of Securities—Description of Debt Securities—Global Securities” in the accompanying prospectus.</w:t>
      </w:r>
    </w:p>
    <w:p>
      <w:pPr>
        <w:spacing w:after="0" w:line="146" w:lineRule="exact"/>
        <w:rPr>
          <w:sz w:val="20"/>
          <w:szCs w:val="20"/>
          <w:color w:val="auto"/>
        </w:rPr>
      </w:pPr>
    </w:p>
    <w:p>
      <w:pPr>
        <w:ind w:left="340" w:right="419" w:firstLine="333"/>
        <w:spacing w:after="0" w:line="254" w:lineRule="auto"/>
        <w:rPr>
          <w:sz w:val="20"/>
          <w:szCs w:val="20"/>
          <w:color w:val="auto"/>
        </w:rPr>
      </w:pPr>
      <w:r>
        <w:rPr>
          <w:rFonts w:ascii="Times New Roman" w:cs="Times New Roman" w:eastAsia="Times New Roman" w:hAnsi="Times New Roman"/>
          <w:sz w:val="14"/>
          <w:szCs w:val="14"/>
          <w:color w:val="auto"/>
        </w:rPr>
        <w:t>In this prospectus supplement, unless and until notes in definitive form are issued to the beneficial owners as described below, all references to “holders” of notes shall mean DTC or its nominee. We, the trustee and any paying agent, transfer agent or registrar may treat DTC or its nominee as the only owner and sole registered holder of the notes for all purposes.</w:t>
      </w:r>
    </w:p>
    <w:p>
      <w:pPr>
        <w:spacing w:after="0" w:line="142" w:lineRule="exact"/>
        <w:rPr>
          <w:sz w:val="20"/>
          <w:szCs w:val="20"/>
          <w:color w:val="auto"/>
        </w:rPr>
      </w:pPr>
    </w:p>
    <w:p>
      <w:pPr>
        <w:ind w:left="340" w:right="439" w:firstLine="333"/>
        <w:spacing w:after="0" w:line="247" w:lineRule="auto"/>
        <w:rPr>
          <w:sz w:val="20"/>
          <w:szCs w:val="20"/>
          <w:color w:val="auto"/>
        </w:rPr>
      </w:pPr>
      <w:r>
        <w:rPr>
          <w:rFonts w:ascii="Times New Roman" w:cs="Times New Roman" w:eastAsia="Times New Roman" w:hAnsi="Times New Roman"/>
          <w:sz w:val="14"/>
          <w:szCs w:val="14"/>
          <w:color w:val="auto"/>
        </w:rPr>
        <w:t>We will make all payments of principal of and premium, if any, and interest on our notes to DTC or its nominee by wire transfer. We will send all required reports and notices solely to DTC or its nominee as long as DTC or its nominee is the sole registered holder of the notes. DTC and its participants are generally required by law to receive and transmit all payments, notices and directions from us and the trustee to beneficial owners of book-entry notes through a chain of intermediaries. Beneficial owners of book-entry notes will not receive written confirmation from DTC of their purchases. However, they are expected to receive written confirmations providing details of the transaction, as well as periodic statements of their holdings, from the participants or indirect participants through which they entered into the transaction.</w:t>
      </w:r>
    </w:p>
    <w:p>
      <w:pPr>
        <w:spacing w:after="0" w:line="150" w:lineRule="exact"/>
        <w:rPr>
          <w:sz w:val="20"/>
          <w:szCs w:val="20"/>
          <w:color w:val="auto"/>
        </w:rPr>
      </w:pPr>
    </w:p>
    <w:p>
      <w:pPr>
        <w:ind w:left="340" w:right="639" w:firstLine="333"/>
        <w:spacing w:after="0" w:line="247" w:lineRule="auto"/>
        <w:rPr>
          <w:sz w:val="20"/>
          <w:szCs w:val="20"/>
          <w:color w:val="auto"/>
        </w:rPr>
      </w:pPr>
      <w:r>
        <w:rPr>
          <w:rFonts w:ascii="Times New Roman" w:cs="Times New Roman" w:eastAsia="Times New Roman" w:hAnsi="Times New Roman"/>
          <w:sz w:val="14"/>
          <w:szCs w:val="14"/>
          <w:color w:val="auto"/>
        </w:rPr>
        <w:t>Similarly, we and the trustee will accept notices and directions solely from DTC or its nominee. Therefore, in order to exercise any rights as a holder of notes under the Indenture, each person owning a beneficial interest in the notes must rely on the procedures of DTC and, in some cases, Clearstream or Euroclear. If the beneficial owner is not a participant in the applicable system, then it must rely on the procedures of the participant through which that person owns its interest. DTC has advised us that it will take actions under the Indenture only at the direction of its participants, which in turn will act only at the direction of the beneficial owners. Some of these actions, however, may conflict with actions DTC takes at the direction of other participants and beneficial owners.</w:t>
      </w:r>
    </w:p>
    <w:p>
      <w:pPr>
        <w:spacing w:after="0" w:line="150" w:lineRule="exact"/>
        <w:rPr>
          <w:sz w:val="20"/>
          <w:szCs w:val="20"/>
          <w:color w:val="auto"/>
        </w:rPr>
      </w:pPr>
    </w:p>
    <w:p>
      <w:pPr>
        <w:jc w:val="both"/>
        <w:ind w:left="340" w:right="439" w:firstLine="333"/>
        <w:spacing w:after="0" w:line="349" w:lineRule="auto"/>
        <w:rPr>
          <w:sz w:val="20"/>
          <w:szCs w:val="20"/>
          <w:color w:val="auto"/>
        </w:rPr>
      </w:pPr>
      <w:r>
        <w:rPr>
          <w:rFonts w:ascii="Times New Roman" w:cs="Times New Roman" w:eastAsia="Times New Roman" w:hAnsi="Times New Roman"/>
          <w:sz w:val="12"/>
          <w:szCs w:val="12"/>
          <w:color w:val="auto"/>
        </w:rPr>
        <w:t>Notices and other communications by DTC to participants, by participants to indirect participants and by participants and indirect participants to beneficial owners will be governed by arrangements among them, subject to statutory or regulatory requirements as may be in effect from time to time.</w:t>
      </w:r>
    </w:p>
    <w:p>
      <w:pPr>
        <w:spacing w:after="0" w:line="89" w:lineRule="exact"/>
        <w:rPr>
          <w:sz w:val="20"/>
          <w:szCs w:val="20"/>
          <w:color w:val="auto"/>
        </w:rPr>
      </w:pPr>
    </w:p>
    <w:p>
      <w:pPr>
        <w:ind w:left="340" w:right="399" w:firstLine="333"/>
        <w:spacing w:after="0" w:line="248" w:lineRule="auto"/>
        <w:rPr>
          <w:sz w:val="20"/>
          <w:szCs w:val="20"/>
          <w:color w:val="auto"/>
        </w:rPr>
      </w:pPr>
      <w:r>
        <w:rPr>
          <w:rFonts w:ascii="Times New Roman" w:cs="Times New Roman" w:eastAsia="Times New Roman" w:hAnsi="Times New Roman"/>
          <w:sz w:val="14"/>
          <w:szCs w:val="14"/>
          <w:color w:val="auto"/>
        </w:rPr>
        <w:t>Beneficial owners may experience delays in receiving payments in respect of their notes since such payments will initially be made to DTC and must then be transferred through the chain of intermediaries to each beneficial owner’s account. None of us, the trustee or any of our or their agents will be liable for the accuracy of, or responsible for maintaining, supervising or reviewing, the records of Clearstream or Euroclear or any participant’s records relating to book-entry notes. In addition, none of us, the trustee or any of our or their agents will be responsible or liable for payments made on account of the book-entry notes.</w:t>
      </w:r>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Clearstream</w:t>
      </w:r>
    </w:p>
    <w:p>
      <w:pPr>
        <w:spacing w:after="0" w:line="88" w:lineRule="exact"/>
        <w:rPr>
          <w:sz w:val="20"/>
          <w:szCs w:val="20"/>
          <w:color w:val="auto"/>
        </w:rPr>
      </w:pPr>
    </w:p>
    <w:p>
      <w:pPr>
        <w:ind w:left="340" w:right="919" w:firstLine="333"/>
        <w:spacing w:after="0" w:line="264" w:lineRule="auto"/>
        <w:rPr>
          <w:sz w:val="20"/>
          <w:szCs w:val="20"/>
          <w:color w:val="auto"/>
        </w:rPr>
      </w:pPr>
      <w:r>
        <w:rPr>
          <w:rFonts w:ascii="Times New Roman" w:cs="Times New Roman" w:eastAsia="Times New Roman" w:hAnsi="Times New Roman"/>
          <w:sz w:val="14"/>
          <w:szCs w:val="14"/>
          <w:color w:val="auto"/>
        </w:rPr>
        <w:t>Clearstream is incorporated under the laws of Luxembourg as a professional depositary. Clearstream holds securities for its participating organizations (“Clearstream participants”) and facilitates the clearance and</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9019"/>
          </w:cols>
          <w:pgMar w:left="1440" w:top="239" w:right="1440" w:bottom="1440" w:gutter="0" w:footer="0" w:header="0"/>
        </w:sectPr>
      </w:pPr>
    </w:p>
    <w:bookmarkStart w:id="25" w:name="page26"/>
    <w:bookmarkEnd w:id="25"/>
    <w:p>
      <w:pPr>
        <w:ind w:left="340" w:right="539"/>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settlement of securities transactions between Clearstream participants through electronic book-entry changes in accounts of Clearstream participants, thereby eliminating the need for physical movement of certificates. Clearstream provides to its participants, among other things, services for safekeeping, administration, clearance and settlement of internationally traded securities and securities lending and borrowing. Clearstream interfaces with domestic markets in several countries. Clearstream has also established an electronic bridge with Euroclear to facilitate settlement of trades between Clearstream and Euroclear.</w:t>
      </w:r>
    </w:p>
    <w:p>
      <w:pPr>
        <w:spacing w:after="0" w:line="149" w:lineRule="exact"/>
        <w:rPr>
          <w:sz w:val="20"/>
          <w:szCs w:val="20"/>
          <w:color w:val="auto"/>
        </w:rPr>
      </w:pPr>
    </w:p>
    <w:p>
      <w:pPr>
        <w:ind w:left="340" w:right="359" w:firstLine="333"/>
        <w:spacing w:after="0" w:line="248" w:lineRule="auto"/>
        <w:rPr>
          <w:sz w:val="20"/>
          <w:szCs w:val="20"/>
          <w:color w:val="auto"/>
        </w:rPr>
      </w:pPr>
      <w:r>
        <w:rPr>
          <w:rFonts w:ascii="Times New Roman" w:cs="Times New Roman" w:eastAsia="Times New Roman" w:hAnsi="Times New Roman"/>
          <w:sz w:val="14"/>
          <w:szCs w:val="14"/>
          <w:color w:val="auto"/>
        </w:rPr>
        <w:t>As a licensed credit institution in Luxembourg and a securities settlement system in which the Luxembourg Central Bank participates, Clearstream is supervised by the Luxembourg Commission for the Supervision of the Financial Sector (</w:t>
      </w:r>
      <w:r>
        <w:rPr>
          <w:rFonts w:ascii="Times New Roman" w:cs="Times New Roman" w:eastAsia="Times New Roman" w:hAnsi="Times New Roman"/>
          <w:sz w:val="14"/>
          <w:szCs w:val="14"/>
          <w:i w:val="1"/>
          <w:iCs w:val="1"/>
          <w:color w:val="auto"/>
        </w:rPr>
        <w:t>Commission de Surveillance du Secteur Financier</w:t>
      </w:r>
      <w:r>
        <w:rPr>
          <w:rFonts w:ascii="Times New Roman" w:cs="Times New Roman" w:eastAsia="Times New Roman" w:hAnsi="Times New Roman"/>
          <w:sz w:val="14"/>
          <w:szCs w:val="14"/>
          <w:color w:val="auto"/>
        </w:rPr>
        <w:t>). Clearstream participants are recognized financial institutions around the world, including underwriters, securities brokers and dealers, banks, trust companies, clearing corporations and certain other organizations and may include the underwriters in this offering. Other institutions that clear through or that maintain a custodial relationship with a Clearstream participant may obtain indirect access to Clearstream.</w:t>
      </w:r>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Euroclear</w:t>
      </w:r>
    </w:p>
    <w:p>
      <w:pPr>
        <w:spacing w:after="0" w:line="88" w:lineRule="exact"/>
        <w:rPr>
          <w:sz w:val="20"/>
          <w:szCs w:val="20"/>
          <w:color w:val="auto"/>
        </w:rPr>
      </w:pPr>
    </w:p>
    <w:p>
      <w:pPr>
        <w:jc w:val="both"/>
        <w:ind w:left="340" w:right="539" w:firstLine="333"/>
        <w:spacing w:after="0" w:line="305" w:lineRule="auto"/>
        <w:rPr>
          <w:sz w:val="20"/>
          <w:szCs w:val="20"/>
          <w:color w:val="auto"/>
        </w:rPr>
      </w:pPr>
      <w:r>
        <w:rPr>
          <w:rFonts w:ascii="Times New Roman" w:cs="Times New Roman" w:eastAsia="Times New Roman" w:hAnsi="Times New Roman"/>
          <w:sz w:val="12"/>
          <w:szCs w:val="12"/>
          <w:color w:val="auto"/>
        </w:rPr>
        <w:t>Euroclear was created in 1968 to hold securities for its participating organizations (“Euroclear participants”) and to clear and settle transactions between Euroclear participants and participants of certain other securities intermediaries through simultaneous electronic book-entry delivery against payment, thus eliminating the need for physical movement of certificates and the risk from lack of simultaneous transfers of securities and cash. Euroclear provides various other services, including securities lending and borrowing, and interfaces with domestic markets in several countries.</w:t>
      </w:r>
    </w:p>
    <w:p>
      <w:pPr>
        <w:spacing w:after="0" w:line="116" w:lineRule="exact"/>
        <w:rPr>
          <w:sz w:val="20"/>
          <w:szCs w:val="20"/>
          <w:color w:val="auto"/>
        </w:rPr>
      </w:pPr>
    </w:p>
    <w:p>
      <w:pPr>
        <w:ind w:left="340" w:right="559" w:firstLine="333"/>
        <w:spacing w:after="0" w:line="264" w:lineRule="auto"/>
        <w:rPr>
          <w:sz w:val="20"/>
          <w:szCs w:val="20"/>
          <w:color w:val="auto"/>
        </w:rPr>
      </w:pPr>
      <w:r>
        <w:rPr>
          <w:rFonts w:ascii="Times New Roman" w:cs="Times New Roman" w:eastAsia="Times New Roman" w:hAnsi="Times New Roman"/>
          <w:sz w:val="14"/>
          <w:szCs w:val="14"/>
          <w:color w:val="auto"/>
        </w:rPr>
        <w:t>Euroclear is operated by Euroclear Bank S.A./N.V. (the “Euroclear Operator”). All operations are conducted by the Euroclear Operator, and all Euroclear securities clearance accounts and Euroclear cash accounts are accounts with the Euroclear Operator.</w:t>
      </w:r>
    </w:p>
    <w:p>
      <w:pPr>
        <w:spacing w:after="0" w:line="136" w:lineRule="exact"/>
        <w:rPr>
          <w:sz w:val="20"/>
          <w:szCs w:val="20"/>
          <w:color w:val="auto"/>
        </w:rPr>
      </w:pPr>
    </w:p>
    <w:p>
      <w:pPr>
        <w:ind w:left="340" w:right="499" w:firstLine="333"/>
        <w:spacing w:after="0" w:line="254" w:lineRule="auto"/>
        <w:rPr>
          <w:sz w:val="20"/>
          <w:szCs w:val="20"/>
          <w:color w:val="auto"/>
        </w:rPr>
      </w:pPr>
      <w:r>
        <w:rPr>
          <w:rFonts w:ascii="Times New Roman" w:cs="Times New Roman" w:eastAsia="Times New Roman" w:hAnsi="Times New Roman"/>
          <w:sz w:val="14"/>
          <w:szCs w:val="14"/>
          <w:color w:val="auto"/>
        </w:rPr>
        <w:t>Euroclear participants include banks (including central banks), securities brokers and dealers and other professional financial intermediaries and may include the underwriters in this offering. In addition, indirect access to Euroclear is available to other firms that clear through or maintain a custodial relationship with a Euroclear participant, either directly or indirectly.</w:t>
      </w:r>
    </w:p>
    <w:p>
      <w:pPr>
        <w:spacing w:after="0" w:line="142" w:lineRule="exact"/>
        <w:rPr>
          <w:sz w:val="20"/>
          <w:szCs w:val="20"/>
          <w:color w:val="auto"/>
        </w:rPr>
      </w:pPr>
    </w:p>
    <w:p>
      <w:pPr>
        <w:ind w:left="340" w:right="619" w:firstLine="333"/>
        <w:spacing w:after="0" w:line="316" w:lineRule="auto"/>
        <w:rPr>
          <w:sz w:val="20"/>
          <w:szCs w:val="20"/>
          <w:color w:val="auto"/>
        </w:rPr>
      </w:pPr>
      <w:r>
        <w:rPr>
          <w:rFonts w:ascii="Times New Roman" w:cs="Times New Roman" w:eastAsia="Times New Roman" w:hAnsi="Times New Roman"/>
          <w:sz w:val="12"/>
          <w:szCs w:val="12"/>
          <w:color w:val="auto"/>
        </w:rPr>
        <w:t>Securities clearance accounts and cash accounts with the Euroclear Operator are governed by the Terms and Conditions Governing Use of Euroclear and the related Operating Procedures of the Euroclear System and applicable Belgian law (collectively, the “Terms and Conditions”). The Terms and Conditions govern securities clearance accounts and cash accounts with Euroclear. Specifically, the Terms and Conditions govern:</w:t>
      </w:r>
    </w:p>
    <w:p>
      <w:pPr>
        <w:spacing w:after="0" w:line="37" w:lineRule="exact"/>
        <w:rPr>
          <w:sz w:val="20"/>
          <w:szCs w:val="20"/>
          <w:color w:val="auto"/>
        </w:rPr>
      </w:pPr>
    </w:p>
    <w:p>
      <w:pPr>
        <w:ind w:left="1080" w:hanging="334"/>
        <w:spacing w:after="0"/>
        <w:tabs>
          <w:tab w:leader="none" w:pos="10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securities and cash within Euroclear;</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securities and cash from Euroclear; and</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receipts of payments with respect to securities in Euroclear.</w:t>
      </w:r>
    </w:p>
    <w:p>
      <w:pPr>
        <w:spacing w:after="0" w:line="166" w:lineRule="exact"/>
        <w:rPr>
          <w:sz w:val="20"/>
          <w:szCs w:val="20"/>
          <w:color w:val="auto"/>
        </w:rPr>
      </w:pPr>
    </w:p>
    <w:p>
      <w:pPr>
        <w:ind w:left="340" w:right="779" w:firstLine="333"/>
        <w:spacing w:after="0" w:line="254" w:lineRule="auto"/>
        <w:rPr>
          <w:sz w:val="20"/>
          <w:szCs w:val="20"/>
          <w:color w:val="auto"/>
        </w:rPr>
      </w:pPr>
      <w:r>
        <w:rPr>
          <w:rFonts w:ascii="Times New Roman" w:cs="Times New Roman" w:eastAsia="Times New Roman" w:hAnsi="Times New Roman"/>
          <w:sz w:val="14"/>
          <w:szCs w:val="14"/>
          <w:color w:val="auto"/>
        </w:rPr>
        <w:t>All securities in Euroclear are held on a fungible basis without attribution of specific certificates to specific securities clearance accounts. Euroclear acts under the Terms and Conditions only on behalf of Euroclear participants and has no record of or relationship with persons holding securities through Euroclear participants.</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Global Clearance and Settlement Procedures</w:t>
      </w:r>
    </w:p>
    <w:p>
      <w:pPr>
        <w:spacing w:after="0" w:line="88" w:lineRule="exact"/>
        <w:rPr>
          <w:sz w:val="20"/>
          <w:szCs w:val="20"/>
          <w:color w:val="auto"/>
        </w:rPr>
      </w:pPr>
    </w:p>
    <w:p>
      <w:pPr>
        <w:ind w:left="340" w:right="399" w:firstLine="333"/>
        <w:spacing w:after="0" w:line="248" w:lineRule="auto"/>
        <w:rPr>
          <w:sz w:val="20"/>
          <w:szCs w:val="20"/>
          <w:color w:val="auto"/>
        </w:rPr>
      </w:pPr>
      <w:r>
        <w:rPr>
          <w:rFonts w:ascii="Times New Roman" w:cs="Times New Roman" w:eastAsia="Times New Roman" w:hAnsi="Times New Roman"/>
          <w:sz w:val="14"/>
          <w:szCs w:val="14"/>
          <w:color w:val="auto"/>
        </w:rPr>
        <w:t>Initial settlement for the notes will be made in immediately available funds. Secondary market trading between DTC participants will occur in the ordinary way, in accordance with DTC’s rules, and will be settled in immediately available funds using DTC’s same-day funds settlement system. Secondary market trading between Clearstream participants and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9019"/>
          </w:cols>
          <w:pgMar w:left="1440" w:top="239" w:right="1440" w:bottom="1440" w:gutter="0" w:footer="0" w:header="0"/>
        </w:sectPr>
      </w:pPr>
    </w:p>
    <w:bookmarkStart w:id="26" w:name="page27"/>
    <w:bookmarkEnd w:id="26"/>
    <w:p>
      <w:pPr>
        <w:ind w:left="340" w:right="419" w:firstLine="333"/>
        <w:spacing w:after="0" w:line="24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Cross-market transfers between persons holding directly or indirectly through DTC, on the one hand, and directly or indirectly through Clearstream or Euroclear participants, on the other, will be effected through DTC, in accordance with DTC’s rules, on behalf of the relevant European international clearing system by the U.S. depositaries. However, such cross-market transactions will require delivery of instructions to the relevant European international clearing system by the counterparty in this system in accordance with its rules and procedures and within its established deadlines in European time zones. The relevant European international clearing system will, if the transaction meets its settlement requirements, deliver instructions to its U.S. depositary to take action to effect final settlement on its behalf by delivering or receiving notes in DTC, and making or receiving payment in accordance with normal procedures for same-day funds settlement applicable to DTC. Clearstream participants and Euroclear participants may not deliver instructions directly to DTC.</w:t>
      </w:r>
    </w:p>
    <w:p>
      <w:pPr>
        <w:spacing w:after="0" w:line="150" w:lineRule="exact"/>
        <w:rPr>
          <w:sz w:val="20"/>
          <w:szCs w:val="20"/>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Because of time zone differences, credits of notes received in Clearstream or Euroclear as a result of a transaction with a DTC participant will be made during subsequent securities settlement processing and will be credited the business day following the DTC settlement date. These credits or any transactions in such notes settled during such processing will be reported to the relevant Euroclear or Clearstream participants on that business day. Cash received in Clearstream or Euroclear as a result of sales of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50" w:lineRule="exact"/>
        <w:rPr>
          <w:sz w:val="20"/>
          <w:szCs w:val="20"/>
          <w:color w:val="auto"/>
        </w:rPr>
      </w:pPr>
    </w:p>
    <w:p>
      <w:pPr>
        <w:ind w:left="340" w:right="479" w:firstLine="333"/>
        <w:spacing w:after="0" w:line="305" w:lineRule="auto"/>
        <w:rPr>
          <w:sz w:val="20"/>
          <w:szCs w:val="20"/>
          <w:color w:val="auto"/>
        </w:rPr>
      </w:pPr>
      <w:r>
        <w:rPr>
          <w:rFonts w:ascii="Times New Roman" w:cs="Times New Roman" w:eastAsia="Times New Roman" w:hAnsi="Times New Roman"/>
          <w:sz w:val="12"/>
          <w:szCs w:val="12"/>
          <w:color w:val="auto"/>
        </w:rPr>
        <w:t>Although we expect that DTC, Clearstream and Euroclear have agreed to the foregoing procedures to facilitate transfers of notes among participants of DTC, Clearstream and Euroclear, the information set forth in this section is subject to any changes or reinterpretations of the rules, regulations and procedures of DTC, Clearstream and Euroclear that are currently in effect. Investors wishing to use the facilities of any of DTC, Clearstream or Euroclear are advised to confirm the continued applicability of the rules, regulations and procedures of DTC, Clearstream or Euroclear.</w:t>
      </w:r>
    </w:p>
    <w:p>
      <w:pPr>
        <w:spacing w:after="0" w:line="19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Payments</w:t>
      </w:r>
    </w:p>
    <w:p>
      <w:pPr>
        <w:spacing w:after="0" w:line="88" w:lineRule="exact"/>
        <w:rPr>
          <w:sz w:val="20"/>
          <w:szCs w:val="20"/>
          <w:color w:val="auto"/>
        </w:rPr>
      </w:pPr>
    </w:p>
    <w:p>
      <w:pPr>
        <w:ind w:left="340" w:right="399" w:firstLine="333"/>
        <w:spacing w:after="0" w:line="300" w:lineRule="auto"/>
        <w:rPr>
          <w:sz w:val="20"/>
          <w:szCs w:val="20"/>
          <w:color w:val="auto"/>
        </w:rPr>
      </w:pPr>
      <w:r>
        <w:rPr>
          <w:rFonts w:ascii="Times New Roman" w:cs="Times New Roman" w:eastAsia="Times New Roman" w:hAnsi="Times New Roman"/>
          <w:sz w:val="12"/>
          <w:szCs w:val="12"/>
          <w:color w:val="auto"/>
        </w:rPr>
        <w:t>We will make all payments of principal of and premium, if any, and interest on book-entry notes to DTC or its nominee. Upon receipt of any such payment, DTC will immediately credit the accounts of its participants on its book-entry registration and transfer system. DTC will credit those accounts in proportion to the participants’ respective beneficial interests in the principal amount of the global note as shown in the records of DTC. Payments by participants to beneficial owners of book-entry notes will be governed by standing instructions and customary practices, as is now the case with securities held for the accounts of customers in bearer form or registered in “street name,” and will be the responsibility of those participants.</w:t>
      </w:r>
    </w:p>
    <w:p>
      <w:pPr>
        <w:spacing w:after="0" w:line="118" w:lineRule="exact"/>
        <w:rPr>
          <w:sz w:val="20"/>
          <w:szCs w:val="20"/>
          <w:color w:val="auto"/>
        </w:rPr>
      </w:pPr>
    </w:p>
    <w:p>
      <w:pPr>
        <w:ind w:left="340" w:right="539" w:firstLine="333"/>
        <w:spacing w:after="0" w:line="264" w:lineRule="auto"/>
        <w:rPr>
          <w:sz w:val="20"/>
          <w:szCs w:val="20"/>
          <w:color w:val="auto"/>
        </w:rPr>
      </w:pPr>
      <w:r>
        <w:rPr>
          <w:rFonts w:ascii="Times New Roman" w:cs="Times New Roman" w:eastAsia="Times New Roman" w:hAnsi="Times New Roman"/>
          <w:sz w:val="14"/>
          <w:szCs w:val="14"/>
          <w:color w:val="auto"/>
        </w:rPr>
        <w:t>Payments on book-entry notes held beneficially through Clearstream or Euroclear will be credited to their respective participants in accordance with their respective rules and procedures, to the extent received by their respective U.S. depositaries.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Definitive Notes and Paying Agents</w:t>
      </w:r>
    </w:p>
    <w:p>
      <w:pPr>
        <w:spacing w:after="0" w:line="88" w:lineRule="exact"/>
        <w:rPr>
          <w:sz w:val="20"/>
          <w:szCs w:val="20"/>
          <w:color w:val="auto"/>
        </w:rPr>
      </w:pPr>
    </w:p>
    <w:p>
      <w:pPr>
        <w:ind w:left="340" w:right="439" w:firstLine="333"/>
        <w:spacing w:after="0" w:line="248" w:lineRule="auto"/>
        <w:rPr>
          <w:sz w:val="20"/>
          <w:szCs w:val="20"/>
          <w:color w:val="auto"/>
        </w:rPr>
      </w:pPr>
      <w:r>
        <w:rPr>
          <w:rFonts w:ascii="Times New Roman" w:cs="Times New Roman" w:eastAsia="Times New Roman" w:hAnsi="Times New Roman"/>
          <w:sz w:val="14"/>
          <w:szCs w:val="14"/>
          <w:color w:val="auto"/>
        </w:rPr>
        <w:t>Under the circumstances described in the last paragraph under “Description of Securities—Description of Debt Securities—Global Securities” of the accompanying prospectus, beneficial owners of the notes will be notified through the chain of intermediaries that definitive notes are available. Beneficial owners of book-entry notes will then be entitled (1) to receive physical delivery of notes in definitive form equal in principal amount to their beneficial interest and (2) to have notes in definitive form registered in their names. The notes in definitive form will be issued in minimum denominations of $2,000 and integral multiples of $1,000 in excess of that amount.</w:t>
      </w:r>
    </w:p>
    <w:p>
      <w:pPr>
        <w:spacing w:after="0" w:line="149" w:lineRule="exact"/>
        <w:rPr>
          <w:sz w:val="20"/>
          <w:szCs w:val="20"/>
          <w:color w:val="auto"/>
        </w:rPr>
      </w:pPr>
    </w:p>
    <w:p>
      <w:pPr>
        <w:ind w:left="340" w:right="459" w:firstLine="333"/>
        <w:spacing w:after="0" w:line="264" w:lineRule="auto"/>
        <w:rPr>
          <w:sz w:val="20"/>
          <w:szCs w:val="20"/>
          <w:color w:val="auto"/>
        </w:rPr>
      </w:pPr>
      <w:r>
        <w:rPr>
          <w:rFonts w:ascii="Times New Roman" w:cs="Times New Roman" w:eastAsia="Times New Roman" w:hAnsi="Times New Roman"/>
          <w:sz w:val="14"/>
          <w:szCs w:val="14"/>
          <w:color w:val="auto"/>
        </w:rPr>
        <w:t>Notes in definitive form will be registered in the name or names of the person or persons DTC specifies in a written instruction to the registrar of the notes. DTC may base its written instruction upon directions it receives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9019"/>
          </w:cols>
          <w:pgMar w:left="1440" w:top="239" w:right="1440" w:bottom="1440" w:gutter="0" w:footer="0" w:header="0"/>
        </w:sectPr>
      </w:pPr>
    </w:p>
    <w:bookmarkStart w:id="27" w:name="page28"/>
    <w:bookmarkEnd w:id="27"/>
    <w:p>
      <w:pPr>
        <w:jc w:val="both"/>
        <w:ind w:left="340" w:right="57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from its participants. Thereafter, the holders of the notes in definitive form will be recognized as the “holders” of the notes under the Indenture. The Indenture provides for the replacement of a mutilated, lost, stolen or destroyed definitive note, so long as the applicant furnishes to us and the trustee such securities or indemnity and such evidence of ownership as we and the trustee may require.</w:t>
      </w:r>
    </w:p>
    <w:p>
      <w:pPr>
        <w:spacing w:after="0" w:line="142" w:lineRule="exact"/>
        <w:rPr>
          <w:sz w:val="20"/>
          <w:szCs w:val="20"/>
          <w:color w:val="auto"/>
        </w:rPr>
      </w:pPr>
    </w:p>
    <w:p>
      <w:pPr>
        <w:ind w:left="340" w:right="399" w:firstLine="333"/>
        <w:spacing w:after="0" w:line="247" w:lineRule="auto"/>
        <w:rPr>
          <w:sz w:val="20"/>
          <w:szCs w:val="20"/>
          <w:color w:val="auto"/>
        </w:rPr>
      </w:pPr>
      <w:r>
        <w:rPr>
          <w:rFonts w:ascii="Times New Roman" w:cs="Times New Roman" w:eastAsia="Times New Roman" w:hAnsi="Times New Roman"/>
          <w:sz w:val="14"/>
          <w:szCs w:val="14"/>
          <w:color w:val="auto"/>
        </w:rPr>
        <w:t>In the event that notes in definitive form are issued, the holders of such notes will be able to receive payments of principal of and premium, if any, and interest on their notes at the office of our paying agent. Our paying agent will initially be Deutsche Bank Trust Company Americas, currently located at 1 Columbus Circle, 4th Floor, Mail Stop: NYC01-0417, New York, New York 10019, and Deutsche Bank Trust Company Americas will initially act as registrar for the notes. We may, at any time, designate additional paying agents or rescind the designations or approve a change in the offices where they act. Payments due on the maturity date of a note in definitive form may be made only against presentation and surrender of such note to one of our paying agents. We may make payments due on an interest payment date for a note in definitive form by mailing a check to the address of the holder of such note appearing in the register of note holders maintained by the registrar.</w:t>
      </w:r>
    </w:p>
    <w:p>
      <w:pPr>
        <w:spacing w:after="0" w:line="147" w:lineRule="exact"/>
        <w:rPr>
          <w:sz w:val="20"/>
          <w:szCs w:val="20"/>
          <w:color w:val="auto"/>
        </w:rPr>
      </w:pPr>
    </w:p>
    <w:p>
      <w:pPr>
        <w:ind w:left="340" w:right="499" w:firstLine="333"/>
        <w:spacing w:after="0" w:line="246" w:lineRule="auto"/>
        <w:rPr>
          <w:sz w:val="20"/>
          <w:szCs w:val="20"/>
          <w:color w:val="auto"/>
        </w:rPr>
      </w:pPr>
      <w:r>
        <w:rPr>
          <w:rFonts w:ascii="Times New Roman" w:cs="Times New Roman" w:eastAsia="Times New Roman" w:hAnsi="Times New Roman"/>
          <w:sz w:val="14"/>
          <w:szCs w:val="14"/>
          <w:color w:val="auto"/>
        </w:rPr>
        <w:t>In the event that notes in definitive form are issued, the holders of such notes will be able to transfer their notes, in whole or in part, by surrendering such notes for registration of transfer at the office of Deutsche Bank Trust Company Americas, duly endorsed by or accompanied by a written instrument of transfer in form satisfactory to us and the registrar. A form of such instrument of transfer will be obtainable at the offices of Deutsche Bank Trust Company Americas. Upon surrender, we will execute, and the trustee will authenticate and deliver, new notes of the same series and like tenor and terms to the designated transferee in the principal amount being transferred, and a new note of the same series and like tenor and terms for any principal amount not being transferred will be issued to the transferor. We will not charge any fee for the registration of transfer or exchange, except that we may require the payment of a sum sufficient to cover any applicable tax or other governmental charge payable in connection with the transfer.</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9019"/>
          </w:cols>
          <w:pgMar w:left="1440" w:top="239" w:right="1440"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MATERIAL U.S. FEDERAL INCOME TAX CONSIDERATIONS</w:t>
      </w:r>
    </w:p>
    <w:p>
      <w:pPr>
        <w:spacing w:after="0" w:line="170" w:lineRule="exact"/>
        <w:rPr>
          <w:sz w:val="20"/>
          <w:szCs w:val="20"/>
          <w:color w:val="auto"/>
        </w:rPr>
      </w:pPr>
    </w:p>
    <w:p>
      <w:pPr>
        <w:ind w:left="340" w:right="459" w:firstLine="333"/>
        <w:spacing w:after="0" w:line="248" w:lineRule="auto"/>
        <w:rPr>
          <w:sz w:val="20"/>
          <w:szCs w:val="20"/>
          <w:color w:val="auto"/>
        </w:rPr>
      </w:pPr>
      <w:r>
        <w:rPr>
          <w:rFonts w:ascii="Times New Roman" w:cs="Times New Roman" w:eastAsia="Times New Roman" w:hAnsi="Times New Roman"/>
          <w:sz w:val="14"/>
          <w:szCs w:val="14"/>
          <w:color w:val="auto"/>
        </w:rPr>
        <w:t>The following describes the material U.S. federal income tax consequences of acquiring, owning and disposing of our notes. This discussion is based on the Internal Revenue Code of 1986, as amended (the “Code”), Treasury regulations thereunder, and administrative and judicial interpretations thereof, in each case as in effect on the date hereof. These authorities may change or be subject to differing interpretations, possibly on a retroactive basis, so as to result in U.S. federal income tax consequences different from those discussed below. This discussion does not address any other U.S. federal tax considerations (such as gift or estate tax) or any state, local or non-U.S. tax considerations.</w:t>
      </w:r>
    </w:p>
    <w:p>
      <w:pPr>
        <w:spacing w:after="0" w:line="149" w:lineRule="exact"/>
        <w:rPr>
          <w:sz w:val="20"/>
          <w:szCs w:val="20"/>
          <w:color w:val="auto"/>
        </w:rPr>
      </w:pPr>
    </w:p>
    <w:p>
      <w:pPr>
        <w:ind w:left="340" w:right="399" w:firstLine="333"/>
        <w:spacing w:after="0" w:line="254" w:lineRule="auto"/>
        <w:rPr>
          <w:sz w:val="20"/>
          <w:szCs w:val="20"/>
          <w:color w:val="auto"/>
        </w:rPr>
      </w:pPr>
      <w:r>
        <w:rPr>
          <w:rFonts w:ascii="Times New Roman" w:cs="Times New Roman" w:eastAsia="Times New Roman" w:hAnsi="Times New Roman"/>
          <w:sz w:val="14"/>
          <w:szCs w:val="14"/>
          <w:color w:val="auto"/>
        </w:rPr>
        <w:t>We have not sought, and will not seek, any ruling from the Internal Revenue Service (the “IRS”) with respect to the statements made and the conclusions reached in this summary. We cannot assure you that the IRS will agree with such statements and conclusions, or that the IRS will not assert, or that a court would not sustain, a challenge to one or more of the tax consequences described below.</w:t>
      </w:r>
    </w:p>
    <w:p>
      <w:pPr>
        <w:spacing w:after="0" w:line="142" w:lineRule="exact"/>
        <w:rPr>
          <w:sz w:val="20"/>
          <w:szCs w:val="20"/>
          <w:color w:val="auto"/>
        </w:rPr>
      </w:pPr>
    </w:p>
    <w:p>
      <w:pPr>
        <w:ind w:left="340" w:right="359" w:firstLine="333"/>
        <w:spacing w:after="0" w:line="293" w:lineRule="auto"/>
        <w:rPr>
          <w:sz w:val="20"/>
          <w:szCs w:val="20"/>
          <w:color w:val="auto"/>
        </w:rPr>
      </w:pPr>
      <w:r>
        <w:rPr>
          <w:rFonts w:ascii="Times New Roman" w:cs="Times New Roman" w:eastAsia="Times New Roman" w:hAnsi="Times New Roman"/>
          <w:sz w:val="12"/>
          <w:szCs w:val="12"/>
          <w:color w:val="auto"/>
        </w:rPr>
        <w:t>This discussion applies only to beneficial owners that acquire our notes upon original issuance at the initial offering price and that hold our notes as capital assets for U.S. federal income tax purposes. It assumes that the initial offering price is the “issue price” of our notes for U.S. federal income tax purposes. In addition, it does not address all U.S. federal income tax consequences that may be relevant to a particular holder subject to special rules, including, without limitation, banks, insurance companies and other financial institutions, real estate investment trusts, regulated investment companies, partnerships or other entities or arrangements treated as partnerships for U.S. federal income tax purposes, tax-exempt entities and governmental organizations, brokers, traders and dealers in securities that elect to use a mark-to-market method of tax accounting for their securities, U.S. expatriates, persons holding the notes as part of a hedging or conversion transaction or a straddle, tax-qualified retirement plans, persons subject to special tax accounting rules as a result of any item of gross income with respect to our notes being taken into account in an “applicable financial statement” (as defined in the Code), alternative minimum taxes, or U.S. Holders (as defined below) that have a functional currency other than the U.S. dollar.</w:t>
      </w:r>
    </w:p>
    <w:p>
      <w:pPr>
        <w:spacing w:after="0" w:line="286" w:lineRule="exact"/>
        <w:rPr>
          <w:sz w:val="20"/>
          <w:szCs w:val="20"/>
          <w:color w:val="auto"/>
        </w:rPr>
      </w:pPr>
    </w:p>
    <w:p>
      <w:pPr>
        <w:jc w:val="both"/>
        <w:ind w:left="340" w:right="399" w:firstLine="333"/>
        <w:spacing w:after="0" w:line="316" w:lineRule="auto"/>
        <w:rPr>
          <w:sz w:val="20"/>
          <w:szCs w:val="20"/>
          <w:color w:val="auto"/>
        </w:rPr>
      </w:pPr>
      <w:r>
        <w:rPr>
          <w:rFonts w:ascii="Times New Roman" w:cs="Times New Roman" w:eastAsia="Times New Roman" w:hAnsi="Times New Roman"/>
          <w:sz w:val="12"/>
          <w:szCs w:val="12"/>
          <w:color w:val="auto"/>
        </w:rPr>
        <w:t>If a partnership, including any entity or arrangement treated as a partnership for U.S. federal income tax purposes, is a beneficial owner of a note, the treatment of a partner in the partnership generally will depend on the status of the partner and the activities of the partnership. Such partnerships and their partners should consult their tax advisors about the U.S. federal income tax consequences of acquiring, owning and disposing of our notes.</w:t>
      </w:r>
    </w:p>
    <w:p>
      <w:pPr>
        <w:spacing w:after="0" w:line="105" w:lineRule="exact"/>
        <w:rPr>
          <w:sz w:val="20"/>
          <w:szCs w:val="20"/>
          <w:color w:val="auto"/>
        </w:rPr>
      </w:pPr>
    </w:p>
    <w:p>
      <w:pPr>
        <w:jc w:val="both"/>
        <w:ind w:left="340" w:right="459" w:firstLine="333"/>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Prospective investors are urged to consult their own tax advisors as to the particular U.S. federal income and other tax consequences to them of the acquisition, ownership and disposition of the notes as well as any tax consequences under state, local and foreign tax laws, and the possible effects of changes in tax laws.</w:t>
      </w: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Effect of Certain Contingencies</w:t>
      </w:r>
    </w:p>
    <w:p>
      <w:pPr>
        <w:spacing w:after="0" w:line="88" w:lineRule="exact"/>
        <w:rPr>
          <w:sz w:val="20"/>
          <w:szCs w:val="20"/>
          <w:color w:val="auto"/>
        </w:rPr>
      </w:pPr>
    </w:p>
    <w:p>
      <w:pPr>
        <w:ind w:left="340" w:right="379" w:firstLine="333"/>
        <w:spacing w:after="0" w:line="247" w:lineRule="auto"/>
        <w:rPr>
          <w:sz w:val="20"/>
          <w:szCs w:val="20"/>
          <w:color w:val="auto"/>
        </w:rPr>
      </w:pPr>
      <w:r>
        <w:rPr>
          <w:rFonts w:ascii="Times New Roman" w:cs="Times New Roman" w:eastAsia="Times New Roman" w:hAnsi="Times New Roman"/>
          <w:sz w:val="14"/>
          <w:szCs w:val="14"/>
          <w:color w:val="auto"/>
        </w:rPr>
        <w:t>In connection with a Centessa Special Mandatory Redemption, we will be obligated to pay amounts in excess of stated interest or principal, or prior to their scheduled payment dates, for certain series of notes. Our obligation to pay such excess amounts and such timing contingency may implicate the provisions of the Treasury regulations relating to “contingent payment debt obligations,” in which case the timing and amount of income inclusions and the character of income recognized may be different from the consequences described herein. Under these Treasury regulations, however, certain contingencies will not cause a debt instrument to be treated as a contingent payment debt instrument if, for example, as of the issue date, such contingencies in the aggregate are considered “remote” or “incidental.” Moreover, there is an exception from treatment as a contingent payment debt instrument if an alternative payment schedule is “significantly more likely than not” to occur.</w:t>
      </w:r>
    </w:p>
    <w:p>
      <w:pPr>
        <w:spacing w:after="0" w:line="147" w:lineRule="exact"/>
        <w:rPr>
          <w:sz w:val="20"/>
          <w:szCs w:val="20"/>
          <w:color w:val="auto"/>
        </w:rPr>
      </w:pPr>
    </w:p>
    <w:p>
      <w:pPr>
        <w:ind w:left="340" w:right="379" w:firstLine="333"/>
        <w:spacing w:after="0" w:line="264" w:lineRule="auto"/>
        <w:rPr>
          <w:sz w:val="20"/>
          <w:szCs w:val="20"/>
          <w:color w:val="auto"/>
        </w:rPr>
      </w:pPr>
      <w:r>
        <w:rPr>
          <w:rFonts w:ascii="Times New Roman" w:cs="Times New Roman" w:eastAsia="Times New Roman" w:hAnsi="Times New Roman"/>
          <w:sz w:val="14"/>
          <w:szCs w:val="14"/>
          <w:color w:val="auto"/>
        </w:rPr>
        <w:t>Although the issue is not free from doubt, we believe and intend to take the position that the foregoing contingencies should not cause the notes to be treated as contingent payment debt instruments within the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9019"/>
          </w:cols>
          <w:pgMar w:left="1440" w:top="235" w:right="1440" w:bottom="1440" w:gutter="0" w:footer="0" w:header="0"/>
        </w:sectPr>
      </w:pPr>
    </w:p>
    <w:bookmarkStart w:id="29" w:name="page30"/>
    <w:bookmarkEnd w:id="29"/>
    <w:p>
      <w:pPr>
        <w:ind w:left="340" w:right="379"/>
        <w:spacing w:after="0" w:line="24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meaning of the applicable Treasury regulations. Our position is binding on a holder unless such holder discloses its contrary position to the IRS in the manner required by applicable Treasury regulations. Our position is not, however, binding on the IRS. This determination is inherently factual and we can give you no assurance that our position would be sustained if challenged by the IRS. If the IRS were to challenge this position successfully, a holder might be required to, among other things, accrue interest income based on a projected payment schedule and comparable yield determined at the time of the issuance of the applicable series of notes, which may be in excess of stated interest, and treat as ordinary income rather than capital gain any income realized on the taxable disposition of a note in such series. In the event a contingency described above occurs, it could affect the amount, timing and character of the income or loss recognized by a holder. Prospective holders should consult their tax advisors regarding the tax consequences if any series of notes were treated as contingent payment debt instruments. The remainder of this discussion assumes that no series of notes will be considered contingent payment debt instruments.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U.S. Federal Income Taxation of U.S. Holders</w:t>
      </w:r>
    </w:p>
    <w:p>
      <w:pPr>
        <w:spacing w:after="0" w:line="88" w:lineRule="exact"/>
        <w:rPr>
          <w:sz w:val="20"/>
          <w:szCs w:val="20"/>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The following describes the material U.S. federal income tax consequences to a U.S. Holder of acquiring, owning and disposing of our notes. As used herein, a “U.S. Holder” is a beneficial owner of a note that is, for U.S. federal income tax purposes, (1) an individual who is a citizen or resident of the United States, (2) a domestic corporation, (3) an estate the income of which is subject to U.S. federal income taxation regardless of its source or (4) a trust if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Treasury regulations to be treated as a United States person. If you are not a U.S. Holder, this subsection does not apply to you and you should refer to the subsection “—U.S. Federal Income Taxation of Non-U.S. Holders” below.</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Stated Interest</w:t>
      </w:r>
    </w:p>
    <w:p>
      <w:pPr>
        <w:spacing w:after="0" w:line="88" w:lineRule="exact"/>
        <w:rPr>
          <w:sz w:val="20"/>
          <w:szCs w:val="20"/>
          <w:color w:val="auto"/>
        </w:rPr>
      </w:pPr>
    </w:p>
    <w:p>
      <w:pPr>
        <w:ind w:left="340" w:right="699" w:firstLine="333"/>
        <w:spacing w:after="0" w:line="254" w:lineRule="auto"/>
        <w:rPr>
          <w:sz w:val="20"/>
          <w:szCs w:val="20"/>
          <w:color w:val="auto"/>
        </w:rPr>
      </w:pPr>
      <w:r>
        <w:rPr>
          <w:rFonts w:ascii="Times New Roman" w:cs="Times New Roman" w:eastAsia="Times New Roman" w:hAnsi="Times New Roman"/>
          <w:sz w:val="14"/>
          <w:szCs w:val="14"/>
          <w:color w:val="auto"/>
        </w:rPr>
        <w:t>It is expected, and the following discussion assumes, that the notes will be issued without original issue discount for U.S. federal income tax purposes. Accordingly, interest on the notes generally will be taxable to a U.S. Holder as ordinary income at the time it accrues or is actually or constructively received in accordance with the U.S. Holder’s method of accounting for U.S. federal income tax purposes.</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Taxable Disposition of a Note</w:t>
      </w:r>
    </w:p>
    <w:p>
      <w:pPr>
        <w:spacing w:after="0" w:line="88" w:lineRule="exact"/>
        <w:rPr>
          <w:sz w:val="20"/>
          <w:szCs w:val="20"/>
          <w:color w:val="auto"/>
        </w:rPr>
      </w:pPr>
    </w:p>
    <w:p>
      <w:pPr>
        <w:ind w:left="340" w:right="419" w:firstLine="333"/>
        <w:spacing w:after="0" w:line="247" w:lineRule="auto"/>
        <w:rPr>
          <w:sz w:val="20"/>
          <w:szCs w:val="20"/>
          <w:color w:val="auto"/>
        </w:rPr>
      </w:pPr>
      <w:r>
        <w:rPr>
          <w:rFonts w:ascii="Times New Roman" w:cs="Times New Roman" w:eastAsia="Times New Roman" w:hAnsi="Times New Roman"/>
          <w:sz w:val="14"/>
          <w:szCs w:val="14"/>
          <w:color w:val="auto"/>
        </w:rPr>
        <w:t>Upon the sale, exchange, redemption, retirement at maturity or other taxable disposition of a note, a U.S. Holder generally will recognize gain or loss equal to the difference between (1) the sum of cash and the fair market value of other property received on such disposition (less such cash or property attributable to accrued but unpaid interest, which, to the extent not previously included in income, will be taxable as ordinary interest income), and (2) the U.S. Holder’s adjusted tax basis in the note. A U.S. Holder’s adjusted tax basis in a note generally will equal the U.S. Holder’s initial investment in the note. This gain or loss generally will be capital gain or loss, and will be long-term capital gain or loss if the U.S. Holder has a holding period of more than one year. Long-term capital gain of a non-corporate U.S. Holder generally is taxed at a lower maximum marginal tax rate than that applicable to ordinary income. The deductibility of capital losses is subject to limitations.</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Backup Withholding and Information Reporting</w:t>
      </w:r>
    </w:p>
    <w:p>
      <w:pPr>
        <w:spacing w:after="0" w:line="88" w:lineRule="exact"/>
        <w:rPr>
          <w:sz w:val="20"/>
          <w:szCs w:val="20"/>
          <w:color w:val="auto"/>
        </w:rPr>
      </w:pPr>
    </w:p>
    <w:p>
      <w:pPr>
        <w:jc w:val="both"/>
        <w:ind w:left="340" w:right="379" w:firstLine="333"/>
        <w:spacing w:after="0" w:line="254" w:lineRule="auto"/>
        <w:rPr>
          <w:sz w:val="20"/>
          <w:szCs w:val="20"/>
          <w:color w:val="auto"/>
        </w:rPr>
      </w:pPr>
      <w:r>
        <w:rPr>
          <w:rFonts w:ascii="Times New Roman" w:cs="Times New Roman" w:eastAsia="Times New Roman" w:hAnsi="Times New Roman"/>
          <w:sz w:val="14"/>
          <w:szCs w:val="14"/>
          <w:color w:val="auto"/>
        </w:rPr>
        <w:t>U.S. Holders generally will be required to supply a social security number or other taxpayer identification number along with certain certifications under penalties of perjury in order to avoid backup withholding with respect to interest paid on a note and the proceeds of a sale or other disposition of a note. In addition, such payments generally will be subject to information reporting.</w:t>
      </w:r>
    </w:p>
    <w:p>
      <w:pPr>
        <w:spacing w:after="0" w:line="142" w:lineRule="exact"/>
        <w:rPr>
          <w:sz w:val="20"/>
          <w:szCs w:val="20"/>
          <w:color w:val="auto"/>
        </w:rPr>
      </w:pPr>
    </w:p>
    <w:p>
      <w:pPr>
        <w:ind w:left="340" w:right="479" w:firstLine="333"/>
        <w:spacing w:after="0" w:line="254" w:lineRule="auto"/>
        <w:rPr>
          <w:sz w:val="20"/>
          <w:szCs w:val="20"/>
          <w:color w:val="auto"/>
        </w:rPr>
      </w:pPr>
      <w:r>
        <w:rPr>
          <w:rFonts w:ascii="Times New Roman" w:cs="Times New Roman" w:eastAsia="Times New Roman" w:hAnsi="Times New Roman"/>
          <w:sz w:val="14"/>
          <w:szCs w:val="14"/>
          <w:color w:val="auto"/>
        </w:rPr>
        <w:t>Backup withholding is not an additional tax. The amount of any backup withholding from a payment to a U.S. Holder will be allowed as a credit against such U.S. Holder’s federal income tax liability and may entitle such U.S. Holder to a refund, provided that the required information is timely furnished to the IRS.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9019"/>
          </w:cols>
          <w:pgMar w:left="1440" w:top="239" w:right="1440" w:bottom="1440" w:gutter="0" w:footer="0" w:header="0"/>
        </w:sectPr>
      </w:pPr>
    </w:p>
    <w:bookmarkStart w:id="30" w:name="page31"/>
    <w:bookmarkEnd w:id="30"/>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Net Investment Income Tax</w:t>
      </w:r>
    </w:p>
    <w:p>
      <w:pPr>
        <w:spacing w:after="0" w:line="88" w:lineRule="exact"/>
        <w:rPr>
          <w:sz w:val="20"/>
          <w:szCs w:val="20"/>
          <w:color w:val="auto"/>
        </w:rPr>
      </w:pPr>
    </w:p>
    <w:p>
      <w:pPr>
        <w:ind w:left="340" w:right="379" w:firstLine="333"/>
        <w:spacing w:after="0" w:line="250" w:lineRule="auto"/>
        <w:rPr>
          <w:sz w:val="20"/>
          <w:szCs w:val="20"/>
          <w:color w:val="auto"/>
        </w:rPr>
      </w:pPr>
      <w:r>
        <w:rPr>
          <w:rFonts w:ascii="Times New Roman" w:cs="Times New Roman" w:eastAsia="Times New Roman" w:hAnsi="Times New Roman"/>
          <w:sz w:val="14"/>
          <w:szCs w:val="14"/>
          <w:color w:val="auto"/>
        </w:rPr>
        <w:t>Additional net investment income tax (commonly referred to as a “Medicare tax”) at a rate of 3.8% is imposed on the net investment income of certain individuals, estates and trusts. For these purposes, “net investment income” generally includes interest on and capital gains from the sale or other disposition of securities like the notes, subject to certain exceptions. A U.S. Holder that is an individual, estate or trust is urged to consult its tax advisor regarding the applicability of the net investment income tax to its income and gains in respect of the notes.</w:t>
      </w:r>
    </w:p>
    <w:p>
      <w:pPr>
        <w:spacing w:after="0" w:line="2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U.S. Federal Income Taxation of Non-U.S. Holders</w:t>
      </w:r>
    </w:p>
    <w:p>
      <w:pPr>
        <w:spacing w:after="0" w:line="88" w:lineRule="exact"/>
        <w:rPr>
          <w:sz w:val="20"/>
          <w:szCs w:val="20"/>
          <w:color w:val="auto"/>
        </w:rPr>
      </w:pPr>
    </w:p>
    <w:p>
      <w:pPr>
        <w:ind w:left="340" w:right="379" w:firstLine="333"/>
        <w:spacing w:after="0" w:line="250" w:lineRule="auto"/>
        <w:rPr>
          <w:sz w:val="20"/>
          <w:szCs w:val="20"/>
          <w:color w:val="auto"/>
        </w:rPr>
      </w:pPr>
      <w:r>
        <w:rPr>
          <w:rFonts w:ascii="Times New Roman" w:cs="Times New Roman" w:eastAsia="Times New Roman" w:hAnsi="Times New Roman"/>
          <w:sz w:val="14"/>
          <w:szCs w:val="14"/>
          <w:color w:val="auto"/>
        </w:rPr>
        <w:t>The following describes the material U.S. federal income tax consequences to a Non-U.S. Holder of acquiring, owning and disposing of our notes. A “Non-U.S. Holder” is a beneficial owner of a note that is, for U.S. federal income tax purposes, a nonresident alien individual, a foreign corporation or a foreign trust or estate. If you are a U.S. Holder, this subsection does not apply to you, and you should refer to the subsection “—U.S. Federal Income Taxation of U.S. Holders” above.</w:t>
      </w:r>
    </w:p>
    <w:p>
      <w:pPr>
        <w:spacing w:after="0" w:line="2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Interest on the Notes</w:t>
      </w:r>
    </w:p>
    <w:p>
      <w:pPr>
        <w:spacing w:after="0" w:line="88" w:lineRule="exact"/>
        <w:rPr>
          <w:sz w:val="20"/>
          <w:szCs w:val="20"/>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Except in the circumstances described below under “—Information Reporting and Backup Withholding” and “—FATCA Withholding,” a Non-U.S. Holder generally will not be subject to U.S. federal income tax or withholding tax on payments of interest on our notes, if the interest is not effectively connected with the Non-U.S. Holder’s conduct of a trade or business in the United States and the Non-U.S. Holder (1) does not own, actually or constructively, 10% or more of the total combined voting power of all classes of our stock entitled to vote, (2) is not, for U.S. federal income tax purposes, a controlled foreign corporation that is related to us through stock ownership, and (3) certifies under penalty of perjury (usually by providing an IRS Form W-8BEN or W-8BEN-E) that it is not a United States person.</w:t>
      </w:r>
    </w:p>
    <w:p>
      <w:pPr>
        <w:spacing w:after="0" w:line="150" w:lineRule="exact"/>
        <w:rPr>
          <w:sz w:val="20"/>
          <w:szCs w:val="20"/>
          <w:color w:val="auto"/>
        </w:rPr>
      </w:pPr>
    </w:p>
    <w:p>
      <w:pPr>
        <w:ind w:left="340" w:right="379" w:firstLine="333"/>
        <w:spacing w:after="0" w:line="248" w:lineRule="auto"/>
        <w:rPr>
          <w:sz w:val="20"/>
          <w:szCs w:val="20"/>
          <w:color w:val="auto"/>
        </w:rPr>
      </w:pPr>
      <w:r>
        <w:rPr>
          <w:rFonts w:ascii="Times New Roman" w:cs="Times New Roman" w:eastAsia="Times New Roman" w:hAnsi="Times New Roman"/>
          <w:sz w:val="14"/>
          <w:szCs w:val="14"/>
          <w:color w:val="auto"/>
        </w:rPr>
        <w:t>If a Non-U.S. Holder does not satisfy the requirements described in the preceding paragraph, payments of interest on our notes will be subject to U.S. federal withholding tax at a rate of 30% (or, if appropriate certification is provided, a lower rate if so specified in an applicable tax treaty), unless the holder provides a properly executed IRS Form W-8ECI stating that interest paid on the note is not subject to withholding tax because it is effectively connected with the holder’s conduct of a trade or business in the United States (and, if an income tax treaty applies, is attributable to a permanent establishment or fixed base maintained by the Non-U.S. Holder in the United States).</w:t>
      </w:r>
    </w:p>
    <w:p>
      <w:pPr>
        <w:spacing w:after="0" w:line="149" w:lineRule="exact"/>
        <w:rPr>
          <w:sz w:val="20"/>
          <w:szCs w:val="20"/>
          <w:color w:val="auto"/>
        </w:rPr>
      </w:pPr>
    </w:p>
    <w:p>
      <w:pPr>
        <w:ind w:left="340" w:right="399" w:firstLine="333"/>
        <w:spacing w:after="0" w:line="248" w:lineRule="auto"/>
        <w:rPr>
          <w:sz w:val="20"/>
          <w:szCs w:val="20"/>
          <w:color w:val="auto"/>
        </w:rPr>
      </w:pPr>
      <w:r>
        <w:rPr>
          <w:rFonts w:ascii="Times New Roman" w:cs="Times New Roman" w:eastAsia="Times New Roman" w:hAnsi="Times New Roman"/>
          <w:sz w:val="14"/>
          <w:szCs w:val="14"/>
          <w:color w:val="auto"/>
        </w:rPr>
        <w:t>If a Non-U.S. Holder is engaged in a trade or business in the United States, and if interest on the note is effectively connected with the conduct of this trade or business (and, if an income tax treaty applies, is attributable to a permanent establishment or fixed base maintained by the Non-U.S. Holder in the United States), the Non-U.S. Holder, although exempt from U.S. federal withholding tax, will generally be taxed on a net income basis in the same manner as a U.S. Holder. In addition, effectively connected interest of a corporate Non-U.S. Holder may also be subject to an additional branch profits tax at a rate of 30% (or a lower rate if so specified by an applicable tax treaty).</w:t>
      </w:r>
    </w:p>
    <w:p>
      <w:pPr>
        <w:spacing w:after="0" w:line="149" w:lineRule="exact"/>
        <w:rPr>
          <w:sz w:val="20"/>
          <w:szCs w:val="20"/>
          <w:color w:val="auto"/>
        </w:rPr>
      </w:pPr>
    </w:p>
    <w:p>
      <w:pPr>
        <w:ind w:left="340" w:right="439" w:firstLine="333"/>
        <w:spacing w:after="0" w:line="264" w:lineRule="auto"/>
        <w:rPr>
          <w:sz w:val="20"/>
          <w:szCs w:val="20"/>
          <w:color w:val="auto"/>
        </w:rPr>
      </w:pPr>
      <w:r>
        <w:rPr>
          <w:rFonts w:ascii="Times New Roman" w:cs="Times New Roman" w:eastAsia="Times New Roman" w:hAnsi="Times New Roman"/>
          <w:sz w:val="14"/>
          <w:szCs w:val="14"/>
          <w:color w:val="auto"/>
        </w:rPr>
        <w:t>Non-U.S. Holders are urged to consult their own tax advisors with respect to the U.S. federal, state and local tax consequences of the acquisition, ownership and disposition of our notes.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S-28</w:t>
      </w:r>
    </w:p>
    <w:p>
      <w:pPr>
        <w:sectPr>
          <w:pgSz w:w="11900" w:h="16838" w:orient="portrait"/>
          <w:cols w:equalWidth="0" w:num="1">
            <w:col w:w="9019"/>
          </w:cols>
          <w:pgMar w:left="1440" w:top="235" w:right="1440" w:bottom="1440" w:gutter="0" w:footer="0" w:header="0"/>
        </w:sectPr>
      </w:pPr>
    </w:p>
    <w:bookmarkStart w:id="31" w:name="page32"/>
    <w:bookmarkEnd w:id="31"/>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Sale or Other Taxable Disposition of the Notes</w:t>
      </w:r>
    </w:p>
    <w:p>
      <w:pPr>
        <w:spacing w:after="0" w:line="88" w:lineRule="exact"/>
        <w:rPr>
          <w:sz w:val="20"/>
          <w:szCs w:val="20"/>
          <w:color w:val="auto"/>
        </w:rPr>
      </w:pPr>
    </w:p>
    <w:p>
      <w:pPr>
        <w:ind w:left="340" w:right="379" w:firstLine="333"/>
        <w:spacing w:after="0" w:line="254" w:lineRule="auto"/>
        <w:rPr>
          <w:sz w:val="20"/>
          <w:szCs w:val="20"/>
          <w:color w:val="auto"/>
        </w:rPr>
      </w:pPr>
      <w:r>
        <w:rPr>
          <w:rFonts w:ascii="Times New Roman" w:cs="Times New Roman" w:eastAsia="Times New Roman" w:hAnsi="Times New Roman"/>
          <w:sz w:val="14"/>
          <w:szCs w:val="14"/>
          <w:color w:val="auto"/>
        </w:rPr>
        <w:t>Except in the circumstances described below under “—Information Reporting and Backup Withholding” and “—FATCA Withholding” and except with respect to accrued and unpaid interest, a Non-U.S. Holder generally will not be subject to U.S. federal income tax or withholding tax on any gain recognized on the sale, exchange, redemption, retirement or other taxable disposition of a note, unless:</w:t>
      </w:r>
    </w:p>
    <w:p>
      <w:pPr>
        <w:spacing w:after="0" w:line="71" w:lineRule="exact"/>
        <w:rPr>
          <w:sz w:val="20"/>
          <w:szCs w:val="20"/>
          <w:color w:val="auto"/>
        </w:rPr>
      </w:pPr>
    </w:p>
    <w:p>
      <w:pPr>
        <w:ind w:left="1080" w:right="659" w:hanging="334"/>
        <w:spacing w:after="0" w:line="349" w:lineRule="auto"/>
        <w:tabs>
          <w:tab w:leader="none" w:pos="10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gain is effectively connected with the Non-U.S. Holder’s conduct of a trade or business in the United States (and, if an income tax treaty applies, is attributable to a permanent establishment or fixed base maintained by the Non-U.S. Holder in the United States); or</w:t>
      </w:r>
    </w:p>
    <w:p>
      <w:pPr>
        <w:spacing w:after="0" w:line="17" w:lineRule="exact"/>
        <w:rPr>
          <w:rFonts w:ascii="Times New Roman" w:cs="Times New Roman" w:eastAsia="Times New Roman" w:hAnsi="Times New Roman"/>
          <w:sz w:val="12"/>
          <w:szCs w:val="12"/>
          <w:color w:val="auto"/>
        </w:rPr>
      </w:pPr>
    </w:p>
    <w:p>
      <w:pPr>
        <w:ind w:left="1080" w:right="559" w:hanging="334"/>
        <w:spacing w:after="0" w:line="264" w:lineRule="auto"/>
        <w:tabs>
          <w:tab w:leader="none" w:pos="1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an individual who is present in the United States for 183 days or more in the taxable year of the disposition, and certain other conditions are met.</w:t>
      </w:r>
    </w:p>
    <w:p>
      <w:pPr>
        <w:spacing w:after="0" w:line="136" w:lineRule="exact"/>
        <w:rPr>
          <w:sz w:val="20"/>
          <w:szCs w:val="20"/>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A Non-U.S. Holder described in the first bullet point above will generally be required to pay U.S. federal income tax on a net income basis, and if the holder is a foreign corporation, it may also be required to pay a branch profits tax at a rate of 30% (or a lower rate if so specified by an applicable tax treaty). A Non-U.S. Holder that is subject to the 183-day rule described above generally will be subject to U.S. federal income tax at a flat rate of 30% (or a reduced rate under an applicable tax treaty) on the amount by which capital gains allocable to U.S. sources (including gains from the sale, exchange, retirement or other disposition of the note) exceed capital losses allocable to U.S. sources, even though the Non-U.S. Holder is not considered a resident alien under the Code.</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88" w:lineRule="exact"/>
        <w:rPr>
          <w:sz w:val="20"/>
          <w:szCs w:val="20"/>
          <w:color w:val="auto"/>
        </w:rPr>
      </w:pPr>
    </w:p>
    <w:p>
      <w:pPr>
        <w:ind w:left="340" w:right="539" w:firstLine="333"/>
        <w:spacing w:after="0" w:line="248" w:lineRule="auto"/>
        <w:rPr>
          <w:sz w:val="20"/>
          <w:szCs w:val="20"/>
          <w:color w:val="auto"/>
        </w:rPr>
      </w:pPr>
      <w:r>
        <w:rPr>
          <w:rFonts w:ascii="Times New Roman" w:cs="Times New Roman" w:eastAsia="Times New Roman" w:hAnsi="Times New Roman"/>
          <w:sz w:val="14"/>
          <w:szCs w:val="14"/>
          <w:color w:val="auto"/>
        </w:rPr>
        <w:t>Except as described below, payments of interest on notes owned by a Non-U.S. Holder, and gross proceeds from the sale or redemption of such notes within the United States or through certain U.S.-related financial intermediaries, generally are subject to information reporting and backup withholding unless the Non-U.S. Holder, as a beneficial owner, certifies under penalty of perjury that it is not a United States person (usually by providing an IRS Form W-8BEN or W-8BEN-E) or otherwise establishes an exemption and the applicable withholding agent does not have actual knowledge or reason to know that such holder is a “United States person.”</w:t>
      </w:r>
    </w:p>
    <w:p>
      <w:pPr>
        <w:spacing w:after="0" w:line="149" w:lineRule="exact"/>
        <w:rPr>
          <w:sz w:val="20"/>
          <w:szCs w:val="20"/>
          <w:color w:val="auto"/>
        </w:rPr>
      </w:pPr>
    </w:p>
    <w:p>
      <w:pPr>
        <w:ind w:left="340" w:right="579" w:firstLine="333"/>
        <w:spacing w:after="0" w:line="264"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such Non-U.S. Holder’s U.S. federal income tax liability, provided that the required information is timely furnished to the IRS.</w:t>
      </w:r>
    </w:p>
    <w:p>
      <w:pPr>
        <w:spacing w:after="0" w:line="136" w:lineRule="exact"/>
        <w:rPr>
          <w:sz w:val="20"/>
          <w:szCs w:val="20"/>
          <w:color w:val="auto"/>
        </w:rPr>
      </w:pPr>
    </w:p>
    <w:p>
      <w:pPr>
        <w:ind w:left="340" w:right="379" w:firstLine="333"/>
        <w:spacing w:after="0" w:line="250" w:lineRule="auto"/>
        <w:rPr>
          <w:sz w:val="20"/>
          <w:szCs w:val="20"/>
          <w:color w:val="auto"/>
        </w:rPr>
      </w:pPr>
      <w:r>
        <w:rPr>
          <w:rFonts w:ascii="Times New Roman" w:cs="Times New Roman" w:eastAsia="Times New Roman" w:hAnsi="Times New Roman"/>
          <w:sz w:val="14"/>
          <w:szCs w:val="14"/>
          <w:color w:val="auto"/>
        </w:rPr>
        <w:t>Payments of interest on a note to a Non-U.S. Holder and the amount of any U.S. federal tax withheld from such payments generally must be reported annually to the IRS and to such Non-U.S. Holder, regardless of whether withholding is required. Copies of the information returns reporting such interest payments and any withholding may also be made available to the tax authorities in the country in which the Non-U.S. Holder resides under provisions of an applicable income tax treaty or other intergovernmental agreement.</w:t>
      </w:r>
    </w:p>
    <w:p>
      <w:pPr>
        <w:spacing w:after="0" w:line="2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FATCA Withholding</w:t>
      </w:r>
    </w:p>
    <w:p>
      <w:pPr>
        <w:spacing w:after="0" w:line="88" w:lineRule="exact"/>
        <w:rPr>
          <w:sz w:val="20"/>
          <w:szCs w:val="20"/>
          <w:color w:val="auto"/>
        </w:rPr>
      </w:pPr>
    </w:p>
    <w:p>
      <w:pPr>
        <w:ind w:left="340" w:right="719" w:firstLine="333"/>
        <w:spacing w:after="0" w:line="264" w:lineRule="auto"/>
        <w:rPr>
          <w:sz w:val="20"/>
          <w:szCs w:val="20"/>
          <w:color w:val="auto"/>
        </w:rPr>
      </w:pPr>
      <w:r>
        <w:rPr>
          <w:rFonts w:ascii="Times New Roman" w:cs="Times New Roman" w:eastAsia="Times New Roman" w:hAnsi="Times New Roman"/>
          <w:sz w:val="14"/>
          <w:szCs w:val="14"/>
          <w:color w:val="auto"/>
        </w:rPr>
        <w:t>Sections 1471 through 1474 of the Code and applicable Treasury regulations thereunder (commonly referred to as “FATCA”) impose a 30% withholding tax on “withholdable payments” made to a foreign entity unless the foreign entity is:</w:t>
      </w:r>
    </w:p>
    <w:p>
      <w:pPr>
        <w:spacing w:after="0" w:line="65" w:lineRule="exact"/>
        <w:rPr>
          <w:sz w:val="20"/>
          <w:szCs w:val="20"/>
          <w:color w:val="auto"/>
        </w:rPr>
      </w:pPr>
    </w:p>
    <w:p>
      <w:pPr>
        <w:ind w:left="1080" w:right="499" w:hanging="334"/>
        <w:spacing w:after="0" w:line="248" w:lineRule="auto"/>
        <w:tabs>
          <w:tab w:leader="none" w:pos="10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“foreign financial institution” (as defined under FATCA) that furnishes proper documentation, typically on IRS Form W-8BEN-E, evidencing either (i) an exemption from FATCA withholding, (ii) its compliance (or deemed compliance) with specified due diligence, reporting, withholding and certification obligations under FATCA or (iii) its residence in a jurisdiction that has entered into an intergovernmental agreement with the United States relating to FATCA and its compliance with the diligence and reporting requirements of the intergovernmental agreement and local implementing rules; or</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S-29</w:t>
      </w:r>
    </w:p>
    <w:p>
      <w:pPr>
        <w:sectPr>
          <w:pgSz w:w="11900" w:h="16838" w:orient="portrait"/>
          <w:cols w:equalWidth="0" w:num="1">
            <w:col w:w="9019"/>
          </w:cols>
          <w:pgMar w:left="1440" w:top="235" w:right="1440" w:bottom="1440" w:gutter="0" w:footer="0" w:header="0"/>
        </w:sectPr>
      </w:pPr>
    </w:p>
    <w:bookmarkStart w:id="32" w:name="page33"/>
    <w:bookmarkEnd w:id="32"/>
    <w:p>
      <w:pPr>
        <w:ind w:left="1080" w:right="399" w:hanging="334"/>
        <w:spacing w:after="0" w:line="254" w:lineRule="auto"/>
        <w:tabs>
          <w:tab w:leader="none" w:pos="10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 “non-financial foreign entity” (as defined under FATCA) that provides sufficient documentation, typically on IRS Form W-8BEN-E, evidencing either (i) an exemption from FATCA or (ii) adequate information regarding substantial U.S. beneficial owners of such entity (if any).</w:t>
      </w:r>
    </w:p>
    <w:p>
      <w:pPr>
        <w:spacing w:after="0" w:line="142" w:lineRule="exact"/>
        <w:rPr>
          <w:sz w:val="20"/>
          <w:szCs w:val="20"/>
          <w:color w:val="auto"/>
        </w:rPr>
      </w:pPr>
    </w:p>
    <w:p>
      <w:pPr>
        <w:ind w:left="340" w:right="459" w:firstLine="333"/>
        <w:spacing w:after="0" w:line="248" w:lineRule="auto"/>
        <w:rPr>
          <w:sz w:val="20"/>
          <w:szCs w:val="20"/>
          <w:color w:val="auto"/>
        </w:rPr>
      </w:pPr>
      <w:r>
        <w:rPr>
          <w:rFonts w:ascii="Times New Roman" w:cs="Times New Roman" w:eastAsia="Times New Roman" w:hAnsi="Times New Roman"/>
          <w:sz w:val="14"/>
          <w:szCs w:val="14"/>
          <w:color w:val="auto"/>
        </w:rPr>
        <w:t>Withholdable payments include interest paid with respect to the notes and the gross proceeds of the sale or other taxable disposition of the notes. However, proposed Treasury regulations have been issued that, if finalized, would eliminate the 30% withholding tax that would have applied to payments of gross proceeds from the sale, exchange or other disposition of the notes. According to the preamble to the proposed regulations, taxpayers may rely upon the relevant provisions of the proposed regulations until the issuance of final regulations. A withholding agent such as a broker, and not Eli Lilly, will generally determine whether or not to implement gross proceeds FATCA withholding.</w:t>
      </w:r>
    </w:p>
    <w:p>
      <w:pPr>
        <w:spacing w:after="0" w:line="145" w:lineRule="exact"/>
        <w:rPr>
          <w:sz w:val="20"/>
          <w:szCs w:val="20"/>
          <w:color w:val="auto"/>
        </w:rPr>
      </w:pPr>
    </w:p>
    <w:p>
      <w:pPr>
        <w:ind w:left="340" w:right="379" w:firstLine="333"/>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Prospective investors are urged to consult with their own tax advisors regarding the consequences, including the certification requirements, of FATCA and any applicable intergovernmental agreement with respect to FATCA in light of their particular circumstances.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S-30</w:t>
      </w:r>
    </w:p>
    <w:p>
      <w:pPr>
        <w:sectPr>
          <w:pgSz w:w="11900" w:h="16838" w:orient="portrait"/>
          <w:cols w:equalWidth="0" w:num="1">
            <w:col w:w="9019"/>
          </w:cols>
          <w:pgMar w:left="1440" w:top="239"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UNDERWRITING</w:t>
      </w:r>
    </w:p>
    <w:p>
      <w:pPr>
        <w:spacing w:after="0" w:line="170" w:lineRule="exact"/>
        <w:rPr>
          <w:sz w:val="20"/>
          <w:szCs w:val="20"/>
          <w:color w:val="auto"/>
        </w:rPr>
      </w:pPr>
    </w:p>
    <w:p>
      <w:pPr>
        <w:ind w:left="340" w:right="899" w:firstLine="333"/>
        <w:spacing w:after="0" w:line="264" w:lineRule="auto"/>
        <w:rPr>
          <w:sz w:val="20"/>
          <w:szCs w:val="20"/>
          <w:color w:val="auto"/>
        </w:rPr>
      </w:pPr>
      <w:r>
        <w:rPr>
          <w:rFonts w:ascii="Times New Roman" w:cs="Times New Roman" w:eastAsia="Times New Roman" w:hAnsi="Times New Roman"/>
          <w:sz w:val="14"/>
          <w:szCs w:val="14"/>
          <w:color w:val="auto"/>
        </w:rPr>
        <w:t>Morgan Stanley &amp; Co. LLC, Citigroup Global Markets Inc., Deutsche Bank Securities Inc. and Goldman Sachs &amp; Co. LLC are acting as representatives of the underwriters named below.</w:t>
      </w:r>
    </w:p>
    <w:p>
      <w:pPr>
        <w:spacing w:after="0" w:line="136" w:lineRule="exact"/>
        <w:rPr>
          <w:sz w:val="20"/>
          <w:szCs w:val="20"/>
          <w:color w:val="auto"/>
        </w:rPr>
      </w:pPr>
    </w:p>
    <w:p>
      <w:pPr>
        <w:ind w:left="340" w:right="379" w:firstLine="333"/>
        <w:spacing w:after="0" w:line="254" w:lineRule="auto"/>
        <w:rPr>
          <w:sz w:val="20"/>
          <w:szCs w:val="20"/>
          <w:color w:val="auto"/>
        </w:rPr>
      </w:pPr>
      <w:r>
        <w:rPr>
          <w:rFonts w:ascii="Times New Roman" w:cs="Times New Roman" w:eastAsia="Times New Roman" w:hAnsi="Times New Roman"/>
          <w:sz w:val="14"/>
          <w:szCs w:val="14"/>
          <w:color w:val="auto"/>
        </w:rPr>
        <w:t>Subject to the terms and conditions stated in the underwriting agreement dated the date of this prospectus supplement, each underwriter named below has severally agreed to purchase, and we have agreed to sell to that underwriter, the principal amount of the notes of each series set forth opposite such underwriter’s name.</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ind w:right="10"/>
              <w:spacing w:after="0"/>
              <w:rPr>
                <w:sz w:val="20"/>
                <w:szCs w:val="20"/>
                <w:color w:val="auto"/>
              </w:rPr>
            </w:pPr>
            <w:r>
              <w:rPr>
                <w:rFonts w:ascii="Times New Roman" w:cs="Times New Roman" w:eastAsia="Times New Roman" w:hAnsi="Times New Roman"/>
                <w:sz w:val="10"/>
                <w:szCs w:val="10"/>
                <w:b w:val="1"/>
                <w:bCs w:val="1"/>
                <w:color w:val="auto"/>
                <w:w w:val="96"/>
              </w:rPr>
              <w:t>Principal</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w w:val="96"/>
              </w:rPr>
              <w:t>Principal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jc w:val="center"/>
              <w:ind w:right="10"/>
              <w:spacing w:after="0" w:line="103" w:lineRule="exact"/>
              <w:rPr>
                <w:sz w:val="20"/>
                <w:szCs w:val="20"/>
                <w:color w:val="auto"/>
              </w:rPr>
            </w:pPr>
            <w:r>
              <w:rPr>
                <w:rFonts w:ascii="Times New Roman" w:cs="Times New Roman" w:eastAsia="Times New Roman" w:hAnsi="Times New Roman"/>
                <w:sz w:val="10"/>
                <w:szCs w:val="10"/>
                <w:b w:val="1"/>
                <w:bCs w:val="1"/>
                <w:color w:val="auto"/>
                <w:w w:val="96"/>
              </w:rPr>
              <w:t>amount of</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center"/>
              <w:ind w:right="30"/>
              <w:spacing w:after="0" w:line="103" w:lineRule="exact"/>
              <w:rPr>
                <w:sz w:val="20"/>
                <w:szCs w:val="20"/>
                <w:color w:val="auto"/>
              </w:rPr>
            </w:pPr>
            <w:r>
              <w:rPr>
                <w:rFonts w:ascii="Times New Roman" w:cs="Times New Roman" w:eastAsia="Times New Roman" w:hAnsi="Times New Roman"/>
                <w:sz w:val="10"/>
                <w:szCs w:val="10"/>
                <w:b w:val="1"/>
                <w:bCs w:val="1"/>
                <w:color w:val="auto"/>
                <w:w w:val="96"/>
              </w:rPr>
              <w:t>amount of</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center"/>
              <w:ind w:right="10"/>
              <w:spacing w:after="0" w:line="103" w:lineRule="exact"/>
              <w:rPr>
                <w:sz w:val="20"/>
                <w:szCs w:val="20"/>
                <w:color w:val="auto"/>
              </w:rPr>
            </w:pPr>
            <w:r>
              <w:rPr>
                <w:rFonts w:ascii="Times New Roman" w:cs="Times New Roman" w:eastAsia="Times New Roman" w:hAnsi="Times New Roman"/>
                <w:sz w:val="10"/>
                <w:szCs w:val="10"/>
                <w:b w:val="1"/>
                <w:bCs w:val="1"/>
                <w:color w:val="auto"/>
                <w:w w:val="91"/>
              </w:rPr>
              <w:t>Principal</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center"/>
              <w:ind w:right="70"/>
              <w:spacing w:after="0" w:line="103" w:lineRule="exact"/>
              <w:rPr>
                <w:sz w:val="20"/>
                <w:szCs w:val="20"/>
                <w:color w:val="auto"/>
              </w:rPr>
            </w:pPr>
            <w:r>
              <w:rPr>
                <w:rFonts w:ascii="Times New Roman" w:cs="Times New Roman" w:eastAsia="Times New Roman" w:hAnsi="Times New Roman"/>
                <w:sz w:val="10"/>
                <w:szCs w:val="10"/>
                <w:b w:val="1"/>
                <w:bCs w:val="1"/>
                <w:color w:val="auto"/>
                <w:w w:val="96"/>
              </w:rPr>
              <w:t>Principal</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center"/>
              <w:ind w:right="30"/>
              <w:spacing w:after="0" w:line="103" w:lineRule="exact"/>
              <w:rPr>
                <w:sz w:val="20"/>
                <w:szCs w:val="20"/>
                <w:color w:val="auto"/>
              </w:rPr>
            </w:pPr>
            <w:r>
              <w:rPr>
                <w:rFonts w:ascii="Times New Roman" w:cs="Times New Roman" w:eastAsia="Times New Roman" w:hAnsi="Times New Roman"/>
                <w:sz w:val="10"/>
                <w:szCs w:val="10"/>
                <w:b w:val="1"/>
                <w:bCs w:val="1"/>
                <w:color w:val="auto"/>
                <w:w w:val="96"/>
              </w:rPr>
              <w:t>Principal</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jc w:val="center"/>
              <w:ind w:right="30"/>
              <w:spacing w:after="0" w:line="103" w:lineRule="exact"/>
              <w:rPr>
                <w:sz w:val="20"/>
                <w:szCs w:val="20"/>
                <w:color w:val="auto"/>
              </w:rPr>
            </w:pPr>
            <w:r>
              <w:rPr>
                <w:rFonts w:ascii="Times New Roman" w:cs="Times New Roman" w:eastAsia="Times New Roman" w:hAnsi="Times New Roman"/>
                <w:sz w:val="10"/>
                <w:szCs w:val="10"/>
                <w:b w:val="1"/>
                <w:bCs w:val="1"/>
                <w:color w:val="auto"/>
                <w:w w:val="96"/>
              </w:rPr>
              <w:t>Principal</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center"/>
              <w:ind w:right="30"/>
              <w:spacing w:after="0" w:line="103" w:lineRule="exact"/>
              <w:rPr>
                <w:sz w:val="20"/>
                <w:szCs w:val="20"/>
                <w:color w:val="auto"/>
              </w:rPr>
            </w:pPr>
            <w:r>
              <w:rPr>
                <w:rFonts w:ascii="Times New Roman" w:cs="Times New Roman" w:eastAsia="Times New Roman" w:hAnsi="Times New Roman"/>
                <w:sz w:val="10"/>
                <w:szCs w:val="10"/>
                <w:b w:val="1"/>
                <w:bCs w:val="1"/>
                <w:color w:val="auto"/>
                <w:w w:val="96"/>
              </w:rPr>
              <w:t>Principal</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center"/>
              <w:ind w:right="140"/>
              <w:spacing w:after="0" w:line="103" w:lineRule="exact"/>
              <w:rPr>
                <w:sz w:val="20"/>
                <w:szCs w:val="20"/>
                <w:color w:val="auto"/>
              </w:rPr>
            </w:pPr>
            <w:r>
              <w:rPr>
                <w:rFonts w:ascii="Times New Roman" w:cs="Times New Roman" w:eastAsia="Times New Roman" w:hAnsi="Times New Roman"/>
                <w:sz w:val="10"/>
                <w:szCs w:val="10"/>
                <w:b w:val="1"/>
                <w:bCs w:val="1"/>
                <w:color w:val="auto"/>
                <w:w w:val="96"/>
              </w:rPr>
              <w:t>Principal</w:t>
            </w:r>
          </w:p>
        </w:tc>
        <w:tc>
          <w:tcPr>
            <w:tcW w:w="0" w:type="dxa"/>
            <w:vAlign w:val="bottom"/>
          </w:tcPr>
          <w:p>
            <w:pPr>
              <w:spacing w:after="0"/>
              <w:rPr>
                <w:sz w:val="1"/>
                <w:szCs w:val="1"/>
                <w:color w:val="auto"/>
              </w:rPr>
            </w:pPr>
          </w:p>
        </w:tc>
      </w:tr>
      <w:tr>
        <w:trPr>
          <w:trHeight w:val="102"/>
        </w:trPr>
        <w:tc>
          <w:tcPr>
            <w:tcW w:w="14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Underwriter</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jc w:val="center"/>
              <w:ind w:right="10"/>
              <w:spacing w:after="0" w:line="103" w:lineRule="exact"/>
              <w:rPr>
                <w:sz w:val="20"/>
                <w:szCs w:val="20"/>
                <w:color w:val="auto"/>
              </w:rPr>
            </w:pPr>
            <w:r>
              <w:rPr>
                <w:rFonts w:ascii="Times New Roman" w:cs="Times New Roman" w:eastAsia="Times New Roman" w:hAnsi="Times New Roman"/>
                <w:sz w:val="10"/>
                <w:szCs w:val="10"/>
                <w:b w:val="1"/>
                <w:bCs w:val="1"/>
                <w:color w:val="auto"/>
                <w:w w:val="97"/>
              </w:rPr>
              <w:t>2028 floating</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center"/>
              <w:ind w:right="10"/>
              <w:spacing w:after="0" w:line="103" w:lineRule="exact"/>
              <w:rPr>
                <w:sz w:val="20"/>
                <w:szCs w:val="20"/>
                <w:color w:val="auto"/>
              </w:rPr>
            </w:pPr>
            <w:r>
              <w:rPr>
                <w:rFonts w:ascii="Times New Roman" w:cs="Times New Roman" w:eastAsia="Times New Roman" w:hAnsi="Times New Roman"/>
                <w:sz w:val="10"/>
                <w:szCs w:val="10"/>
                <w:b w:val="1"/>
                <w:bCs w:val="1"/>
                <w:color w:val="auto"/>
                <w:w w:val="93"/>
              </w:rPr>
              <w:t>2029 floating</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center"/>
              <w:ind w:right="10"/>
              <w:spacing w:after="0" w:line="103" w:lineRule="exact"/>
              <w:rPr>
                <w:sz w:val="20"/>
                <w:szCs w:val="20"/>
                <w:color w:val="auto"/>
              </w:rPr>
            </w:pPr>
            <w:r>
              <w:rPr>
                <w:rFonts w:ascii="Times New Roman" w:cs="Times New Roman" w:eastAsia="Times New Roman" w:hAnsi="Times New Roman"/>
                <w:sz w:val="10"/>
                <w:szCs w:val="10"/>
                <w:b w:val="1"/>
                <w:bCs w:val="1"/>
                <w:color w:val="auto"/>
                <w:w w:val="91"/>
              </w:rPr>
              <w:t>amount of</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center"/>
              <w:ind w:right="70"/>
              <w:spacing w:after="0" w:line="103" w:lineRule="exact"/>
              <w:rPr>
                <w:sz w:val="20"/>
                <w:szCs w:val="20"/>
                <w:color w:val="auto"/>
              </w:rPr>
            </w:pPr>
            <w:r>
              <w:rPr>
                <w:rFonts w:ascii="Times New Roman" w:cs="Times New Roman" w:eastAsia="Times New Roman" w:hAnsi="Times New Roman"/>
                <w:sz w:val="10"/>
                <w:szCs w:val="10"/>
                <w:b w:val="1"/>
                <w:bCs w:val="1"/>
                <w:color w:val="auto"/>
                <w:w w:val="96"/>
              </w:rPr>
              <w:t>amount of</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center"/>
              <w:ind w:right="30"/>
              <w:spacing w:after="0" w:line="103" w:lineRule="exact"/>
              <w:rPr>
                <w:sz w:val="20"/>
                <w:szCs w:val="20"/>
                <w:color w:val="auto"/>
              </w:rPr>
            </w:pPr>
            <w:r>
              <w:rPr>
                <w:rFonts w:ascii="Times New Roman" w:cs="Times New Roman" w:eastAsia="Times New Roman" w:hAnsi="Times New Roman"/>
                <w:sz w:val="10"/>
                <w:szCs w:val="10"/>
                <w:b w:val="1"/>
                <w:bCs w:val="1"/>
                <w:color w:val="auto"/>
                <w:w w:val="96"/>
              </w:rPr>
              <w:t>amount of</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jc w:val="center"/>
              <w:ind w:right="30"/>
              <w:spacing w:after="0" w:line="103" w:lineRule="exact"/>
              <w:rPr>
                <w:sz w:val="20"/>
                <w:szCs w:val="20"/>
                <w:color w:val="auto"/>
              </w:rPr>
            </w:pPr>
            <w:r>
              <w:rPr>
                <w:rFonts w:ascii="Times New Roman" w:cs="Times New Roman" w:eastAsia="Times New Roman" w:hAnsi="Times New Roman"/>
                <w:sz w:val="10"/>
                <w:szCs w:val="10"/>
                <w:b w:val="1"/>
                <w:bCs w:val="1"/>
                <w:color w:val="auto"/>
                <w:w w:val="96"/>
              </w:rPr>
              <w:t>amount of</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center"/>
              <w:ind w:right="30"/>
              <w:spacing w:after="0" w:line="103" w:lineRule="exact"/>
              <w:rPr>
                <w:sz w:val="20"/>
                <w:szCs w:val="20"/>
                <w:color w:val="auto"/>
              </w:rPr>
            </w:pPr>
            <w:r>
              <w:rPr>
                <w:rFonts w:ascii="Times New Roman" w:cs="Times New Roman" w:eastAsia="Times New Roman" w:hAnsi="Times New Roman"/>
                <w:sz w:val="10"/>
                <w:szCs w:val="10"/>
                <w:b w:val="1"/>
                <w:bCs w:val="1"/>
                <w:color w:val="auto"/>
                <w:w w:val="96"/>
              </w:rPr>
              <w:t>amount of</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center"/>
              <w:ind w:right="140"/>
              <w:spacing w:after="0" w:line="103" w:lineRule="exact"/>
              <w:rPr>
                <w:sz w:val="20"/>
                <w:szCs w:val="20"/>
                <w:color w:val="auto"/>
              </w:rPr>
            </w:pPr>
            <w:r>
              <w:rPr>
                <w:rFonts w:ascii="Times New Roman" w:cs="Times New Roman" w:eastAsia="Times New Roman" w:hAnsi="Times New Roman"/>
                <w:sz w:val="10"/>
                <w:szCs w:val="10"/>
                <w:b w:val="1"/>
                <w:bCs w:val="1"/>
                <w:color w:val="auto"/>
                <w:w w:val="96"/>
              </w:rPr>
              <w:t>amount of</w:t>
            </w:r>
          </w:p>
        </w:tc>
        <w:tc>
          <w:tcPr>
            <w:tcW w:w="0" w:type="dxa"/>
            <w:vAlign w:val="bottom"/>
          </w:tcPr>
          <w:p>
            <w:pPr>
              <w:spacing w:after="0"/>
              <w:rPr>
                <w:sz w:val="1"/>
                <w:szCs w:val="1"/>
                <w:color w:val="auto"/>
              </w:rPr>
            </w:pPr>
          </w:p>
        </w:tc>
      </w:tr>
      <w:tr>
        <w:trPr>
          <w:trHeight w:val="107"/>
        </w:trPr>
        <w:tc>
          <w:tcPr>
            <w:tcW w:w="14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center"/>
              <w:ind w:right="30"/>
              <w:spacing w:after="0" w:line="107" w:lineRule="exact"/>
              <w:rPr>
                <w:sz w:val="20"/>
                <w:szCs w:val="20"/>
                <w:color w:val="auto"/>
              </w:rPr>
            </w:pPr>
            <w:r>
              <w:rPr>
                <w:rFonts w:ascii="Times New Roman" w:cs="Times New Roman" w:eastAsia="Times New Roman" w:hAnsi="Times New Roman"/>
                <w:sz w:val="10"/>
                <w:szCs w:val="10"/>
                <w:b w:val="1"/>
                <w:bCs w:val="1"/>
                <w:color w:val="auto"/>
                <w:w w:val="95"/>
              </w:rPr>
              <w:t>rate notes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center"/>
              <w:ind w:right="10"/>
              <w:spacing w:after="0" w:line="107" w:lineRule="exact"/>
              <w:rPr>
                <w:sz w:val="20"/>
                <w:szCs w:val="20"/>
                <w:color w:val="auto"/>
              </w:rPr>
            </w:pPr>
            <w:r>
              <w:rPr>
                <w:rFonts w:ascii="Times New Roman" w:cs="Times New Roman" w:eastAsia="Times New Roman" w:hAnsi="Times New Roman"/>
                <w:sz w:val="10"/>
                <w:szCs w:val="10"/>
                <w:b w:val="1"/>
                <w:bCs w:val="1"/>
                <w:color w:val="auto"/>
                <w:w w:val="95"/>
              </w:rPr>
              <w:t>rate notes</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center"/>
              <w:ind w:right="10"/>
              <w:spacing w:after="0" w:line="107" w:lineRule="exact"/>
              <w:rPr>
                <w:sz w:val="20"/>
                <w:szCs w:val="20"/>
                <w:color w:val="auto"/>
              </w:rPr>
            </w:pPr>
            <w:r>
              <w:rPr>
                <w:rFonts w:ascii="Times New Roman" w:cs="Times New Roman" w:eastAsia="Times New Roman" w:hAnsi="Times New Roman"/>
                <w:sz w:val="10"/>
                <w:szCs w:val="10"/>
                <w:b w:val="1"/>
                <w:bCs w:val="1"/>
                <w:color w:val="auto"/>
                <w:w w:val="97"/>
              </w:rPr>
              <w:t>4.150% notes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ind w:right="70"/>
              <w:spacing w:after="0" w:line="107" w:lineRule="exact"/>
              <w:rPr>
                <w:sz w:val="20"/>
                <w:szCs w:val="20"/>
                <w:color w:val="auto"/>
              </w:rPr>
            </w:pPr>
            <w:r>
              <w:rPr>
                <w:rFonts w:ascii="Times New Roman" w:cs="Times New Roman" w:eastAsia="Times New Roman" w:hAnsi="Times New Roman"/>
                <w:sz w:val="10"/>
                <w:szCs w:val="10"/>
                <w:b w:val="1"/>
                <w:bCs w:val="1"/>
                <w:color w:val="auto"/>
                <w:w w:val="94"/>
              </w:rPr>
              <w:t>4.375% notes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ind w:right="30"/>
              <w:spacing w:after="0" w:line="107" w:lineRule="exact"/>
              <w:rPr>
                <w:sz w:val="20"/>
                <w:szCs w:val="20"/>
                <w:color w:val="auto"/>
              </w:rPr>
            </w:pPr>
            <w:r>
              <w:rPr>
                <w:rFonts w:ascii="Times New Roman" w:cs="Times New Roman" w:eastAsia="Times New Roman" w:hAnsi="Times New Roman"/>
                <w:sz w:val="10"/>
                <w:szCs w:val="10"/>
                <w:b w:val="1"/>
                <w:bCs w:val="1"/>
                <w:color w:val="auto"/>
                <w:w w:val="94"/>
              </w:rPr>
              <w:t>4.650% notes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center"/>
              <w:ind w:right="30"/>
              <w:spacing w:after="0" w:line="107" w:lineRule="exact"/>
              <w:rPr>
                <w:sz w:val="20"/>
                <w:szCs w:val="20"/>
                <w:color w:val="auto"/>
              </w:rPr>
            </w:pPr>
            <w:r>
              <w:rPr>
                <w:rFonts w:ascii="Times New Roman" w:cs="Times New Roman" w:eastAsia="Times New Roman" w:hAnsi="Times New Roman"/>
                <w:sz w:val="10"/>
                <w:szCs w:val="10"/>
                <w:b w:val="1"/>
                <w:bCs w:val="1"/>
                <w:color w:val="auto"/>
                <w:w w:val="94"/>
              </w:rPr>
              <w:t>4.850% notes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ind w:right="30"/>
              <w:spacing w:after="0" w:line="107" w:lineRule="exact"/>
              <w:rPr>
                <w:sz w:val="20"/>
                <w:szCs w:val="20"/>
                <w:color w:val="auto"/>
              </w:rPr>
            </w:pPr>
            <w:r>
              <w:rPr>
                <w:rFonts w:ascii="Times New Roman" w:cs="Times New Roman" w:eastAsia="Times New Roman" w:hAnsi="Times New Roman"/>
                <w:sz w:val="10"/>
                <w:szCs w:val="10"/>
                <w:b w:val="1"/>
                <w:bCs w:val="1"/>
                <w:color w:val="auto"/>
                <w:w w:val="94"/>
              </w:rPr>
              <w:t>5.600% notes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140"/>
              <w:spacing w:after="0" w:line="107" w:lineRule="exact"/>
              <w:rPr>
                <w:sz w:val="20"/>
                <w:szCs w:val="20"/>
                <w:color w:val="auto"/>
              </w:rPr>
            </w:pPr>
            <w:r>
              <w:rPr>
                <w:rFonts w:ascii="Times New Roman" w:cs="Times New Roman" w:eastAsia="Times New Roman" w:hAnsi="Times New Roman"/>
                <w:sz w:val="10"/>
                <w:szCs w:val="10"/>
                <w:b w:val="1"/>
                <w:bCs w:val="1"/>
                <w:color w:val="auto"/>
                <w:w w:val="94"/>
              </w:rPr>
              <w:t>5.700% notes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tcPr>
          <w:p>
            <w:pPr>
              <w:spacing w:after="0"/>
              <w:rPr>
                <w:sz w:val="8"/>
                <w:szCs w:val="8"/>
                <w:color w:val="auto"/>
              </w:rPr>
            </w:pPr>
          </w:p>
        </w:tc>
        <w:tc>
          <w:tcPr>
            <w:tcW w:w="1380" w:type="dxa"/>
            <w:vAlign w:val="bottom"/>
            <w:gridSpan w:val="2"/>
            <w:shd w:val="clear" w:color="auto" w:fill="CCEEFF"/>
          </w:tcPr>
          <w:p>
            <w:pPr>
              <w:spacing w:after="0" w:line="93" w:lineRule="exact"/>
              <w:rPr>
                <w:sz w:val="20"/>
                <w:szCs w:val="20"/>
                <w:color w:val="auto"/>
              </w:rPr>
            </w:pPr>
            <w:r>
              <w:rPr>
                <w:rFonts w:ascii="Times New Roman" w:cs="Times New Roman" w:eastAsia="Times New Roman" w:hAnsi="Times New Roman"/>
                <w:sz w:val="10"/>
                <w:szCs w:val="10"/>
                <w:color w:val="auto"/>
              </w:rPr>
              <w:t>Morgan Stanley &amp; Co. LLC</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shd w:val="clear" w:color="auto" w:fill="CCEEFF"/>
          </w:tcPr>
          <w:p>
            <w:pPr>
              <w:jc w:val="right"/>
              <w:spacing w:after="0" w:line="93" w:lineRule="exact"/>
              <w:rPr>
                <w:sz w:val="20"/>
                <w:szCs w:val="20"/>
                <w:color w:val="auto"/>
              </w:rPr>
            </w:pPr>
            <w:r>
              <w:rPr>
                <w:rFonts w:ascii="Times New Roman" w:cs="Times New Roman" w:eastAsia="Times New Roman" w:hAnsi="Times New Roman"/>
                <w:sz w:val="10"/>
                <w:szCs w:val="10"/>
                <w:color w:val="auto"/>
              </w:rPr>
              <w:t>120,000,000</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shd w:val="clear" w:color="auto" w:fill="CCEEFF"/>
          </w:tcPr>
          <w:p>
            <w:pPr>
              <w:jc w:val="right"/>
              <w:spacing w:after="0" w:line="93" w:lineRule="exact"/>
              <w:rPr>
                <w:sz w:val="20"/>
                <w:szCs w:val="20"/>
                <w:color w:val="auto"/>
              </w:rPr>
            </w:pPr>
            <w:r>
              <w:rPr>
                <w:rFonts w:ascii="Times New Roman" w:cs="Times New Roman" w:eastAsia="Times New Roman" w:hAnsi="Times New Roman"/>
                <w:sz w:val="10"/>
                <w:szCs w:val="10"/>
                <w:color w:val="auto"/>
              </w:rPr>
              <w:t>80,000,000</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CEEFF"/>
          </w:tcPr>
          <w:p>
            <w:pPr>
              <w:jc w:val="right"/>
              <w:spacing w:after="0" w:line="93" w:lineRule="exact"/>
              <w:rPr>
                <w:sz w:val="20"/>
                <w:szCs w:val="20"/>
                <w:color w:val="auto"/>
              </w:rPr>
            </w:pPr>
            <w:r>
              <w:rPr>
                <w:rFonts w:ascii="Times New Roman" w:cs="Times New Roman" w:eastAsia="Times New Roman" w:hAnsi="Times New Roman"/>
                <w:sz w:val="10"/>
                <w:szCs w:val="10"/>
                <w:color w:val="auto"/>
              </w:rPr>
              <w:t>120,000,000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shd w:val="clear" w:color="auto" w:fill="CCEEFF"/>
          </w:tcPr>
          <w:p>
            <w:pPr>
              <w:jc w:val="right"/>
              <w:spacing w:after="0" w:line="93" w:lineRule="exact"/>
              <w:rPr>
                <w:sz w:val="20"/>
                <w:szCs w:val="20"/>
                <w:color w:val="auto"/>
              </w:rPr>
            </w:pPr>
            <w:r>
              <w:rPr>
                <w:rFonts w:ascii="Times New Roman" w:cs="Times New Roman" w:eastAsia="Times New Roman" w:hAnsi="Times New Roman"/>
                <w:sz w:val="10"/>
                <w:szCs w:val="10"/>
                <w:color w:val="auto"/>
              </w:rPr>
              <w:t>240,000,000</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shd w:val="clear" w:color="auto" w:fill="CCEEFF"/>
          </w:tcPr>
          <w:p>
            <w:pPr>
              <w:jc w:val="right"/>
              <w:spacing w:after="0" w:line="93" w:lineRule="exact"/>
              <w:rPr>
                <w:sz w:val="20"/>
                <w:szCs w:val="20"/>
                <w:color w:val="auto"/>
              </w:rPr>
            </w:pPr>
            <w:r>
              <w:rPr>
                <w:rFonts w:ascii="Times New Roman" w:cs="Times New Roman" w:eastAsia="Times New Roman" w:hAnsi="Times New Roman"/>
                <w:sz w:val="10"/>
                <w:szCs w:val="10"/>
                <w:color w:val="auto"/>
              </w:rPr>
              <w:t>200,000,000</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shd w:val="clear" w:color="auto" w:fill="CCEEFF"/>
          </w:tcPr>
          <w:p>
            <w:pPr>
              <w:jc w:val="right"/>
              <w:spacing w:after="0" w:line="93" w:lineRule="exact"/>
              <w:rPr>
                <w:sz w:val="20"/>
                <w:szCs w:val="20"/>
                <w:color w:val="auto"/>
              </w:rPr>
            </w:pPr>
            <w:r>
              <w:rPr>
                <w:rFonts w:ascii="Times New Roman" w:cs="Times New Roman" w:eastAsia="Times New Roman" w:hAnsi="Times New Roman"/>
                <w:sz w:val="10"/>
                <w:szCs w:val="10"/>
                <w:color w:val="auto"/>
              </w:rPr>
              <w:t>240,000,000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shd w:val="clear" w:color="auto" w:fill="CCEEFF"/>
          </w:tcPr>
          <w:p>
            <w:pPr>
              <w:jc w:val="right"/>
              <w:spacing w:after="0" w:line="93" w:lineRule="exact"/>
              <w:rPr>
                <w:sz w:val="20"/>
                <w:szCs w:val="20"/>
                <w:color w:val="auto"/>
              </w:rPr>
            </w:pPr>
            <w:r>
              <w:rPr>
                <w:rFonts w:ascii="Times New Roman" w:cs="Times New Roman" w:eastAsia="Times New Roman" w:hAnsi="Times New Roman"/>
                <w:sz w:val="10"/>
                <w:szCs w:val="10"/>
                <w:color w:val="auto"/>
              </w:rPr>
              <w:t>280,000,000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CEEFF"/>
          </w:tcPr>
          <w:p>
            <w:pPr>
              <w:jc w:val="right"/>
              <w:spacing w:after="0" w:line="93" w:lineRule="exact"/>
              <w:rPr>
                <w:sz w:val="20"/>
                <w:szCs w:val="20"/>
                <w:color w:val="auto"/>
              </w:rPr>
            </w:pPr>
            <w:r>
              <w:rPr>
                <w:rFonts w:ascii="Times New Roman" w:cs="Times New Roman" w:eastAsia="Times New Roman" w:hAnsi="Times New Roman"/>
                <w:sz w:val="10"/>
                <w:szCs w:val="10"/>
                <w:color w:val="auto"/>
              </w:rPr>
              <w:t>160,000,000</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Citigroup Global Markets Inc.</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120,000,000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80,000,000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120,000,000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240,000,000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200,000,000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240,000,000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280,000,000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160,000,000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Deutsche Bank Securities Inc.</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120,000,000</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80,000,000</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120,000,000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240,000,000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200,000,000</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240,000,000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280,000,000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160,000,000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Goldman Sachs &amp; Co. LLC</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120,000,000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80,000,000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120,000,000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240,000,000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200,000,000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240,000,000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280,000,000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160,000,000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BNP Paribas Securities Corp.</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78,750,000</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52,500,000</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78,750,000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157,500,000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131,250,000</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157,500,000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183,750,000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105,000,000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J.P. Morgan Securities LLC</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78,750,000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52,500,000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78,750,000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157,500,000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131,250,000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157,500,000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183,750,000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105,000,000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BofA Securities, Inc.</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52,500,000</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35,000,000</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52,500,000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105,000,000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87,500,000</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105,000,000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122,500,000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70,000,000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Barclays Capital Inc.</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26,250,000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17,500,000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26,250,000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52,500,000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43,750,000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52,500,000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61,250,000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35,000,000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Mizuho Securities USA LLC</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26,250,000</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17,500,000</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26,250,000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52,500,000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43,750,000</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52,500,000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61,250,000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35,000,000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Loop Capital Markets LLC</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3,750,000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2,500,000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3,750,000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7,500,000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6,250,000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7,500,000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8,750,000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5,000,000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Penserra Securities LLC</w:t>
            </w: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3,750,000</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2,500,000</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3,750,000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7,500,000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6,250,000</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7,500,000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8,750,000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5,000,000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Total</w:t>
            </w:r>
          </w:p>
        </w:tc>
        <w:tc>
          <w:tcPr>
            <w:tcW w:w="24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750,000,000</w:t>
            </w:r>
          </w:p>
        </w:tc>
        <w:tc>
          <w:tcPr>
            <w:tcW w:w="18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500,000,000</w:t>
            </w:r>
          </w:p>
        </w:tc>
        <w:tc>
          <w:tcPr>
            <w:tcW w:w="16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750,000,000</w:t>
            </w:r>
          </w:p>
        </w:tc>
        <w:tc>
          <w:tcPr>
            <w:tcW w:w="200" w:type="dxa"/>
            <w:vAlign w:val="bottom"/>
            <w:gridSpan w:val="2"/>
            <w:shd w:val="clear" w:color="auto" w:fill="CCEEFF"/>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1,500,000,000</w:t>
            </w:r>
          </w:p>
        </w:tc>
        <w:tc>
          <w:tcPr>
            <w:tcW w:w="180" w:type="dxa"/>
            <w:vAlign w:val="bottom"/>
            <w:gridSpan w:val="2"/>
            <w:shd w:val="clear" w:color="auto" w:fill="CCEEFF"/>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1,250,000,000</w:t>
            </w:r>
          </w:p>
        </w:tc>
        <w:tc>
          <w:tcPr>
            <w:tcW w:w="180" w:type="dxa"/>
            <w:vAlign w:val="bottom"/>
            <w:gridSpan w:val="2"/>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1,500,000,000</w:t>
            </w:r>
          </w:p>
        </w:tc>
        <w:tc>
          <w:tcPr>
            <w:tcW w:w="200" w:type="dxa"/>
            <w:vAlign w:val="bottom"/>
            <w:gridSpan w:val="2"/>
            <w:shd w:val="clear" w:color="auto" w:fill="CCEEFF"/>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1,750,000,000</w:t>
            </w:r>
          </w:p>
        </w:tc>
        <w:tc>
          <w:tcPr>
            <w:tcW w:w="200" w:type="dxa"/>
            <w:vAlign w:val="bottom"/>
            <w:gridSpan w:val="2"/>
            <w:shd w:val="clear" w:color="auto" w:fill="CCEEFF"/>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1,000,000,000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359" w:firstLine="333"/>
        <w:spacing w:after="0" w:line="254" w:lineRule="auto"/>
        <w:rPr>
          <w:sz w:val="20"/>
          <w:szCs w:val="20"/>
          <w:color w:val="auto"/>
        </w:rPr>
      </w:pPr>
      <w:r>
        <w:rPr>
          <w:rFonts w:ascii="Times New Roman" w:cs="Times New Roman" w:eastAsia="Times New Roman" w:hAnsi="Times New Roman"/>
          <w:sz w:val="14"/>
          <w:szCs w:val="14"/>
          <w:color w:val="auto"/>
        </w:rPr>
        <w:t>The underwriting agreement provides that the obligations of the underwriters to purchase the notes included in this offering are subject to approval of legal matters by counsel and to other conditions. The underwriters are obligated to purchase all of the notes if they purchase any of the notes. The underwriters reserve the right to withdraw, cancel or modify offers to the public and to reject orders of notes in whole or in part.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S-31</w:t>
      </w:r>
    </w:p>
    <w:p>
      <w:pPr>
        <w:sectPr>
          <w:pgSz w:w="11900" w:h="16838" w:orient="portrait"/>
          <w:cols w:equalWidth="0" w:num="1">
            <w:col w:w="9019"/>
          </w:cols>
          <w:pgMar w:left="1440" w:top="235" w:right="1440" w:bottom="1440" w:gutter="0" w:footer="0" w:header="0"/>
        </w:sectPr>
      </w:pPr>
    </w:p>
    <w:bookmarkStart w:id="34" w:name="page35"/>
    <w:bookmarkEnd w:id="34"/>
    <w:p>
      <w:pPr>
        <w:ind w:left="340" w:right="359" w:firstLine="333"/>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underwriters may offer some of the notes directly to the public at the respective public offering prices set forth on the cover page of this prospectus supplement and some of the notes to dealers at the respective public offering price less a concession not to exceed the rates (as a percentage of the principal amount) in the table immediately below. The underwriters may allow, and dealers may reallow, a concession not to exceed the rates (as a percentage of the principal amount) set forth in the table below, on sales to other dealers. After the initial offering of the notes of a particular series to the public, the representatives may change the related public offering price and concession.</w:t>
      </w:r>
    </w:p>
    <w:p>
      <w:pPr>
        <w:spacing w:after="0" w:line="149" w:lineRule="exact"/>
        <w:rPr>
          <w:sz w:val="20"/>
          <w:szCs w:val="20"/>
          <w:color w:val="auto"/>
        </w:rPr>
      </w:pPr>
    </w:p>
    <w:tbl>
      <w:tblPr>
        <w:tblLayout w:type="fixed"/>
        <w:tblInd w:w="1340" w:type="dxa"/>
        <w:tblCellMar>
          <w:top w:w="0" w:type="dxa"/>
          <w:left w:w="0" w:type="dxa"/>
          <w:bottom w:w="0" w:type="dxa"/>
          <w:right w:w="0" w:type="dxa"/>
        </w:tblCellMar>
      </w:tblPr>
      <w:tr>
        <w:trPr>
          <w:trHeight w:val="126"/>
        </w:trPr>
        <w:tc>
          <w:tcPr>
            <w:tcW w:w="2280" w:type="dxa"/>
            <w:vAlign w:val="bottom"/>
          </w:tcPr>
          <w:p>
            <w:pPr>
              <w:spacing w:after="0"/>
              <w:rPr>
                <w:sz w:val="11"/>
                <w:szCs w:val="11"/>
                <w:color w:val="auto"/>
              </w:rPr>
            </w:pPr>
          </w:p>
        </w:tc>
        <w:tc>
          <w:tcPr>
            <w:tcW w:w="2420" w:type="dxa"/>
            <w:vAlign w:val="bottom"/>
            <w:gridSpan w:val="3"/>
            <w:vMerge w:val="restart"/>
          </w:tcPr>
          <w:p>
            <w:pPr>
              <w:jc w:val="center"/>
              <w:ind w:left="214"/>
              <w:spacing w:after="0"/>
              <w:rPr>
                <w:sz w:val="20"/>
                <w:szCs w:val="20"/>
                <w:color w:val="auto"/>
              </w:rPr>
            </w:pPr>
            <w:r>
              <w:rPr>
                <w:rFonts w:ascii="Times New Roman" w:cs="Times New Roman" w:eastAsia="Times New Roman" w:hAnsi="Times New Roman"/>
                <w:sz w:val="11"/>
                <w:szCs w:val="11"/>
                <w:b w:val="1"/>
                <w:bCs w:val="1"/>
                <w:color w:val="auto"/>
                <w:w w:val="97"/>
              </w:rPr>
              <w:t>Maximum Concession</w:t>
            </w:r>
          </w:p>
        </w:tc>
        <w:tc>
          <w:tcPr>
            <w:tcW w:w="1640" w:type="dxa"/>
            <w:vAlign w:val="bottom"/>
            <w:gridSpan w:val="3"/>
          </w:tcPr>
          <w:p>
            <w:pPr>
              <w:jc w:val="center"/>
              <w:ind w:left="214"/>
              <w:spacing w:after="0"/>
              <w:rPr>
                <w:sz w:val="20"/>
                <w:szCs w:val="20"/>
                <w:color w:val="auto"/>
              </w:rPr>
            </w:pPr>
            <w:r>
              <w:rPr>
                <w:rFonts w:ascii="Times New Roman" w:cs="Times New Roman" w:eastAsia="Times New Roman" w:hAnsi="Times New Roman"/>
                <w:sz w:val="11"/>
                <w:szCs w:val="11"/>
                <w:b w:val="1"/>
                <w:bCs w:val="1"/>
                <w:color w:val="auto"/>
                <w:w w:val="99"/>
              </w:rPr>
              <w:t>Maximum Concession</w:t>
            </w:r>
          </w:p>
        </w:tc>
        <w:tc>
          <w:tcPr>
            <w:tcW w:w="0" w:type="dxa"/>
            <w:vAlign w:val="bottom"/>
          </w:tcPr>
          <w:p>
            <w:pPr>
              <w:spacing w:after="0"/>
              <w:rPr>
                <w:sz w:val="1"/>
                <w:szCs w:val="1"/>
                <w:color w:val="auto"/>
              </w:rPr>
            </w:pPr>
          </w:p>
        </w:tc>
      </w:tr>
      <w:tr>
        <w:trPr>
          <w:trHeight w:val="112"/>
        </w:trPr>
        <w:tc>
          <w:tcPr>
            <w:tcW w:w="22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118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1"/>
                <w:szCs w:val="11"/>
                <w:b w:val="1"/>
                <w:bCs w:val="1"/>
                <w:color w:val="auto"/>
                <w:w w:val="98"/>
              </w:rPr>
              <w:t>on Sales to Other</w:t>
            </w:r>
          </w:p>
        </w:tc>
        <w:tc>
          <w:tcPr>
            <w:tcW w:w="0" w:type="dxa"/>
            <w:vAlign w:val="bottom"/>
          </w:tcPr>
          <w:p>
            <w:pPr>
              <w:spacing w:after="0"/>
              <w:rPr>
                <w:sz w:val="1"/>
                <w:szCs w:val="1"/>
                <w:color w:val="auto"/>
              </w:rPr>
            </w:pPr>
          </w:p>
        </w:tc>
      </w:tr>
      <w:tr>
        <w:trPr>
          <w:trHeight w:val="131"/>
        </w:trPr>
        <w:tc>
          <w:tcPr>
            <w:tcW w:w="228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to Dealers</w:t>
            </w:r>
          </w:p>
        </w:tc>
        <w:tc>
          <w:tcPr>
            <w:tcW w:w="56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Dealers</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2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Per 2028 floating rate note</w:t>
            </w:r>
          </w:p>
        </w:tc>
        <w:tc>
          <w:tcPr>
            <w:tcW w:w="84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440"/>
              <w:spacing w:after="0" w:line="154" w:lineRule="exact"/>
              <w:rPr>
                <w:sz w:val="20"/>
                <w:szCs w:val="20"/>
                <w:color w:val="auto"/>
              </w:rPr>
            </w:pPr>
            <w:r>
              <w:rPr>
                <w:rFonts w:ascii="Times New Roman" w:cs="Times New Roman" w:eastAsia="Times New Roman" w:hAnsi="Times New Roman"/>
                <w:sz w:val="14"/>
                <w:szCs w:val="14"/>
                <w:color w:val="auto"/>
              </w:rPr>
              <w:t>0.100%</w:t>
            </w:r>
          </w:p>
        </w:tc>
        <w:tc>
          <w:tcPr>
            <w:tcW w:w="4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
              <w:spacing w:after="0" w:line="154" w:lineRule="exact"/>
              <w:rPr>
                <w:sz w:val="20"/>
                <w:szCs w:val="20"/>
                <w:color w:val="auto"/>
              </w:rPr>
            </w:pPr>
            <w:r>
              <w:rPr>
                <w:rFonts w:ascii="Times New Roman" w:cs="Times New Roman" w:eastAsia="Times New Roman" w:hAnsi="Times New Roman"/>
                <w:sz w:val="14"/>
                <w:szCs w:val="14"/>
                <w:color w:val="auto"/>
              </w:rPr>
              <w:t>0.050%</w:t>
            </w:r>
          </w:p>
        </w:tc>
        <w:tc>
          <w:tcPr>
            <w:tcW w:w="0" w:type="dxa"/>
            <w:vAlign w:val="bottom"/>
          </w:tcPr>
          <w:p>
            <w:pPr>
              <w:spacing w:after="0"/>
              <w:rPr>
                <w:sz w:val="1"/>
                <w:szCs w:val="1"/>
                <w:color w:val="auto"/>
              </w:rPr>
            </w:pPr>
          </w:p>
        </w:tc>
      </w:tr>
      <w:tr>
        <w:trPr>
          <w:trHeight w:val="163"/>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Per 2029 floating rate note</w:t>
            </w:r>
          </w:p>
        </w:tc>
        <w:tc>
          <w:tcPr>
            <w:tcW w:w="24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0.150%</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0.100%</w:t>
            </w:r>
          </w:p>
        </w:tc>
        <w:tc>
          <w:tcPr>
            <w:tcW w:w="0" w:type="dxa"/>
            <w:vAlign w:val="bottom"/>
          </w:tcPr>
          <w:p>
            <w:pPr>
              <w:spacing w:after="0"/>
              <w:rPr>
                <w:sz w:val="1"/>
                <w:szCs w:val="1"/>
                <w:color w:val="auto"/>
              </w:rPr>
            </w:pPr>
          </w:p>
        </w:tc>
      </w:tr>
      <w:tr>
        <w:trPr>
          <w:trHeight w:val="16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4.150% note</w:t>
            </w:r>
          </w:p>
        </w:tc>
        <w:tc>
          <w:tcPr>
            <w:tcW w:w="24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0.150%</w:t>
            </w:r>
          </w:p>
        </w:tc>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0.100%</w:t>
            </w:r>
          </w:p>
        </w:tc>
        <w:tc>
          <w:tcPr>
            <w:tcW w:w="0" w:type="dxa"/>
            <w:vAlign w:val="bottom"/>
          </w:tcPr>
          <w:p>
            <w:pPr>
              <w:spacing w:after="0"/>
              <w:rPr>
                <w:sz w:val="1"/>
                <w:szCs w:val="1"/>
                <w:color w:val="auto"/>
              </w:rPr>
            </w:pPr>
          </w:p>
        </w:tc>
      </w:tr>
      <w:tr>
        <w:trPr>
          <w:trHeight w:val="163"/>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Per 4.375% note</w:t>
            </w:r>
          </w:p>
        </w:tc>
        <w:tc>
          <w:tcPr>
            <w:tcW w:w="24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0.200%</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0.150%</w:t>
            </w:r>
          </w:p>
        </w:tc>
        <w:tc>
          <w:tcPr>
            <w:tcW w:w="0" w:type="dxa"/>
            <w:vAlign w:val="bottom"/>
          </w:tcPr>
          <w:p>
            <w:pPr>
              <w:spacing w:after="0"/>
              <w:rPr>
                <w:sz w:val="1"/>
                <w:szCs w:val="1"/>
                <w:color w:val="auto"/>
              </w:rPr>
            </w:pPr>
          </w:p>
        </w:tc>
      </w:tr>
      <w:tr>
        <w:trPr>
          <w:trHeight w:val="16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4.650% note</w:t>
            </w:r>
          </w:p>
        </w:tc>
        <w:tc>
          <w:tcPr>
            <w:tcW w:w="24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0.225%</w:t>
            </w:r>
          </w:p>
        </w:tc>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0.150%</w:t>
            </w:r>
          </w:p>
        </w:tc>
        <w:tc>
          <w:tcPr>
            <w:tcW w:w="0" w:type="dxa"/>
            <w:vAlign w:val="bottom"/>
          </w:tcPr>
          <w:p>
            <w:pPr>
              <w:spacing w:after="0"/>
              <w:rPr>
                <w:sz w:val="1"/>
                <w:szCs w:val="1"/>
                <w:color w:val="auto"/>
              </w:rPr>
            </w:pPr>
          </w:p>
        </w:tc>
      </w:tr>
      <w:tr>
        <w:trPr>
          <w:trHeight w:val="163"/>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Per 4.850% note</w:t>
            </w:r>
          </w:p>
        </w:tc>
        <w:tc>
          <w:tcPr>
            <w:tcW w:w="24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0.250%</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0.200%</w:t>
            </w:r>
          </w:p>
        </w:tc>
        <w:tc>
          <w:tcPr>
            <w:tcW w:w="0" w:type="dxa"/>
            <w:vAlign w:val="bottom"/>
          </w:tcPr>
          <w:p>
            <w:pPr>
              <w:spacing w:after="0"/>
              <w:rPr>
                <w:sz w:val="1"/>
                <w:szCs w:val="1"/>
                <w:color w:val="auto"/>
              </w:rPr>
            </w:pPr>
          </w:p>
        </w:tc>
      </w:tr>
      <w:tr>
        <w:trPr>
          <w:trHeight w:val="16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5.600% note</w:t>
            </w:r>
          </w:p>
        </w:tc>
        <w:tc>
          <w:tcPr>
            <w:tcW w:w="24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0.450%</w:t>
            </w:r>
          </w:p>
        </w:tc>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0.300%</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Per 5.700% note</w:t>
            </w:r>
          </w:p>
        </w:tc>
        <w:tc>
          <w:tcPr>
            <w:tcW w:w="24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0.450%</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0.300%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following table shows the underwriting discount that we have agreed to pay to the underwriters in connection with this offering.</w:t>
      </w:r>
    </w:p>
    <w:p>
      <w:pPr>
        <w:spacing w:after="0" w:line="166" w:lineRule="exact"/>
        <w:rPr>
          <w:sz w:val="20"/>
          <w:szCs w:val="20"/>
          <w:color w:val="auto"/>
        </w:rPr>
      </w:pPr>
    </w:p>
    <w:tbl>
      <w:tblPr>
        <w:tblLayout w:type="fixed"/>
        <w:tblInd w:w="1340" w:type="dxa"/>
        <w:tblCellMar>
          <w:top w:w="0" w:type="dxa"/>
          <w:left w:w="0" w:type="dxa"/>
          <w:bottom w:w="0" w:type="dxa"/>
          <w:right w:w="0" w:type="dxa"/>
        </w:tblCellMar>
      </w:tblPr>
      <w:tr>
        <w:trPr>
          <w:trHeight w:val="126"/>
        </w:trPr>
        <w:tc>
          <w:tcPr>
            <w:tcW w:w="2700" w:type="dxa"/>
            <w:vAlign w:val="bottom"/>
          </w:tcPr>
          <w:p>
            <w:pPr>
              <w:spacing w:after="0"/>
              <w:rPr>
                <w:sz w:val="11"/>
                <w:szCs w:val="11"/>
                <w:color w:val="auto"/>
              </w:rPr>
            </w:pPr>
          </w:p>
        </w:tc>
        <w:tc>
          <w:tcPr>
            <w:tcW w:w="2560" w:type="dxa"/>
            <w:vAlign w:val="bottom"/>
            <w:gridSpan w:val="3"/>
          </w:tcPr>
          <w:p>
            <w:pPr>
              <w:ind w:left="1260"/>
              <w:spacing w:after="0"/>
              <w:rPr>
                <w:sz w:val="20"/>
                <w:szCs w:val="20"/>
                <w:color w:val="auto"/>
              </w:rPr>
            </w:pPr>
            <w:r>
              <w:rPr>
                <w:rFonts w:ascii="Times New Roman" w:cs="Times New Roman" w:eastAsia="Times New Roman" w:hAnsi="Times New Roman"/>
                <w:sz w:val="11"/>
                <w:szCs w:val="11"/>
                <w:b w:val="1"/>
                <w:bCs w:val="1"/>
                <w:color w:val="auto"/>
              </w:rPr>
              <w:t>As a Percentage of</w:t>
            </w:r>
          </w:p>
        </w:tc>
        <w:tc>
          <w:tcPr>
            <w:tcW w:w="320" w:type="dxa"/>
            <w:vAlign w:val="bottom"/>
            <w:vMerge w:val="restart"/>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w w:val="98"/>
              </w:rPr>
              <w:t>Dollar Amount</w:t>
            </w: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700" w:type="dxa"/>
            <w:vAlign w:val="bottom"/>
            <w:tcBorders>
              <w:bottom w:val="single" w:sz="8" w:color="CCEEFF"/>
            </w:tcBorders>
          </w:tcPr>
          <w:p>
            <w:pPr>
              <w:spacing w:after="0"/>
              <w:rPr>
                <w:sz w:val="11"/>
                <w:szCs w:val="11"/>
                <w:color w:val="auto"/>
              </w:rPr>
            </w:pPr>
          </w:p>
        </w:tc>
        <w:tc>
          <w:tcPr>
            <w:tcW w:w="126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9"/>
              </w:rPr>
              <w:t>Principal Amount</w:t>
            </w:r>
          </w:p>
        </w:tc>
        <w:tc>
          <w:tcPr>
            <w:tcW w:w="44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vMerge w:val="continue"/>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4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7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Per 2028 floating rate note</w:t>
            </w:r>
          </w:p>
        </w:tc>
        <w:tc>
          <w:tcPr>
            <w:tcW w:w="12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20"/>
              <w:spacing w:after="0" w:line="154" w:lineRule="exact"/>
              <w:rPr>
                <w:sz w:val="20"/>
                <w:szCs w:val="20"/>
                <w:color w:val="auto"/>
              </w:rPr>
            </w:pPr>
            <w:r>
              <w:rPr>
                <w:rFonts w:ascii="Times New Roman" w:cs="Times New Roman" w:eastAsia="Times New Roman" w:hAnsi="Times New Roman"/>
                <w:sz w:val="14"/>
                <w:szCs w:val="14"/>
                <w:color w:val="auto"/>
              </w:rPr>
              <w:t>0.150%</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1,125,000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Per 2029 floating rate note</w:t>
            </w:r>
          </w:p>
        </w:tc>
        <w:tc>
          <w:tcPr>
            <w:tcW w:w="25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0.250%</w:t>
            </w:r>
          </w:p>
        </w:tc>
        <w:tc>
          <w:tcPr>
            <w:tcW w:w="4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4.150% note</w:t>
            </w:r>
          </w:p>
        </w:tc>
        <w:tc>
          <w:tcPr>
            <w:tcW w:w="2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0.250%</w:t>
            </w: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Per 4.375% note</w:t>
            </w:r>
          </w:p>
        </w:tc>
        <w:tc>
          <w:tcPr>
            <w:tcW w:w="25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0.350%</w:t>
            </w:r>
          </w:p>
        </w:tc>
        <w:tc>
          <w:tcPr>
            <w:tcW w:w="4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4.650% note</w:t>
            </w:r>
          </w:p>
        </w:tc>
        <w:tc>
          <w:tcPr>
            <w:tcW w:w="2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0.375%</w:t>
            </w: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4,687,500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Per 4.850% note</w:t>
            </w:r>
          </w:p>
        </w:tc>
        <w:tc>
          <w:tcPr>
            <w:tcW w:w="25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0.450%</w:t>
            </w:r>
          </w:p>
        </w:tc>
        <w:tc>
          <w:tcPr>
            <w:tcW w:w="4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5.600% note</w:t>
            </w:r>
          </w:p>
        </w:tc>
        <w:tc>
          <w:tcPr>
            <w:tcW w:w="2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0.750%</w:t>
            </w: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13,125,000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Per 5.700% note</w:t>
            </w:r>
          </w:p>
        </w:tc>
        <w:tc>
          <w:tcPr>
            <w:tcW w:w="25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0.750%</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41,562,500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339" w:firstLine="333"/>
        <w:spacing w:after="0" w:line="297" w:lineRule="auto"/>
        <w:rPr>
          <w:sz w:val="20"/>
          <w:szCs w:val="20"/>
          <w:color w:val="auto"/>
        </w:rPr>
      </w:pPr>
      <w:r>
        <w:rPr>
          <w:rFonts w:ascii="Times New Roman" w:cs="Times New Roman" w:eastAsia="Times New Roman" w:hAnsi="Times New Roman"/>
          <w:sz w:val="12"/>
          <w:szCs w:val="12"/>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of a particular series in excess of the principal amount of notes of such series to be purchased by the underwriters in this offering, which creates a syndicate short position. Syndicate covering transactions involve purchases of notes of a particular series in the open market after the distribution of such notes has been completed in order to cover syndicate short positions. Stabilizing transactions consist of certain bids or purchases of notes of a particular series made for the purpose of preventing or retarding a decline in the market price of the notes of such series while this offering is in progress.</w:t>
      </w:r>
    </w:p>
    <w:p>
      <w:pPr>
        <w:spacing w:after="0" w:line="119" w:lineRule="exact"/>
        <w:rPr>
          <w:sz w:val="20"/>
          <w:szCs w:val="20"/>
          <w:color w:val="auto"/>
        </w:rPr>
      </w:pPr>
    </w:p>
    <w:p>
      <w:pPr>
        <w:ind w:left="340" w:right="559" w:firstLine="333"/>
        <w:spacing w:after="0" w:line="254" w:lineRule="auto"/>
        <w:rPr>
          <w:sz w:val="20"/>
          <w:szCs w:val="20"/>
          <w:color w:val="auto"/>
        </w:rPr>
      </w:pPr>
      <w:r>
        <w:rPr>
          <w:rFonts w:ascii="Times New Roman" w:cs="Times New Roman" w:eastAsia="Times New Roman" w:hAnsi="Times New Roman"/>
          <w:sz w:val="14"/>
          <w:szCs w:val="14"/>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42" w:lineRule="exact"/>
        <w:rPr>
          <w:sz w:val="20"/>
          <w:szCs w:val="20"/>
          <w:color w:val="auto"/>
        </w:rPr>
      </w:pPr>
    </w:p>
    <w:p>
      <w:pPr>
        <w:ind w:left="340" w:right="379" w:firstLine="333"/>
        <w:spacing w:after="0" w:line="250" w:lineRule="auto"/>
        <w:rPr>
          <w:sz w:val="20"/>
          <w:szCs w:val="20"/>
          <w:color w:val="auto"/>
        </w:rPr>
      </w:pPr>
      <w:r>
        <w:rPr>
          <w:rFonts w:ascii="Times New Roman" w:cs="Times New Roman" w:eastAsia="Times New Roman" w:hAnsi="Times New Roman"/>
          <w:sz w:val="14"/>
          <w:szCs w:val="14"/>
          <w:color w:val="auto"/>
        </w:rPr>
        <w:t>Any of these activities may have the effect of preventing or retarding a decline in the market prices of the notes. They may also cause the prices of the notes to be higher than the prices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S-32</w:t>
      </w:r>
    </w:p>
    <w:p>
      <w:pPr>
        <w:sectPr>
          <w:pgSz w:w="11900" w:h="16838" w:orient="portrait"/>
          <w:cols w:equalWidth="0" w:num="1">
            <w:col w:w="9019"/>
          </w:cols>
          <w:pgMar w:left="1440" w:top="239" w:right="1440" w:bottom="1440" w:gutter="0" w:footer="0" w:header="0"/>
        </w:sectPr>
      </w:pPr>
    </w:p>
    <w:bookmarkStart w:id="35" w:name="page36"/>
    <w:bookmarkEnd w:id="35"/>
    <w:p>
      <w:pPr>
        <w:ind w:left="6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We estimate that our total expenses for this offering (not including the underwriting discount) will be approximately $11.4 million.</w:t>
      </w:r>
    </w:p>
    <w:p>
      <w:pPr>
        <w:spacing w:after="0" w:line="166" w:lineRule="exact"/>
        <w:rPr>
          <w:sz w:val="20"/>
          <w:szCs w:val="20"/>
          <w:color w:val="auto"/>
        </w:rPr>
      </w:pPr>
    </w:p>
    <w:p>
      <w:pPr>
        <w:ind w:left="340" w:right="359" w:firstLine="333"/>
        <w:spacing w:after="0" w:line="264" w:lineRule="auto"/>
        <w:rPr>
          <w:sz w:val="20"/>
          <w:szCs w:val="20"/>
          <w:color w:val="auto"/>
        </w:rPr>
      </w:pPr>
      <w:r>
        <w:rPr>
          <w:rFonts w:ascii="Times New Roman" w:cs="Times New Roman" w:eastAsia="Times New Roman" w:hAnsi="Times New Roman"/>
          <w:sz w:val="14"/>
          <w:szCs w:val="14"/>
          <w:color w:val="auto"/>
        </w:rPr>
        <w:t>We have agreed to indemnify the underwriters and their controlling persons against certain liabilities, including liabilities under the Securities Act, or to contribute to payments they may be required to make because of any of those liabilities.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Relationships</w:t>
      </w:r>
    </w:p>
    <w:p>
      <w:pPr>
        <w:spacing w:after="0" w:line="88" w:lineRule="exact"/>
        <w:rPr>
          <w:sz w:val="20"/>
          <w:szCs w:val="20"/>
          <w:color w:val="auto"/>
        </w:rPr>
      </w:pPr>
    </w:p>
    <w:p>
      <w:pPr>
        <w:ind w:left="340" w:right="399" w:firstLine="333"/>
        <w:spacing w:after="0" w:line="250" w:lineRule="auto"/>
        <w:rPr>
          <w:sz w:val="20"/>
          <w:szCs w:val="20"/>
          <w:color w:val="auto"/>
        </w:rPr>
      </w:pPr>
      <w:r>
        <w:rPr>
          <w:rFonts w:ascii="Times New Roman" w:cs="Times New Roman" w:eastAsia="Times New Roman" w:hAnsi="Times New Roman"/>
          <w:sz w:val="14"/>
          <w:szCs w:val="14"/>
          <w:color w:val="auto"/>
        </w:rPr>
        <w:t>Certain of the underwriters and their affiliates have engaged in, and may in the future engage in, investment banking and other commercial dealings in the ordinary course of business with us or our affiliates. They have received, and may in the future receive, customary fees and commissions for these transactions. Certain of the underwriters have acted as our financial advisor in connection with the Acquisitions. Additionally, Deutsche Bank Securities Inc. is an affiliate of Deutsche Bank Trust Company Americas, the trustee for these notes.</w:t>
      </w:r>
    </w:p>
    <w:p>
      <w:pPr>
        <w:spacing w:after="0" w:line="146" w:lineRule="exact"/>
        <w:rPr>
          <w:sz w:val="20"/>
          <w:szCs w:val="20"/>
          <w:color w:val="auto"/>
        </w:rPr>
      </w:pPr>
    </w:p>
    <w:p>
      <w:pPr>
        <w:jc w:val="both"/>
        <w:ind w:left="340" w:right="419" w:firstLine="333"/>
        <w:spacing w:after="0" w:line="254" w:lineRule="auto"/>
        <w:rPr>
          <w:sz w:val="20"/>
          <w:szCs w:val="20"/>
          <w:color w:val="auto"/>
        </w:rPr>
      </w:pPr>
      <w:r>
        <w:rPr>
          <w:rFonts w:ascii="Times New Roman" w:cs="Times New Roman" w:eastAsia="Times New Roman" w:hAnsi="Times New Roman"/>
          <w:sz w:val="14"/>
          <w:szCs w:val="14"/>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w:t>
      </w:r>
    </w:p>
    <w:p>
      <w:pPr>
        <w:spacing w:after="0" w:line="142" w:lineRule="exact"/>
        <w:rPr>
          <w:sz w:val="20"/>
          <w:szCs w:val="20"/>
          <w:color w:val="auto"/>
        </w:rPr>
      </w:pPr>
    </w:p>
    <w:p>
      <w:pPr>
        <w:ind w:left="340" w:right="379" w:firstLine="333"/>
        <w:spacing w:after="0" w:line="246" w:lineRule="auto"/>
        <w:rPr>
          <w:sz w:val="20"/>
          <w:szCs w:val="20"/>
          <w:color w:val="auto"/>
        </w:rPr>
      </w:pPr>
      <w:r>
        <w:rPr>
          <w:rFonts w:ascii="Times New Roman" w:cs="Times New Roman" w:eastAsia="Times New Roman" w:hAnsi="Times New Roman"/>
          <w:sz w:val="14"/>
          <w:szCs w:val="14"/>
          <w:color w:val="auto"/>
        </w:rPr>
        <w:t>Such investments and securities activities may involve securities or instruments of ours or our affiliates. Certain of the underwriters or their affiliates that have a lending relationship with us routinely hedge, and certain other of the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 publish or express independent research views in respect of such securities or financial instruments and may hold, or recommend to clients that they acquire, long or short positions in such securities and instruments.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Conflicts of Interests</w:t>
      </w:r>
    </w:p>
    <w:p>
      <w:pPr>
        <w:spacing w:after="0" w:line="88" w:lineRule="exact"/>
        <w:rPr>
          <w:sz w:val="20"/>
          <w:szCs w:val="20"/>
          <w:color w:val="auto"/>
        </w:rPr>
      </w:pPr>
    </w:p>
    <w:p>
      <w:pPr>
        <w:ind w:left="340" w:right="399" w:firstLine="333"/>
        <w:spacing w:after="0" w:line="247" w:lineRule="auto"/>
        <w:rPr>
          <w:sz w:val="20"/>
          <w:szCs w:val="20"/>
          <w:color w:val="auto"/>
        </w:rPr>
      </w:pPr>
      <w:r>
        <w:rPr>
          <w:rFonts w:ascii="Times New Roman" w:cs="Times New Roman" w:eastAsia="Times New Roman" w:hAnsi="Times New Roman"/>
          <w:sz w:val="14"/>
          <w:szCs w:val="14"/>
          <w:color w:val="auto"/>
        </w:rPr>
        <w:t>Certain of the underwriters or their respective affiliates may be holders of our commercial paper. If any of the underwriters, together with their respective affiliates, receives at least 5% of the net proceeds from this offering, not including underwriting compensation, as a result of our intended use of the net proceeds from the sale of the notes as described in “Use of Proceeds,” such underwriters will be deemed to have a “conflict of interest” within the meaning of Rule 5121 of the Financial Industry Regulatory Authority, Inc. (“FINRA Rule 5121”). However, pursuant to FINRA Rule 5121, the appointment of a qualified independent underwriter is not necessary in connection with this offering because the notes are “investment grade rated” as defined by FINRA Rule 5121.</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Extended Settlement</w:t>
      </w:r>
    </w:p>
    <w:p>
      <w:pPr>
        <w:spacing w:after="0" w:line="88" w:lineRule="exact"/>
        <w:rPr>
          <w:sz w:val="20"/>
          <w:szCs w:val="20"/>
          <w:color w:val="auto"/>
        </w:rPr>
      </w:pPr>
    </w:p>
    <w:p>
      <w:pPr>
        <w:ind w:left="340" w:right="399" w:firstLine="333"/>
        <w:spacing w:after="0" w:line="300" w:lineRule="auto"/>
        <w:rPr>
          <w:sz w:val="20"/>
          <w:szCs w:val="20"/>
          <w:color w:val="auto"/>
        </w:rPr>
      </w:pPr>
      <w:r>
        <w:rPr>
          <w:rFonts w:ascii="Times New Roman" w:cs="Times New Roman" w:eastAsia="Times New Roman" w:hAnsi="Times New Roman"/>
          <w:sz w:val="12"/>
          <w:szCs w:val="12"/>
          <w:color w:val="auto"/>
        </w:rPr>
        <w:t>We expect that delivery of the notes will be made to investors on or about May 20, 2026, which will be the tenth business day following the date of this prospectus supplement (such settlement being referred to as “T+10”). Pursuant to Rule 15c6-1 under the Exchange Act, trades in the secondary market generally are required to settle in one business day unless the parties to any such trade expressly agree otherwise. Accordingly, purchasers of the notes who wish to trade the notes before the date of delivery of the notes will be required, by virtue of the fact that the notes initially will settle in T+10, to specify an alternative settlement cycle at the time of any such trade to prevent failed settlement and should consult their own advisors.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notes are being offered for sale in jurisdictions where it is lawful to make such offers and sales.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S-33</w:t>
      </w:r>
    </w:p>
    <w:p>
      <w:pPr>
        <w:sectPr>
          <w:pgSz w:w="11900" w:h="16838" w:orient="portrait"/>
          <w:cols w:equalWidth="0" w:num="1">
            <w:col w:w="9019"/>
          </w:cols>
          <w:pgMar w:left="1440" w:top="239" w:right="1440" w:bottom="1440" w:gutter="0" w:footer="0" w:header="0"/>
        </w:sectPr>
      </w:pPr>
    </w:p>
    <w:bookmarkStart w:id="36" w:name="page37"/>
    <w:bookmarkEnd w:id="36"/>
    <w:p>
      <w:pPr>
        <w:ind w:left="340" w:right="379" w:firstLine="333"/>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Each of the underwriters has represented and agreed that it has not and will not offer, sell or deliver any of the notes directly or indirectly, or distribute this prospectus supplement or the prospectus or any other offering material relating to the notes, in or from any jurisdiction except under circumstances that will result in compliance with the applicable laws and regulations thereof and that will not impose any obligations on us except as set forth in the underwriting agreement.</w:t>
      </w:r>
    </w:p>
    <w:p>
      <w:pPr>
        <w:spacing w:after="0" w:line="146" w:lineRule="exact"/>
        <w:rPr>
          <w:sz w:val="20"/>
          <w:szCs w:val="20"/>
          <w:color w:val="auto"/>
        </w:rPr>
      </w:pPr>
    </w:p>
    <w:p>
      <w:pPr>
        <w:ind w:left="340" w:right="499" w:firstLine="333"/>
        <w:spacing w:after="0" w:line="349" w:lineRule="auto"/>
        <w:rPr>
          <w:sz w:val="20"/>
          <w:szCs w:val="20"/>
          <w:color w:val="auto"/>
        </w:rPr>
      </w:pPr>
      <w:r>
        <w:rPr>
          <w:rFonts w:ascii="Times New Roman" w:cs="Times New Roman" w:eastAsia="Times New Roman" w:hAnsi="Times New Roman"/>
          <w:sz w:val="12"/>
          <w:szCs w:val="12"/>
          <w:color w:val="auto"/>
        </w:rPr>
        <w:t>Sales of notes in the United States by any underwriter that is not a broker-dealer registered with the SEC will be made only through one or more SEC-registered broker-dealers in compliance with applicable securities laws and the rules of the Financial Industry Regulatory Authority, Inc.</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Canada</w:t>
      </w:r>
    </w:p>
    <w:p>
      <w:pPr>
        <w:spacing w:after="0" w:line="88" w:lineRule="exact"/>
        <w:rPr>
          <w:sz w:val="20"/>
          <w:szCs w:val="20"/>
          <w:color w:val="auto"/>
        </w:rPr>
      </w:pPr>
    </w:p>
    <w:p>
      <w:pPr>
        <w:ind w:left="340" w:right="359" w:firstLine="333"/>
        <w:spacing w:after="0" w:line="250" w:lineRule="auto"/>
        <w:rPr>
          <w:sz w:val="20"/>
          <w:szCs w:val="20"/>
          <w:color w:val="auto"/>
        </w:rPr>
      </w:pPr>
      <w:r>
        <w:rPr>
          <w:rFonts w:ascii="Times New Roman" w:cs="Times New Roman" w:eastAsia="Times New Roman" w:hAnsi="Times New Roman"/>
          <w:sz w:val="14"/>
          <w:szCs w:val="14"/>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46" w:lineRule="exact"/>
        <w:rPr>
          <w:sz w:val="20"/>
          <w:szCs w:val="20"/>
          <w:color w:val="auto"/>
        </w:rPr>
      </w:pPr>
    </w:p>
    <w:p>
      <w:pPr>
        <w:ind w:left="340" w:right="519" w:firstLine="333"/>
        <w:spacing w:after="0" w:line="250"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w:t>
      </w:r>
    </w:p>
    <w:p>
      <w:pPr>
        <w:spacing w:after="0" w:line="146" w:lineRule="exact"/>
        <w:rPr>
          <w:sz w:val="20"/>
          <w:szCs w:val="20"/>
          <w:color w:val="auto"/>
        </w:rPr>
      </w:pPr>
    </w:p>
    <w:p>
      <w:pPr>
        <w:ind w:left="340" w:right="419" w:firstLine="333"/>
        <w:spacing w:after="0" w:line="264" w:lineRule="auto"/>
        <w:rPr>
          <w:sz w:val="20"/>
          <w:szCs w:val="20"/>
          <w:color w:val="auto"/>
        </w:rPr>
      </w:pPr>
      <w:r>
        <w:rPr>
          <w:rFonts w:ascii="Times New Roman" w:cs="Times New Roman" w:eastAsia="Times New Roman" w:hAnsi="Times New Roman"/>
          <w:sz w:val="14"/>
          <w:szCs w:val="14"/>
          <w:color w:val="auto"/>
        </w:rPr>
        <w:t>The purchaser should refer to any applicable provisions of the securities legislation of the purchaser’s province or territory for particulars of these rights or consult with a legal advisor.</w:t>
      </w:r>
    </w:p>
    <w:p>
      <w:pPr>
        <w:spacing w:after="0" w:line="136" w:lineRule="exact"/>
        <w:rPr>
          <w:sz w:val="20"/>
          <w:szCs w:val="20"/>
          <w:color w:val="auto"/>
        </w:rPr>
      </w:pPr>
    </w:p>
    <w:p>
      <w:pPr>
        <w:jc w:val="both"/>
        <w:ind w:left="340" w:right="499" w:firstLine="333"/>
        <w:spacing w:after="0" w:line="264"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European Economic Area</w:t>
      </w:r>
    </w:p>
    <w:p>
      <w:pPr>
        <w:spacing w:after="0" w:line="88" w:lineRule="exact"/>
        <w:rPr>
          <w:sz w:val="20"/>
          <w:szCs w:val="20"/>
          <w:color w:val="auto"/>
        </w:rPr>
      </w:pPr>
    </w:p>
    <w:p>
      <w:pPr>
        <w:jc w:val="both"/>
        <w:ind w:left="340" w:right="499" w:firstLine="333"/>
        <w:spacing w:after="0" w:line="291" w:lineRule="auto"/>
        <w:rPr>
          <w:sz w:val="20"/>
          <w:szCs w:val="20"/>
          <w:color w:val="auto"/>
        </w:rPr>
      </w:pPr>
      <w:r>
        <w:rPr>
          <w:rFonts w:ascii="Times New Roman" w:cs="Times New Roman" w:eastAsia="Times New Roman" w:hAnsi="Times New Roman"/>
          <w:sz w:val="12"/>
          <w:szCs w:val="12"/>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w:t>
      </w:r>
    </w:p>
    <w:p>
      <w:pPr>
        <w:ind w:left="340" w:right="419"/>
        <w:spacing w:after="0" w:line="244" w:lineRule="auto"/>
        <w:rPr>
          <w:sz w:val="20"/>
          <w:szCs w:val="20"/>
          <w:color w:val="auto"/>
        </w:rPr>
      </w:pPr>
      <w:r>
        <w:rPr>
          <w:rFonts w:ascii="Times New Roman" w:cs="Times New Roman" w:eastAsia="Times New Roman" w:hAnsi="Times New Roman"/>
          <w:sz w:val="14"/>
          <w:szCs w:val="14"/>
          <w:color w:val="auto"/>
        </w:rPr>
        <w:t>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50" w:lineRule="exact"/>
        <w:rPr>
          <w:sz w:val="20"/>
          <w:szCs w:val="20"/>
          <w:color w:val="auto"/>
        </w:rPr>
      </w:pPr>
    </w:p>
    <w:p>
      <w:pPr>
        <w:ind w:left="340" w:right="539" w:firstLine="333"/>
        <w:spacing w:after="0" w:line="254" w:lineRule="auto"/>
        <w:rPr>
          <w:sz w:val="20"/>
          <w:szCs w:val="20"/>
          <w:color w:val="auto"/>
        </w:rPr>
      </w:pPr>
      <w:r>
        <w:rPr>
          <w:rFonts w:ascii="Times New Roman" w:cs="Times New Roman" w:eastAsia="Times New Roman" w:hAnsi="Times New Roman"/>
          <w:sz w:val="14"/>
          <w:szCs w:val="14"/>
          <w:color w:val="auto"/>
        </w:rPr>
        <w:t>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United Kingdom</w:t>
      </w:r>
    </w:p>
    <w:p>
      <w:pPr>
        <w:spacing w:after="0" w:line="88" w:lineRule="exact"/>
        <w:rPr>
          <w:sz w:val="20"/>
          <w:szCs w:val="20"/>
          <w:color w:val="auto"/>
        </w:rPr>
      </w:pPr>
    </w:p>
    <w:p>
      <w:pPr>
        <w:ind w:left="340" w:right="519" w:firstLine="333"/>
        <w:spacing w:after="0" w:line="264" w:lineRule="auto"/>
        <w:rPr>
          <w:sz w:val="20"/>
          <w:szCs w:val="20"/>
          <w:color w:val="auto"/>
        </w:rPr>
      </w:pPr>
      <w:r>
        <w:rPr>
          <w:rFonts w:ascii="Times New Roman" w:cs="Times New Roman" w:eastAsia="Times New Roman" w:hAnsi="Times New Roman"/>
          <w:sz w:val="14"/>
          <w:szCs w:val="14"/>
          <w:color w:val="auto"/>
        </w:rPr>
        <w:t>The notes are not intended to be offered, sold or otherwise made available to and should not be offered, sold or otherwise made available to any retail investor in the United Kingdom (“UK”). For these purposes, a retail</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S-34</w:t>
      </w:r>
    </w:p>
    <w:p>
      <w:pPr>
        <w:sectPr>
          <w:pgSz w:w="11900" w:h="16838" w:orient="portrait"/>
          <w:cols w:equalWidth="0" w:num="1">
            <w:col w:w="9019"/>
          </w:cols>
          <w:pgMar w:left="1440" w:top="239" w:right="1440" w:bottom="1440" w:gutter="0" w:footer="0" w:header="0"/>
        </w:sectPr>
      </w:pPr>
    </w:p>
    <w:bookmarkStart w:id="37" w:name="page38"/>
    <w:bookmarkEnd w:id="37"/>
    <w:p>
      <w:pPr>
        <w:ind w:left="340" w:right="379"/>
        <w:spacing w:after="0" w:line="24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investor means a person who is neither: (i) a professional client, as defined in point (8) of Article 2(1) of Regulation (EU) 600/2014 as it forms part of domestic law by virtue of the European Union (Withdrawal) Act 2018 (as amended, the “EUWA”); nor (ii) a qualified investor as defined in paragraph 15 of Schedule 1 to the Public Offers and Admissions to Trading Regulations 2024 (the “POATRs”). Consequently, no key information document required by Regulation (EU) 1286/2014 as it forms part of domestic law by virtue of the EUWA (as amended,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POATRs from the prohibition on public offers.</w:t>
      </w:r>
    </w:p>
    <w:p>
      <w:pPr>
        <w:spacing w:after="0" w:line="150" w:lineRule="exact"/>
        <w:rPr>
          <w:sz w:val="20"/>
          <w:szCs w:val="20"/>
          <w:color w:val="auto"/>
        </w:rPr>
      </w:pPr>
    </w:p>
    <w:p>
      <w:pPr>
        <w:ind w:left="340" w:right="379" w:firstLine="333"/>
        <w:spacing w:after="0" w:line="294" w:lineRule="auto"/>
        <w:rPr>
          <w:sz w:val="20"/>
          <w:szCs w:val="20"/>
          <w:color w:val="auto"/>
        </w:rPr>
      </w:pPr>
      <w:r>
        <w:rPr>
          <w:rFonts w:ascii="Times New Roman" w:cs="Times New Roman" w:eastAsia="Times New Roman" w:hAnsi="Times New Roman"/>
          <w:sz w:val="12"/>
          <w:szCs w:val="12"/>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3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Switzerland</w:t>
      </w:r>
    </w:p>
    <w:p>
      <w:pPr>
        <w:spacing w:after="0" w:line="88" w:lineRule="exact"/>
        <w:rPr>
          <w:sz w:val="20"/>
          <w:szCs w:val="20"/>
          <w:color w:val="auto"/>
        </w:rPr>
      </w:pPr>
    </w:p>
    <w:p>
      <w:pPr>
        <w:jc w:val="both"/>
        <w:ind w:left="340" w:right="419" w:firstLine="333"/>
        <w:spacing w:after="0" w:line="300" w:lineRule="auto"/>
        <w:rPr>
          <w:sz w:val="20"/>
          <w:szCs w:val="20"/>
          <w:color w:val="auto"/>
        </w:rPr>
      </w:pPr>
      <w:r>
        <w:rPr>
          <w:rFonts w:ascii="Times New Roman" w:cs="Times New Roman" w:eastAsia="Times New Roman" w:hAnsi="Times New Roman"/>
          <w:sz w:val="12"/>
          <w:szCs w:val="12"/>
          <w:color w:val="auto"/>
        </w:rPr>
        <w:t>This prospectus supplement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19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Hong Kong</w:t>
      </w:r>
    </w:p>
    <w:p>
      <w:pPr>
        <w:spacing w:after="0" w:line="88" w:lineRule="exact"/>
        <w:rPr>
          <w:sz w:val="20"/>
          <w:szCs w:val="20"/>
          <w:color w:val="auto"/>
        </w:rPr>
      </w:pPr>
    </w:p>
    <w:p>
      <w:pPr>
        <w:ind w:left="340" w:right="359" w:firstLine="333"/>
        <w:spacing w:after="0" w:line="294" w:lineRule="auto"/>
        <w:rPr>
          <w:sz w:val="20"/>
          <w:szCs w:val="20"/>
          <w:color w:val="auto"/>
        </w:rPr>
      </w:pPr>
      <w:r>
        <w:rPr>
          <w:rFonts w:ascii="Times New Roman" w:cs="Times New Roman" w:eastAsia="Times New Roman" w:hAnsi="Times New Roman"/>
          <w:sz w:val="12"/>
          <w:szCs w:val="12"/>
          <w:color w:val="auto"/>
        </w:rPr>
        <w:t>The notes may not be offered or sold by means of any document other than: (1) in circumstances which do not constitute an offer to the public within the meaning of the Companies Ordinance (Cap.32, Laws of Hong Kong), (2) to “professional investors” within the meaning of the Securities and Futures Ordinance (Cap.571, Laws of Hong Kong) and any rules made thereunder or (3) in other circumstances which do not result in the document being a “prospectus” within the meaning of the Companies Ordinance (Cap.32,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3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Japan</w:t>
      </w:r>
    </w:p>
    <w:p>
      <w:pPr>
        <w:spacing w:after="0" w:line="88" w:lineRule="exact"/>
        <w:rPr>
          <w:sz w:val="20"/>
          <w:szCs w:val="20"/>
          <w:color w:val="auto"/>
        </w:rPr>
      </w:pPr>
    </w:p>
    <w:p>
      <w:pPr>
        <w:jc w:val="both"/>
        <w:ind w:left="340" w:right="519" w:firstLine="333"/>
        <w:spacing w:after="0" w:line="254" w:lineRule="auto"/>
        <w:rPr>
          <w:sz w:val="20"/>
          <w:szCs w:val="20"/>
          <w:color w:val="auto"/>
        </w:rPr>
      </w:pPr>
      <w:r>
        <w:rPr>
          <w:rFonts w:ascii="Times New Roman" w:cs="Times New Roman" w:eastAsia="Times New Roman" w:hAnsi="Times New Roman"/>
          <w:sz w:val="14"/>
          <w:szCs w:val="14"/>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S-35</w:t>
      </w:r>
    </w:p>
    <w:p>
      <w:pPr>
        <w:sectPr>
          <w:pgSz w:w="11900" w:h="16838" w:orient="portrait"/>
          <w:cols w:equalWidth="0" w:num="1">
            <w:col w:w="9019"/>
          </w:cols>
          <w:pgMar w:left="1440" w:top="239" w:right="1440" w:bottom="1440" w:gutter="0" w:footer="0" w:header="0"/>
        </w:sectPr>
      </w:pPr>
    </w:p>
    <w:bookmarkStart w:id="38" w:name="page39"/>
    <w:bookmarkEnd w:id="38"/>
    <w:p>
      <w:pPr>
        <w:ind w:left="340" w:right="379"/>
        <w:spacing w:after="0" w:line="31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Singapore</w:t>
      </w:r>
    </w:p>
    <w:p>
      <w:pPr>
        <w:spacing w:after="0" w:line="88" w:lineRule="exact"/>
        <w:rPr>
          <w:sz w:val="20"/>
          <w:szCs w:val="20"/>
          <w:color w:val="auto"/>
        </w:rPr>
      </w:pPr>
    </w:p>
    <w:p>
      <w:pPr>
        <w:ind w:left="340" w:right="359" w:firstLine="333"/>
        <w:spacing w:after="0" w:line="297" w:lineRule="auto"/>
        <w:rPr>
          <w:sz w:val="20"/>
          <w:szCs w:val="20"/>
          <w:color w:val="auto"/>
        </w:rPr>
      </w:pPr>
      <w:r>
        <w:rPr>
          <w:rFonts w:ascii="Times New Roman" w:cs="Times New Roman" w:eastAsia="Times New Roman" w:hAnsi="Times New Roman"/>
          <w:sz w:val="12"/>
          <w:szCs w:val="12"/>
          <w:color w:val="auto"/>
        </w:rPr>
        <w:t>This prospectus supplement and the accompanying prospectus have not been registered as a prospectus with the Monetary Authority of Singapore. Accordingly, the notes may not be offered or sold, or made the subject of an invitation for subscription or purchase, nor may this prospectus supplement, the accompanying prospectus or any other document or material in connection with the offer or sale, or invitation for subscription or purchase of the notes be circulated,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S-36</w:t>
      </w:r>
    </w:p>
    <w:p>
      <w:pPr>
        <w:sectPr>
          <w:pgSz w:w="11900" w:h="16838" w:orient="portrait"/>
          <w:cols w:equalWidth="0" w:num="1">
            <w:col w:w="9019"/>
          </w:cols>
          <w:pgMar w:left="1440" w:top="239"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LEGAL MATTERS</w:t>
      </w:r>
    </w:p>
    <w:p>
      <w:pPr>
        <w:spacing w:after="0" w:line="170" w:lineRule="exact"/>
        <w:rPr>
          <w:sz w:val="20"/>
          <w:szCs w:val="20"/>
          <w:color w:val="auto"/>
        </w:rPr>
      </w:pPr>
    </w:p>
    <w:p>
      <w:pPr>
        <w:ind w:left="340" w:right="359" w:firstLine="333"/>
        <w:spacing w:after="0" w:line="250" w:lineRule="auto"/>
        <w:rPr>
          <w:sz w:val="20"/>
          <w:szCs w:val="20"/>
          <w:color w:val="auto"/>
        </w:rPr>
      </w:pPr>
      <w:r>
        <w:rPr>
          <w:rFonts w:ascii="Times New Roman" w:cs="Times New Roman" w:eastAsia="Times New Roman" w:hAnsi="Times New Roman"/>
          <w:sz w:val="14"/>
          <w:szCs w:val="14"/>
          <w:color w:val="auto"/>
        </w:rPr>
        <w:t>The validity of the notes will be passed upon for us by Kirkland &amp; Ellis LLP, New York, New York. Davis Polk &amp; Wardwell LLP, New York, New York, will pass on certain legal matters for the underwriters. Kirkland &amp; Ellis LLP and Davis Polk &amp; Wardwell LLP will rely on the opinion of Jamie Burnett, our Associate Vice President—Assistant General Counsel—Finance and Corporate Governance, with respect to matters of Indiana law. Ms. Burnett beneficially owns, or has rights to acquire, an aggregate of less than 1% of our outstanding common stock.</w:t>
      </w:r>
    </w:p>
    <w:p>
      <w:pPr>
        <w:spacing w:after="0" w:line="9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S-37</w:t>
      </w:r>
    </w:p>
    <w:p>
      <w:pPr>
        <w:sectPr>
          <w:pgSz w:w="11900" w:h="16838" w:orient="portrait"/>
          <w:cols w:equalWidth="0" w:num="1">
            <w:col w:w="9019"/>
          </w:cols>
          <w:pgMar w:left="1440" w:top="235" w:right="144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EXPERTS</w:t>
      </w:r>
    </w:p>
    <w:p>
      <w:pPr>
        <w:spacing w:after="0" w:line="170" w:lineRule="exact"/>
        <w:rPr>
          <w:sz w:val="20"/>
          <w:szCs w:val="20"/>
          <w:color w:val="auto"/>
        </w:rPr>
      </w:pPr>
    </w:p>
    <w:p>
      <w:pPr>
        <w:ind w:left="340" w:right="399" w:firstLine="333"/>
        <w:spacing w:after="0" w:line="248" w:lineRule="auto"/>
        <w:rPr>
          <w:sz w:val="20"/>
          <w:szCs w:val="20"/>
          <w:color w:val="auto"/>
        </w:rPr>
      </w:pPr>
      <w:r>
        <w:rPr>
          <w:rFonts w:ascii="Times New Roman" w:cs="Times New Roman" w:eastAsia="Times New Roman" w:hAnsi="Times New Roman"/>
          <w:sz w:val="14"/>
          <w:szCs w:val="14"/>
          <w:color w:val="auto"/>
        </w:rPr>
        <w:t>Ernst &amp; Young LLP, independent registered public accounting firm, has audited our consolidated financial statements included in our Annual Report on Form 10-K for the year ended December 31, 2025, and the effectiveness of our internal control over financial reporting as of December 31, 2025, as set forth in their reports, which are incorporated by reference in this prospectus supplement, the accompanying prospectus and elsewhere in the registration statement. Our financial statements are incorporated by reference in reliance on Ernst &amp; Young LLP’s reports, given on their authority as experts in accounting and auditing.</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S-38</w:t>
      </w:r>
    </w:p>
    <w:p>
      <w:pPr>
        <w:sectPr>
          <w:pgSz w:w="11900" w:h="16838" w:orient="portrait"/>
          <w:cols w:equalWidth="0" w:num="1">
            <w:col w:w="9019"/>
          </w:cols>
          <w:pgMar w:left="1440" w:top="235" w:right="1440"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WHERE YOU CAN FIND MORE INFORMATION;</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 INTO THIS PROSPECTUS SUPPLEMENT</w:t>
      </w:r>
    </w:p>
    <w:p>
      <w:pPr>
        <w:spacing w:after="0" w:line="154" w:lineRule="exact"/>
        <w:rPr>
          <w:sz w:val="20"/>
          <w:szCs w:val="20"/>
          <w:color w:val="auto"/>
        </w:rPr>
      </w:pPr>
    </w:p>
    <w:p>
      <w:pPr>
        <w:ind w:left="340" w:right="399" w:firstLine="333"/>
        <w:spacing w:after="0" w:line="247" w:lineRule="auto"/>
        <w:rPr>
          <w:sz w:val="20"/>
          <w:szCs w:val="20"/>
          <w:color w:val="auto"/>
        </w:rPr>
      </w:pPr>
      <w:r>
        <w:rPr>
          <w:rFonts w:ascii="Times New Roman" w:cs="Times New Roman" w:eastAsia="Times New Roman" w:hAnsi="Times New Roman"/>
          <w:sz w:val="14"/>
          <w:szCs w:val="14"/>
          <w:color w:val="auto"/>
        </w:rPr>
        <w:t>We file annual, quarterly and periodic reports, proxy statements and other information with the SEC. The SEC allows us to “incorporate by reference” into this prospectus supplement information which we file with it. This means that we can disclose important information to you by referring you to the documents containing that information and that such information will be regarded as an important part of this prospectus supplement. We encourage you to read the SEC filings incorporated by reference into this prospectus supplement before investing in the notes. Our SEC filings are available to the public on the SEC’s website (www.sec.gov). We make available free of charge most of our SEC filings through our website (www.lilly.com) as soon as reasonably practical after they are filed with the SEC. The information contained in, or that can be accessed through, our website is not a part of, or incorporated by reference in, this prospectus supplement.</w:t>
      </w:r>
    </w:p>
    <w:p>
      <w:pPr>
        <w:spacing w:after="0" w:line="147" w:lineRule="exact"/>
        <w:rPr>
          <w:sz w:val="20"/>
          <w:szCs w:val="20"/>
          <w:color w:val="auto"/>
        </w:rPr>
      </w:pPr>
    </w:p>
    <w:p>
      <w:pPr>
        <w:ind w:left="340" w:right="619" w:firstLine="333"/>
        <w:spacing w:after="0" w:line="264" w:lineRule="auto"/>
        <w:rPr>
          <w:sz w:val="20"/>
          <w:szCs w:val="20"/>
          <w:color w:val="auto"/>
        </w:rPr>
      </w:pPr>
      <w:r>
        <w:rPr>
          <w:rFonts w:ascii="Times New Roman" w:cs="Times New Roman" w:eastAsia="Times New Roman" w:hAnsi="Times New Roman"/>
          <w:sz w:val="14"/>
          <w:szCs w:val="14"/>
          <w:color w:val="auto"/>
        </w:rPr>
        <w:t>We incorporate by reference the following documents that we previously filed with the SEC (other than information in such documents that is deemed furnished and not filed):</w:t>
      </w:r>
    </w:p>
    <w:p>
      <w:pPr>
        <w:spacing w:after="0" w:line="65" w:lineRule="exact"/>
        <w:rPr>
          <w:sz w:val="20"/>
          <w:szCs w:val="20"/>
          <w:color w:val="auto"/>
        </w:rPr>
      </w:pPr>
    </w:p>
    <w:p>
      <w:pPr>
        <w:ind w:left="1080" w:right="679" w:hanging="334"/>
        <w:spacing w:after="0" w:line="254" w:lineRule="auto"/>
        <w:tabs>
          <w:tab w:leader="none" w:pos="10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56">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year ended December 31, 2025, filed with the SEC on February 12, 2026 (including the information incorporated by reference therein from our definitive proxy statement on </w:t>
      </w:r>
      <w:hyperlink r:id="rId57">
        <w:r>
          <w:rPr>
            <w:rFonts w:ascii="Times New Roman" w:cs="Times New Roman" w:eastAsia="Times New Roman" w:hAnsi="Times New Roman"/>
            <w:sz w:val="14"/>
            <w:szCs w:val="14"/>
            <w:u w:val="single" w:color="auto"/>
            <w:color w:val="0000EE"/>
          </w:rPr>
          <w:t>Schedule 14A</w:t>
        </w:r>
      </w:hyperlink>
      <w:r>
        <w:rPr>
          <w:rFonts w:ascii="Times New Roman" w:cs="Times New Roman" w:eastAsia="Times New Roman" w:hAnsi="Times New Roman"/>
          <w:sz w:val="14"/>
          <w:szCs w:val="14"/>
          <w:color w:val="auto"/>
        </w:rPr>
        <w:t>, filed with the SEC on March 20, 2026); and</w:t>
      </w:r>
    </w:p>
    <w:p>
      <w:pPr>
        <w:spacing w:after="0" w:line="70"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58">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 ended March 31, 2026, filed with the SEC on April 30, 2026.</w:t>
      </w:r>
    </w:p>
    <w:p>
      <w:pPr>
        <w:spacing w:after="0" w:line="166" w:lineRule="exact"/>
        <w:rPr>
          <w:rFonts w:ascii="Times New Roman" w:cs="Times New Roman" w:eastAsia="Times New Roman" w:hAnsi="Times New Roman"/>
          <w:sz w:val="14"/>
          <w:szCs w:val="14"/>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We also incorporate by reference any future filings we make with the SEC under Sections 13(a), 13(c), 14 or 15(d) of the Exchange Act on or after the date of this prospectus supplement until the date we have sold all of the notes offered pursuant to this prospectus supplement or this offering is otherwise terminated (other than any such filings or portions thereof, including any corresponding exhibits, that are not deemed filed with the SEC, including any information furnished under Item 2.02 or Item 7.01 of a Current Report on Form 8-K, unless otherwise indicated therein). Our future filings with the SEC will automatically update and supersede any inconsistent information in this prospectus supplement and in our other SEC filings, and such outdated or inconsistent information will no longer be regarded as part of this prospectus supplement.</w:t>
      </w:r>
    </w:p>
    <w:p>
      <w:pPr>
        <w:spacing w:after="0" w:line="150" w:lineRule="exact"/>
        <w:rPr>
          <w:rFonts w:ascii="Times New Roman" w:cs="Times New Roman" w:eastAsia="Times New Roman" w:hAnsi="Times New Roman"/>
          <w:sz w:val="14"/>
          <w:szCs w:val="14"/>
          <w:color w:val="auto"/>
        </w:rPr>
      </w:pPr>
    </w:p>
    <w:p>
      <w:pPr>
        <w:ind w:left="680"/>
        <w:spacing w:after="0"/>
        <w:rPr>
          <w:sz w:val="20"/>
          <w:szCs w:val="20"/>
          <w:color w:val="auto"/>
        </w:rPr>
      </w:pPr>
      <w:r>
        <w:rPr>
          <w:rFonts w:ascii="Times New Roman" w:cs="Times New Roman" w:eastAsia="Times New Roman" w:hAnsi="Times New Roman"/>
          <w:sz w:val="14"/>
          <w:szCs w:val="14"/>
          <w:color w:val="auto"/>
        </w:rPr>
        <w:t>You may also obtain a free copy of these filings by telephoning or writing to us at the following address and telephone number:</w:t>
      </w:r>
    </w:p>
    <w:p>
      <w:pPr>
        <w:spacing w:after="0" w:line="18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Eli Lilly and Company</w:t>
      </w:r>
    </w:p>
    <w:p>
      <w:pPr>
        <w:spacing w:after="0" w:line="14"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Lilly Corporate Center</w:t>
      </w:r>
    </w:p>
    <w:p>
      <w:pPr>
        <w:spacing w:after="0" w:line="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Indianapolis, Indiana 46285</w:t>
      </w:r>
    </w:p>
    <w:p>
      <w:pPr>
        <w:spacing w:after="0" w:line="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Telephone: (317) 276-2000</w:t>
      </w:r>
    </w:p>
    <w:p>
      <w:pPr>
        <w:spacing w:after="0" w:line="103"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S-39</w:t>
      </w:r>
    </w:p>
    <w:p>
      <w:pPr>
        <w:sectPr>
          <w:pgSz w:w="11900" w:h="16838" w:orient="portrait"/>
          <w:cols w:equalWidth="0" w:num="1">
            <w:col w:w="9019"/>
          </w:cols>
          <w:pgMar w:left="1440" w:top="235" w:right="1440" w:bottom="1440" w:gutter="0" w:footer="0" w:header="0"/>
        </w:sectPr>
      </w:pPr>
    </w:p>
    <w:bookmarkStart w:id="42" w:name="page43"/>
    <w:bookmarkEnd w:id="42"/>
    <w:p>
      <w:pPr>
        <w:ind w:left="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128905</wp:posOffset>
            </wp:positionV>
            <wp:extent cx="758825" cy="415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58825" cy="415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3"/>
          <w:szCs w:val="33"/>
          <w:b w:val="1"/>
          <w:bCs w:val="1"/>
          <w:color w:val="auto"/>
        </w:rPr>
        <w:t>Eli Lilly and Company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Depositary Shares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Stock Purchase Contracts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Stock Purchase Units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You should read this prospectus and the applicable prospectus supplement carefully before you invest in any of our securities.</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Under this prospectus, we may offer and sell, from time to time, in one or more offerings:</w:t>
      </w:r>
    </w:p>
    <w:p>
      <w:pPr>
        <w:spacing w:after="0" w:line="94" w:lineRule="exact"/>
        <w:rPr>
          <w:sz w:val="20"/>
          <w:szCs w:val="20"/>
          <w:color w:val="auto"/>
        </w:rPr>
      </w:pPr>
    </w:p>
    <w:p>
      <w:pPr>
        <w:ind w:left="1080" w:hanging="334"/>
        <w:spacing w:after="0"/>
        <w:tabs>
          <w:tab w:leader="none" w:pos="10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stock;</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depositary shares representing preferred stock;</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purchase contracts; and</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purchase units.</w:t>
      </w:r>
    </w:p>
    <w:p>
      <w:pPr>
        <w:spacing w:after="0" w:line="166" w:lineRule="exact"/>
        <w:rPr>
          <w:sz w:val="20"/>
          <w:szCs w:val="20"/>
          <w:color w:val="auto"/>
        </w:rPr>
      </w:pPr>
    </w:p>
    <w:p>
      <w:pPr>
        <w:jc w:val="both"/>
        <w:ind w:left="340" w:right="779" w:firstLine="333"/>
        <w:spacing w:after="0" w:line="264" w:lineRule="auto"/>
        <w:rPr>
          <w:sz w:val="20"/>
          <w:szCs w:val="20"/>
          <w:color w:val="auto"/>
        </w:rPr>
      </w:pPr>
      <w:r>
        <w:rPr>
          <w:rFonts w:ascii="Times New Roman" w:cs="Times New Roman" w:eastAsia="Times New Roman" w:hAnsi="Times New Roman"/>
          <w:sz w:val="14"/>
          <w:szCs w:val="14"/>
          <w:color w:val="auto"/>
        </w:rPr>
        <w:t>Our common stock is listed on the New York Stock Exchange under the symbol “LLY”. Our principal executive offices are located at Lilly Corporate Center, Indianapolis, Indiana 46285, and our telephone number is (317) 276-2000.</w:t>
      </w:r>
    </w:p>
    <w:p>
      <w:pPr>
        <w:spacing w:after="0" w:line="136" w:lineRule="exact"/>
        <w:rPr>
          <w:sz w:val="20"/>
          <w:szCs w:val="20"/>
          <w:color w:val="auto"/>
        </w:rPr>
      </w:pPr>
    </w:p>
    <w:p>
      <w:pPr>
        <w:ind w:left="340" w:right="519" w:firstLine="333"/>
        <w:spacing w:after="0" w:line="264" w:lineRule="auto"/>
        <w:rPr>
          <w:sz w:val="20"/>
          <w:szCs w:val="20"/>
          <w:color w:val="auto"/>
        </w:rPr>
      </w:pPr>
      <w:r>
        <w:rPr>
          <w:rFonts w:ascii="Times New Roman" w:cs="Times New Roman" w:eastAsia="Times New Roman" w:hAnsi="Times New Roman"/>
          <w:sz w:val="14"/>
          <w:szCs w:val="14"/>
          <w:color w:val="auto"/>
        </w:rPr>
        <w:t>The applicable prospectus supplement will contain the specific terms of the securities being offered thereby. This prospectus may not be used to sell securities unless accompanied by a prospectus supplement.</w:t>
      </w:r>
    </w:p>
    <w:p>
      <w:pPr>
        <w:spacing w:after="0" w:line="136" w:lineRule="exact"/>
        <w:rPr>
          <w:sz w:val="20"/>
          <w:szCs w:val="20"/>
          <w:color w:val="auto"/>
        </w:rPr>
      </w:pPr>
    </w:p>
    <w:p>
      <w:pPr>
        <w:ind w:left="340" w:right="419" w:firstLine="333"/>
        <w:spacing w:after="0" w:line="264" w:lineRule="auto"/>
        <w:rPr>
          <w:sz w:val="20"/>
          <w:szCs w:val="20"/>
          <w:color w:val="auto"/>
        </w:rPr>
      </w:pPr>
      <w:r>
        <w:rPr>
          <w:rFonts w:ascii="Times New Roman" w:cs="Times New Roman" w:eastAsia="Times New Roman" w:hAnsi="Times New Roman"/>
          <w:sz w:val="14"/>
          <w:szCs w:val="14"/>
          <w:color w:val="auto"/>
        </w:rPr>
        <w:t>We may sell these securities to or through underwriters, dealers or agents. We may also sell these securities directly or through our subsidiaries to purchasers.</w:t>
      </w:r>
    </w:p>
    <w:p>
      <w:pPr>
        <w:spacing w:after="0" w:line="124" w:lineRule="exact"/>
        <w:rPr>
          <w:sz w:val="20"/>
          <w:szCs w:val="20"/>
          <w:color w:val="auto"/>
        </w:rPr>
      </w:pPr>
    </w:p>
    <w:p>
      <w:pPr>
        <w:jc w:val="both"/>
        <w:ind w:left="340" w:right="799" w:firstLine="333"/>
        <w:spacing w:after="0" w:line="261" w:lineRule="auto"/>
        <w:rPr>
          <w:sz w:val="20"/>
          <w:szCs w:val="20"/>
          <w:color w:val="auto"/>
        </w:rPr>
      </w:pPr>
      <w:r>
        <w:rPr>
          <w:rFonts w:ascii="Times New Roman" w:cs="Times New Roman" w:eastAsia="Times New Roman" w:hAnsi="Times New Roman"/>
          <w:sz w:val="16"/>
          <w:szCs w:val="16"/>
          <w:b w:val="1"/>
          <w:bCs w:val="1"/>
          <w:color w:val="auto"/>
        </w:rPr>
        <w:t>Investing in our securities involves risks. See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on page 2 of this prospectus, as well as any risk factors contained in any prospectus supplement and the documents incorporated by reference herein and therein, before you make your investment decision.</w:t>
      </w:r>
    </w:p>
    <w:p>
      <w:pPr>
        <w:spacing w:after="0" w:line="122" w:lineRule="exact"/>
        <w:rPr>
          <w:sz w:val="20"/>
          <w:szCs w:val="20"/>
          <w:color w:val="auto"/>
        </w:rPr>
      </w:pPr>
    </w:p>
    <w:p>
      <w:pPr>
        <w:ind w:left="340" w:right="459" w:firstLine="333"/>
        <w:spacing w:after="0" w:line="270"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156845</wp:posOffset>
            </wp:positionV>
            <wp:extent cx="110871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prospectus is February 19, 2025.</w:t>
      </w:r>
    </w:p>
    <w:p>
      <w:pPr>
        <w:sectPr>
          <w:pgSz w:w="11900" w:h="16838" w:orient="portrait"/>
          <w:cols w:equalWidth="0" w:num="1">
            <w:col w:w="9019"/>
          </w:cols>
          <w:pgMar w:left="1440" w:top="235" w:right="1440"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TABLE OF CONTENTS</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126"/>
        </w:trPr>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6"/>
        </w:trPr>
        <w:tc>
          <w:tcPr>
            <w:tcW w:w="7480" w:type="dxa"/>
            <w:vAlign w:val="bottom"/>
            <w:gridSpan w:val="10"/>
          </w:tcPr>
          <w:p>
            <w:pPr>
              <w:spacing w:after="0" w:line="145" w:lineRule="exact"/>
              <w:rPr>
                <w:sz w:val="20"/>
                <w:szCs w:val="20"/>
                <w:color w:val="auto"/>
              </w:rPr>
            </w:pPr>
            <w:r>
              <w:rPr>
                <w:rFonts w:ascii="Times New Roman" w:cs="Times New Roman" w:eastAsia="Times New Roman" w:hAnsi="Times New Roman"/>
                <w:sz w:val="14"/>
                <w:szCs w:val="14"/>
                <w:color w:val="0000EE"/>
              </w:rPr>
              <w:t>ABOUT THIS PROSPECTUS</w:t>
            </w:r>
          </w:p>
        </w:tc>
        <w:tc>
          <w:tcPr>
            <w:tcW w:w="8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w:t>
            </w:r>
          </w:p>
        </w:tc>
      </w:tr>
      <w:tr>
        <w:trPr>
          <w:trHeight w:val="143"/>
        </w:trPr>
        <w:tc>
          <w:tcPr>
            <w:tcW w:w="1680" w:type="dxa"/>
            <w:vAlign w:val="bottom"/>
            <w:tcBorders>
              <w:top w:val="single" w:sz="8" w:color="0000EE"/>
            </w:tcBorders>
            <w:gridSpan w:val="7"/>
          </w:tcPr>
          <w:p>
            <w:pPr>
              <w:spacing w:after="0" w:line="143" w:lineRule="exact"/>
              <w:rPr>
                <w:sz w:val="20"/>
                <w:szCs w:val="20"/>
                <w:color w:val="auto"/>
              </w:rPr>
            </w:pPr>
            <w:r>
              <w:rPr>
                <w:rFonts w:ascii="Times New Roman" w:cs="Times New Roman" w:eastAsia="Times New Roman" w:hAnsi="Times New Roman"/>
                <w:sz w:val="14"/>
                <w:szCs w:val="14"/>
                <w:color w:val="0000EE"/>
              </w:rPr>
              <w:t>RISK FACTORS</w:t>
            </w:r>
          </w:p>
        </w:tc>
        <w:tc>
          <w:tcPr>
            <w:tcW w:w="5800" w:type="dxa"/>
            <w:vAlign w:val="bottom"/>
            <w:gridSpan w:val="3"/>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w:t>
            </w:r>
          </w:p>
        </w:tc>
      </w:tr>
      <w:tr>
        <w:trPr>
          <w:trHeight w:val="20"/>
        </w:trPr>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3"/>
        </w:trPr>
        <w:tc>
          <w:tcPr>
            <w:tcW w:w="7480" w:type="dxa"/>
            <w:vAlign w:val="bottom"/>
            <w:tcBorders>
              <w:bottom w:val="single" w:sz="8" w:color="0000EE"/>
            </w:tcBorders>
            <w:gridSpan w:val="10"/>
          </w:tcPr>
          <w:p>
            <w:pPr>
              <w:spacing w:after="0" w:line="143" w:lineRule="exact"/>
              <w:rPr>
                <w:sz w:val="20"/>
                <w:szCs w:val="20"/>
                <w:color w:val="auto"/>
              </w:rPr>
            </w:pPr>
            <w:r>
              <w:rPr>
                <w:rFonts w:ascii="Times New Roman" w:cs="Times New Roman" w:eastAsia="Times New Roman" w:hAnsi="Times New Roman"/>
                <w:sz w:val="14"/>
                <w:szCs w:val="14"/>
                <w:color w:val="0000EE"/>
                <w:w w:val="96"/>
              </w:rPr>
              <w:t>WHERE YOU CAN FIND MORE INFORMATION; DOCUMENTS INCORPORATED BY REFERENCE INTO THIS PROSPECTUS</w:t>
            </w:r>
          </w:p>
        </w:tc>
        <w:tc>
          <w:tcPr>
            <w:tcW w:w="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w:t>
            </w:r>
          </w:p>
        </w:tc>
      </w:tr>
      <w:tr>
        <w:trPr>
          <w:trHeight w:val="143"/>
        </w:trPr>
        <w:tc>
          <w:tcPr>
            <w:tcW w:w="1660" w:type="dxa"/>
            <w:vAlign w:val="bottom"/>
            <w:tcBorders>
              <w:bottom w:val="single" w:sz="8" w:color="0000EE"/>
            </w:tcBorders>
            <w:gridSpan w:val="6"/>
          </w:tcPr>
          <w:p>
            <w:pPr>
              <w:spacing w:after="0" w:line="143" w:lineRule="exact"/>
              <w:rPr>
                <w:sz w:val="20"/>
                <w:szCs w:val="20"/>
                <w:color w:val="auto"/>
              </w:rPr>
            </w:pPr>
            <w:r>
              <w:rPr>
                <w:rFonts w:ascii="Times New Roman" w:cs="Times New Roman" w:eastAsia="Times New Roman" w:hAnsi="Times New Roman"/>
                <w:sz w:val="14"/>
                <w:szCs w:val="14"/>
                <w:color w:val="0000EE"/>
                <w:w w:val="94"/>
              </w:rPr>
              <w:t>ELI LILLY AND COMPANY</w:t>
            </w:r>
          </w:p>
        </w:tc>
        <w:tc>
          <w:tcPr>
            <w:tcW w:w="5820" w:type="dxa"/>
            <w:vAlign w:val="bottom"/>
            <w:gridSpan w:val="4"/>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4</w:t>
            </w:r>
          </w:p>
        </w:tc>
      </w:tr>
      <w:tr>
        <w:trPr>
          <w:trHeight w:val="143"/>
        </w:trPr>
        <w:tc>
          <w:tcPr>
            <w:tcW w:w="4040" w:type="dxa"/>
            <w:vAlign w:val="bottom"/>
            <w:tcBorders>
              <w:bottom w:val="single" w:sz="8" w:color="0000EE"/>
            </w:tcBorders>
            <w:gridSpan w:val="9"/>
          </w:tcPr>
          <w:p>
            <w:pPr>
              <w:spacing w:after="0" w:line="143" w:lineRule="exact"/>
              <w:rPr>
                <w:sz w:val="20"/>
                <w:szCs w:val="20"/>
                <w:color w:val="auto"/>
              </w:rPr>
            </w:pPr>
            <w:r>
              <w:rPr>
                <w:rFonts w:ascii="Times New Roman" w:cs="Times New Roman" w:eastAsia="Times New Roman" w:hAnsi="Times New Roman"/>
                <w:sz w:val="14"/>
                <w:szCs w:val="14"/>
                <w:color w:val="0000EE"/>
                <w:w w:val="95"/>
              </w:rPr>
              <w:t>SPECIAL NOTE REGARDING FORWARD-LOOKING STATEMENTS</w:t>
            </w:r>
          </w:p>
        </w:tc>
        <w:tc>
          <w:tcPr>
            <w:tcW w:w="344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w:t>
            </w:r>
          </w:p>
        </w:tc>
      </w:tr>
      <w:tr>
        <w:trPr>
          <w:trHeight w:val="143"/>
        </w:trPr>
        <w:tc>
          <w:tcPr>
            <w:tcW w:w="1200" w:type="dxa"/>
            <w:vAlign w:val="bottom"/>
            <w:tcBorders>
              <w:bottom w:val="single" w:sz="8" w:color="0000EE"/>
            </w:tcBorders>
            <w:gridSpan w:val="4"/>
          </w:tcPr>
          <w:p>
            <w:pPr>
              <w:spacing w:after="0" w:line="143" w:lineRule="exact"/>
              <w:rPr>
                <w:sz w:val="20"/>
                <w:szCs w:val="20"/>
                <w:color w:val="auto"/>
              </w:rPr>
            </w:pPr>
            <w:r>
              <w:rPr>
                <w:rFonts w:ascii="Times New Roman" w:cs="Times New Roman" w:eastAsia="Times New Roman" w:hAnsi="Times New Roman"/>
                <w:sz w:val="14"/>
                <w:szCs w:val="14"/>
                <w:color w:val="0000EE"/>
                <w:w w:val="95"/>
              </w:rPr>
              <w:t>USE OF PROCEEDS</w:t>
            </w:r>
          </w:p>
        </w:tc>
        <w:tc>
          <w:tcPr>
            <w:tcW w:w="6280" w:type="dxa"/>
            <w:vAlign w:val="bottom"/>
            <w:gridSpan w:val="6"/>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w:t>
            </w:r>
          </w:p>
        </w:tc>
      </w:tr>
      <w:tr>
        <w:trPr>
          <w:trHeight w:val="143"/>
        </w:trPr>
        <w:tc>
          <w:tcPr>
            <w:tcW w:w="1900" w:type="dxa"/>
            <w:vAlign w:val="bottom"/>
            <w:tcBorders>
              <w:bottom w:val="single" w:sz="8" w:color="0000EE"/>
            </w:tcBorders>
            <w:gridSpan w:val="8"/>
          </w:tcPr>
          <w:p>
            <w:pPr>
              <w:spacing w:after="0" w:line="143" w:lineRule="exact"/>
              <w:rPr>
                <w:sz w:val="20"/>
                <w:szCs w:val="20"/>
                <w:color w:val="auto"/>
              </w:rPr>
            </w:pPr>
            <w:r>
              <w:rPr>
                <w:rFonts w:ascii="Times New Roman" w:cs="Times New Roman" w:eastAsia="Times New Roman" w:hAnsi="Times New Roman"/>
                <w:sz w:val="14"/>
                <w:szCs w:val="14"/>
                <w:color w:val="0000EE"/>
                <w:w w:val="96"/>
              </w:rPr>
              <w:t>DESCRIPTION OF SECURITIES</w:t>
            </w:r>
          </w:p>
        </w:tc>
        <w:tc>
          <w:tcPr>
            <w:tcW w:w="5580" w:type="dxa"/>
            <w:vAlign w:val="bottom"/>
            <w:gridSpan w:val="2"/>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8</w:t>
            </w:r>
          </w:p>
        </w:tc>
      </w:tr>
      <w:tr>
        <w:trPr>
          <w:trHeight w:val="143"/>
        </w:trPr>
        <w:tc>
          <w:tcPr>
            <w:tcW w:w="7480" w:type="dxa"/>
            <w:vAlign w:val="bottom"/>
            <w:gridSpan w:val="10"/>
          </w:tcPr>
          <w:p>
            <w:pPr>
              <w:spacing w:after="0" w:line="143" w:lineRule="exact"/>
              <w:rPr>
                <w:sz w:val="20"/>
                <w:szCs w:val="20"/>
                <w:color w:val="auto"/>
              </w:rPr>
            </w:pPr>
            <w:r>
              <w:rPr>
                <w:rFonts w:ascii="Times New Roman" w:cs="Times New Roman" w:eastAsia="Times New Roman" w:hAnsi="Times New Roman"/>
                <w:sz w:val="14"/>
                <w:szCs w:val="14"/>
                <w:color w:val="0000EE"/>
              </w:rPr>
              <w:t>PLAN OF DISTRIBUTION</w:t>
            </w:r>
          </w:p>
        </w:tc>
        <w:tc>
          <w:tcPr>
            <w:tcW w:w="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30</w:t>
            </w:r>
          </w:p>
        </w:tc>
      </w:tr>
      <w:tr>
        <w:trPr>
          <w:trHeight w:val="143"/>
        </w:trPr>
        <w:tc>
          <w:tcPr>
            <w:tcW w:w="1100" w:type="dxa"/>
            <w:vAlign w:val="bottom"/>
            <w:tcBorders>
              <w:top w:val="single" w:sz="8" w:color="0000EE"/>
              <w:bottom w:val="single" w:sz="8" w:color="0000EE"/>
            </w:tcBorders>
            <w:gridSpan w:val="3"/>
          </w:tcPr>
          <w:p>
            <w:pPr>
              <w:spacing w:after="0" w:line="143" w:lineRule="exact"/>
              <w:rPr>
                <w:sz w:val="20"/>
                <w:szCs w:val="20"/>
                <w:color w:val="auto"/>
              </w:rPr>
            </w:pPr>
            <w:r>
              <w:rPr>
                <w:rFonts w:ascii="Times New Roman" w:cs="Times New Roman" w:eastAsia="Times New Roman" w:hAnsi="Times New Roman"/>
                <w:sz w:val="14"/>
                <w:szCs w:val="14"/>
                <w:color w:val="0000EE"/>
                <w:w w:val="94"/>
              </w:rPr>
              <w:t>LEGAL MATTERS</w:t>
            </w:r>
          </w:p>
        </w:tc>
        <w:tc>
          <w:tcPr>
            <w:tcW w:w="440" w:type="dxa"/>
            <w:vAlign w:val="bottom"/>
            <w:tcBorders>
              <w:top w:val="single" w:sz="8" w:color="0000EE"/>
            </w:tcBorders>
            <w:gridSpan w:val="2"/>
          </w:tcPr>
          <w:p>
            <w:pPr>
              <w:spacing w:after="0"/>
              <w:rPr>
                <w:sz w:val="12"/>
                <w:szCs w:val="12"/>
                <w:color w:val="auto"/>
              </w:rPr>
            </w:pPr>
          </w:p>
        </w:tc>
        <w:tc>
          <w:tcPr>
            <w:tcW w:w="5940" w:type="dxa"/>
            <w:vAlign w:val="bottom"/>
            <w:gridSpan w:val="5"/>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31</w:t>
            </w:r>
          </w:p>
        </w:tc>
      </w:tr>
      <w:tr>
        <w:trPr>
          <w:trHeight w:val="143"/>
        </w:trPr>
        <w:tc>
          <w:tcPr>
            <w:tcW w:w="580" w:type="dxa"/>
            <w:vAlign w:val="bottom"/>
            <w:tcBorders>
              <w:bottom w:val="single" w:sz="8" w:color="0000EE"/>
            </w:tcBorders>
          </w:tcPr>
          <w:p>
            <w:pPr>
              <w:spacing w:after="0" w:line="143" w:lineRule="exact"/>
              <w:rPr>
                <w:sz w:val="20"/>
                <w:szCs w:val="20"/>
                <w:color w:val="auto"/>
              </w:rPr>
            </w:pPr>
            <w:r>
              <w:rPr>
                <w:rFonts w:ascii="Times New Roman" w:cs="Times New Roman" w:eastAsia="Times New Roman" w:hAnsi="Times New Roman"/>
                <w:sz w:val="14"/>
                <w:szCs w:val="14"/>
                <w:color w:val="0000EE"/>
                <w:w w:val="92"/>
              </w:rPr>
              <w:t>EXPERTS</w:t>
            </w:r>
          </w:p>
        </w:tc>
        <w:tc>
          <w:tcPr>
            <w:tcW w:w="6900" w:type="dxa"/>
            <w:vAlign w:val="bottom"/>
            <w:gridSpan w:val="9"/>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31</w:t>
            </w:r>
          </w:p>
        </w:tc>
      </w:tr>
    </w:tbl>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5"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ABOUT THIS PROSPECTUS</w:t>
      </w:r>
    </w:p>
    <w:p>
      <w:pPr>
        <w:spacing w:after="0" w:line="170" w:lineRule="exact"/>
        <w:rPr>
          <w:sz w:val="20"/>
          <w:szCs w:val="20"/>
          <w:color w:val="auto"/>
        </w:rPr>
      </w:pPr>
    </w:p>
    <w:p>
      <w:pPr>
        <w:ind w:left="340" w:right="699" w:firstLine="333"/>
        <w:spacing w:after="0" w:line="316" w:lineRule="auto"/>
        <w:rPr>
          <w:sz w:val="20"/>
          <w:szCs w:val="20"/>
          <w:color w:val="auto"/>
        </w:rPr>
      </w:pPr>
      <w:r>
        <w:rPr>
          <w:rFonts w:ascii="Times New Roman" w:cs="Times New Roman" w:eastAsia="Times New Roman" w:hAnsi="Times New Roman"/>
          <w:sz w:val="12"/>
          <w:szCs w:val="12"/>
          <w:color w:val="auto"/>
        </w:rPr>
        <w:t>This prospectus is part of an automatic shelf registration statement that we filed with the Securities and Exchange Commission, or SEC, as a “well-known seasoned issuer,” as defined under Rule 405 under the Securities Act of 1933, as amended, or the Securities Act. Under this shelf registration process, we may, from time to time, in one or more offerings, offer and sell any of the securities described in this prospectus.</w:t>
      </w:r>
    </w:p>
    <w:p>
      <w:pPr>
        <w:spacing w:after="0" w:line="109" w:lineRule="exact"/>
        <w:rPr>
          <w:sz w:val="20"/>
          <w:szCs w:val="20"/>
          <w:color w:val="auto"/>
        </w:rPr>
      </w:pPr>
    </w:p>
    <w:p>
      <w:pPr>
        <w:ind w:left="340" w:right="399" w:firstLine="333"/>
        <w:spacing w:after="0" w:line="300" w:lineRule="auto"/>
        <w:rPr>
          <w:sz w:val="20"/>
          <w:szCs w:val="20"/>
          <w:color w:val="auto"/>
        </w:rPr>
      </w:pPr>
      <w:r>
        <w:rPr>
          <w:rFonts w:ascii="Times New Roman" w:cs="Times New Roman" w:eastAsia="Times New Roman" w:hAnsi="Times New Roman"/>
          <w:sz w:val="12"/>
          <w:szCs w:val="12"/>
          <w:color w:val="auto"/>
        </w:rPr>
        <w:t>This prospectus provides you with a general description of the securities we may offer. Each time we offer any of these securities, we will prepare a prospectus supplement that will contain certain specific information about the terms of that offering and the securities being offered thereby. The applicable prospectus supplement may also add, update or change information contained in this prospectus. You should read this prospectus and the applicable prospectus supplement together with the additional information described under the heading “Where You Can Find More Information; Documents Incorporated by Reference into this Prospectus” in this prospectus in their entirety before investing in any of our securities.</w:t>
      </w:r>
    </w:p>
    <w:p>
      <w:pPr>
        <w:spacing w:after="0" w:line="118" w:lineRule="exact"/>
        <w:rPr>
          <w:sz w:val="20"/>
          <w:szCs w:val="20"/>
          <w:color w:val="auto"/>
        </w:rPr>
      </w:pPr>
    </w:p>
    <w:p>
      <w:pPr>
        <w:ind w:left="340" w:right="379" w:firstLine="333"/>
        <w:spacing w:after="0" w:line="247" w:lineRule="auto"/>
        <w:rPr>
          <w:sz w:val="20"/>
          <w:szCs w:val="20"/>
          <w:color w:val="auto"/>
        </w:rPr>
      </w:pPr>
      <w:r>
        <w:rPr>
          <w:rFonts w:ascii="Times New Roman" w:cs="Times New Roman" w:eastAsia="Times New Roman" w:hAnsi="Times New Roman"/>
          <w:sz w:val="14"/>
          <w:szCs w:val="14"/>
          <w:color w:val="auto"/>
        </w:rPr>
        <w:t>The registration statement that contains this prospectus, and the exhibits to the registration statement, contain additional information about us and the securities that we may offer under this prospectus. Statements contained in this prospectus as to the contents of any contract or other document are not necessarily complete, and in each instance reference is made to the copy of that contract or other document filed as an exhibit to the registration statement, each such statement being qualified in all respects by that reference and the exhibits and schedules thereto. The registration statement and exhibits can be read at the SEC’s website mentioned under the heading “Where You Can Find More Information; Documents Incorporated by Reference into this Prospectus” in this prospectus.</w:t>
      </w:r>
    </w:p>
    <w:p>
      <w:pPr>
        <w:spacing w:after="0" w:line="150" w:lineRule="exact"/>
        <w:rPr>
          <w:sz w:val="20"/>
          <w:szCs w:val="20"/>
          <w:color w:val="auto"/>
        </w:rPr>
      </w:pPr>
    </w:p>
    <w:p>
      <w:pPr>
        <w:ind w:left="340" w:right="499" w:firstLine="333"/>
        <w:spacing w:after="0" w:line="305" w:lineRule="auto"/>
        <w:rPr>
          <w:sz w:val="20"/>
          <w:szCs w:val="20"/>
          <w:color w:val="auto"/>
        </w:rPr>
      </w:pPr>
      <w:r>
        <w:rPr>
          <w:rFonts w:ascii="Times New Roman" w:cs="Times New Roman" w:eastAsia="Times New Roman" w:hAnsi="Times New Roman"/>
          <w:sz w:val="12"/>
          <w:szCs w:val="12"/>
          <w:color w:val="auto"/>
        </w:rPr>
        <w:t>We may include agreements as exhibits to the registration statement of which this prospectus forms a part. In reviewing such agreements, please remember they are included to provide you with information regarding their terms and are not intended to provide any other factual or disclosure information about us or the other parties to the agreements. The agreements may contain representations and warranties by each of the parties to the applicable agreement. These representations and warranties have been made solely for the benefit of the other parties to the applicable agreement and:</w:t>
      </w:r>
    </w:p>
    <w:p>
      <w:pPr>
        <w:spacing w:after="0" w:line="44" w:lineRule="exact"/>
        <w:rPr>
          <w:sz w:val="20"/>
          <w:szCs w:val="20"/>
          <w:color w:val="auto"/>
        </w:rPr>
      </w:pPr>
    </w:p>
    <w:p>
      <w:pPr>
        <w:ind w:left="1080" w:right="619" w:hanging="334"/>
        <w:spacing w:after="0" w:line="264" w:lineRule="auto"/>
        <w:tabs>
          <w:tab w:leader="none" w:pos="10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should not be treated as categorical statements of fact, but rather as a way of allocating the risk to one of the parties if those statements prove to be inaccurate;</w:t>
      </w:r>
    </w:p>
    <w:p>
      <w:pPr>
        <w:spacing w:after="0" w:line="64" w:lineRule="exact"/>
        <w:rPr>
          <w:rFonts w:ascii="Times New Roman" w:cs="Times New Roman" w:eastAsia="Times New Roman" w:hAnsi="Times New Roman"/>
          <w:sz w:val="14"/>
          <w:szCs w:val="14"/>
          <w:color w:val="auto"/>
        </w:rPr>
      </w:pPr>
    </w:p>
    <w:p>
      <w:pPr>
        <w:ind w:left="1080" w:right="499" w:hanging="334"/>
        <w:spacing w:after="0" w:line="264" w:lineRule="auto"/>
        <w:tabs>
          <w:tab w:leader="none" w:pos="10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have been qualified by disclosures that were made to the other party in connection with the negotiation of the applicable agreement, which disclosures would not necessarily be reflected in the agreement;</w:t>
      </w:r>
    </w:p>
    <w:p>
      <w:pPr>
        <w:spacing w:after="0" w:line="64" w:lineRule="exact"/>
        <w:rPr>
          <w:rFonts w:ascii="Times New Roman" w:cs="Times New Roman" w:eastAsia="Times New Roman" w:hAnsi="Times New Roman"/>
          <w:sz w:val="14"/>
          <w:szCs w:val="14"/>
          <w:color w:val="auto"/>
        </w:rPr>
      </w:pPr>
    </w:p>
    <w:p>
      <w:pPr>
        <w:ind w:left="1080" w:right="899" w:hanging="334"/>
        <w:spacing w:after="0" w:line="264" w:lineRule="auto"/>
        <w:tabs>
          <w:tab w:leader="none" w:pos="10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apply standards of materiality in a way that is different from what may be viewed as material to you or other investors in our securities; and</w:t>
      </w:r>
    </w:p>
    <w:p>
      <w:pPr>
        <w:spacing w:after="0" w:line="64" w:lineRule="exact"/>
        <w:rPr>
          <w:rFonts w:ascii="Times New Roman" w:cs="Times New Roman" w:eastAsia="Times New Roman" w:hAnsi="Times New Roman"/>
          <w:sz w:val="14"/>
          <w:szCs w:val="14"/>
          <w:color w:val="auto"/>
        </w:rPr>
      </w:pPr>
    </w:p>
    <w:p>
      <w:pPr>
        <w:ind w:left="1080" w:right="479" w:hanging="334"/>
        <w:spacing w:after="0" w:line="264" w:lineRule="auto"/>
        <w:tabs>
          <w:tab w:leader="none" w:pos="10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were made only as of the date of the applicable agreement or such other date or dates as may be specified in the agreement, are subject to more recent developments, and therefore may no longer be accurate.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5" w:right="1440"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RISK FACTORS</w:t>
      </w:r>
    </w:p>
    <w:p>
      <w:pPr>
        <w:spacing w:after="0" w:line="170" w:lineRule="exact"/>
        <w:rPr>
          <w:sz w:val="20"/>
          <w:szCs w:val="20"/>
          <w:color w:val="auto"/>
        </w:rPr>
      </w:pPr>
    </w:p>
    <w:p>
      <w:pPr>
        <w:ind w:left="340" w:right="379" w:firstLine="333"/>
        <w:spacing w:after="0" w:line="247" w:lineRule="auto"/>
        <w:rPr>
          <w:sz w:val="20"/>
          <w:szCs w:val="20"/>
          <w:color w:val="auto"/>
        </w:rPr>
      </w:pPr>
      <w:r>
        <w:rPr>
          <w:rFonts w:ascii="Times New Roman" w:cs="Times New Roman" w:eastAsia="Times New Roman" w:hAnsi="Times New Roman"/>
          <w:sz w:val="14"/>
          <w:szCs w:val="14"/>
          <w:color w:val="auto"/>
        </w:rPr>
        <w:t>Our business is subject to uncertainties and risks, and an investment in our securities involves risks. You should carefully consider and evaluate all of the information included and incorporated by reference in this prospectus, including the risk factors incorporated by reference from our most recent Annual Report on Form 10-K, as updated by our Quarterly Reports on Form 10-Q and other SEC filings, before investing in our securities. We may include additional risks related to the securities being offered in the prospectus supplement relating to that offering. It is possible that our business, financial condition, liquidity, cash flows, results of operations, reputation and prospects could be materially adversely affected by any of these risks or additional risks and uncertainties not presently known to us or that we currently believe to be immaterial.</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5" w:right="1440"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WHERE YOU CAN FIND MORE INFORMATION;</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 INTO THIS PROSPECTUS</w:t>
      </w:r>
    </w:p>
    <w:p>
      <w:pPr>
        <w:spacing w:after="0" w:line="154" w:lineRule="exact"/>
        <w:rPr>
          <w:sz w:val="20"/>
          <w:szCs w:val="20"/>
          <w:color w:val="auto"/>
        </w:rPr>
      </w:pPr>
    </w:p>
    <w:p>
      <w:pPr>
        <w:ind w:left="340" w:right="399" w:firstLine="333"/>
        <w:spacing w:after="0" w:line="247" w:lineRule="auto"/>
        <w:rPr>
          <w:sz w:val="20"/>
          <w:szCs w:val="20"/>
          <w:color w:val="auto"/>
        </w:rPr>
      </w:pPr>
      <w:r>
        <w:rPr>
          <w:rFonts w:ascii="Times New Roman" w:cs="Times New Roman" w:eastAsia="Times New Roman" w:hAnsi="Times New Roman"/>
          <w:sz w:val="14"/>
          <w:szCs w:val="14"/>
          <w:color w:val="auto"/>
        </w:rPr>
        <w:t>We file annual, quarterly and periodic reports, proxy statements and other information with the SEC. The SEC allows us to “incorporate by reference” into this prospectus information which we file with it. This means that we can disclose important information to you by referring you to the documents containing that information and that such information will be regarded as an important part of this prospectus. We encourage you to read the SEC filings incorporated by reference into this prospectus before investing in any of our securities. Our SEC filings are available to the public on the SEC’s website (www.sec.gov). We make available free of charge most of our SEC filings through our website (www.lilly.com) as soon as reasonably practical after they are filed with the SEC. The information contained in, or that can be accessed through, our website is not a part of, or incorporated by reference in, this prospectus.</w:t>
      </w:r>
    </w:p>
    <w:p>
      <w:pPr>
        <w:spacing w:after="0" w:line="147" w:lineRule="exact"/>
        <w:rPr>
          <w:sz w:val="20"/>
          <w:szCs w:val="20"/>
          <w:color w:val="auto"/>
        </w:rPr>
      </w:pPr>
    </w:p>
    <w:p>
      <w:pPr>
        <w:ind w:left="340" w:right="619" w:firstLine="333"/>
        <w:spacing w:after="0" w:line="264" w:lineRule="auto"/>
        <w:rPr>
          <w:sz w:val="20"/>
          <w:szCs w:val="20"/>
          <w:color w:val="auto"/>
        </w:rPr>
      </w:pPr>
      <w:r>
        <w:rPr>
          <w:rFonts w:ascii="Times New Roman" w:cs="Times New Roman" w:eastAsia="Times New Roman" w:hAnsi="Times New Roman"/>
          <w:sz w:val="14"/>
          <w:szCs w:val="14"/>
          <w:color w:val="auto"/>
        </w:rPr>
        <w:t>We incorporate by reference the following documents that we previously filed with the SEC (other than information in such documents that is deemed furnished and not filed):</w:t>
      </w:r>
    </w:p>
    <w:p>
      <w:pPr>
        <w:spacing w:after="0" w:line="65" w:lineRule="exact"/>
        <w:rPr>
          <w:sz w:val="20"/>
          <w:szCs w:val="20"/>
          <w:color w:val="auto"/>
        </w:rPr>
      </w:pPr>
    </w:p>
    <w:p>
      <w:pPr>
        <w:ind w:left="1080" w:hanging="334"/>
        <w:spacing w:after="0"/>
        <w:tabs>
          <w:tab w:leader="none" w:pos="10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66">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 filed with the SEC on February 19, 2025;</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 on </w:t>
      </w:r>
      <w:hyperlink r:id="rId67">
        <w:r>
          <w:rPr>
            <w:rFonts w:ascii="Times New Roman" w:cs="Times New Roman" w:eastAsia="Times New Roman" w:hAnsi="Times New Roman"/>
            <w:sz w:val="14"/>
            <w:szCs w:val="14"/>
            <w:u w:val="single" w:color="auto"/>
            <w:color w:val="0000EE"/>
          </w:rPr>
          <w:t>Form 8-K</w:t>
        </w:r>
      </w:hyperlink>
      <w:r>
        <w:rPr>
          <w:rFonts w:ascii="Times New Roman" w:cs="Times New Roman" w:eastAsia="Times New Roman" w:hAnsi="Times New Roman"/>
          <w:sz w:val="14"/>
          <w:szCs w:val="14"/>
          <w:color w:val="auto"/>
        </w:rPr>
        <w:t>, filed with the SEC on February 12, 2025; and</w:t>
      </w:r>
    </w:p>
    <w:p>
      <w:pPr>
        <w:spacing w:after="0" w:line="94" w:lineRule="exact"/>
        <w:rPr>
          <w:rFonts w:ascii="Times New Roman" w:cs="Times New Roman" w:eastAsia="Times New Roman" w:hAnsi="Times New Roman"/>
          <w:sz w:val="14"/>
          <w:szCs w:val="14"/>
          <w:color w:val="auto"/>
        </w:rPr>
      </w:pPr>
    </w:p>
    <w:p>
      <w:pPr>
        <w:ind w:left="1080" w:right="359" w:hanging="334"/>
        <w:spacing w:after="0" w:line="250" w:lineRule="auto"/>
        <w:tabs>
          <w:tab w:leader="none" w:pos="1080" w:val="left"/>
        </w:tabs>
        <w:numPr>
          <w:ilvl w:val="0"/>
          <w:numId w:val="20"/>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description of our common stock contained in our registration statement under the Securities Exchange Act of 1934, as amended, or the Exchange Act, with respect to that common stock filed with the SEC, as amended by the description of our common stock contained in </w:t>
      </w:r>
      <w:hyperlink r:id="rId68">
        <w:r>
          <w:rPr>
            <w:rFonts w:ascii="Times New Roman" w:cs="Times New Roman" w:eastAsia="Times New Roman" w:hAnsi="Times New Roman"/>
            <w:sz w:val="14"/>
            <w:szCs w:val="14"/>
            <w:u w:val="single" w:color="auto"/>
            <w:color w:val="0000EE"/>
          </w:rPr>
          <w:t>Exhibit 4.3</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to</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our Annual Report on Form 10-K for the year ended December 31, 2023 and as amended by any subsequent amendments or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reports filed for the purpose of updating such description.</w:t>
      </w:r>
    </w:p>
    <w:p>
      <w:pPr>
        <w:spacing w:after="0" w:line="146" w:lineRule="exact"/>
        <w:rPr>
          <w:rFonts w:ascii="Times New Roman" w:cs="Times New Roman" w:eastAsia="Times New Roman" w:hAnsi="Times New Roman"/>
          <w:sz w:val="14"/>
          <w:szCs w:val="14"/>
          <w:color w:val="auto"/>
        </w:rPr>
      </w:pPr>
    </w:p>
    <w:p>
      <w:pPr>
        <w:ind w:left="340" w:right="359" w:firstLine="333"/>
        <w:spacing w:after="0" w:line="247" w:lineRule="auto"/>
        <w:rPr>
          <w:sz w:val="20"/>
          <w:szCs w:val="20"/>
          <w:color w:val="auto"/>
        </w:rPr>
      </w:pPr>
      <w:r>
        <w:rPr>
          <w:rFonts w:ascii="Times New Roman" w:cs="Times New Roman" w:eastAsia="Times New Roman" w:hAnsi="Times New Roman"/>
          <w:sz w:val="14"/>
          <w:szCs w:val="14"/>
          <w:color w:val="auto"/>
        </w:rPr>
        <w:t>We also incorporate by reference any future filings we make with the SEC under Sections 13(a), 13(c), 14 or 15(d) of the Exchange Act on or after the date of this prospectus and, in the case of any particular offering of securities, until such offering of securities is terminated (other than any such filings or portions thereof, including any corresponding exhibits, that are not deemed filed with the SEC, including any information furnished under Item 2.02 or Item 7.01 of a Current Report on Form 8-K, unless otherwise indicated therein). Our future filings with the SEC will automatically update and supersede any inconsistent information in this prospectus and in our other SEC filings, and such outdated or inconsistent information will no longer be regarded as part of this prospectus.</w:t>
      </w:r>
    </w:p>
    <w:p>
      <w:pPr>
        <w:spacing w:after="0" w:line="150" w:lineRule="exact"/>
        <w:rPr>
          <w:rFonts w:ascii="Times New Roman" w:cs="Times New Roman" w:eastAsia="Times New Roman" w:hAnsi="Times New Roman"/>
          <w:sz w:val="14"/>
          <w:szCs w:val="14"/>
          <w:color w:val="auto"/>
        </w:rPr>
      </w:pPr>
    </w:p>
    <w:p>
      <w:pPr>
        <w:ind w:left="680"/>
        <w:spacing w:after="0"/>
        <w:rPr>
          <w:sz w:val="20"/>
          <w:szCs w:val="20"/>
          <w:color w:val="auto"/>
        </w:rPr>
      </w:pPr>
      <w:r>
        <w:rPr>
          <w:rFonts w:ascii="Times New Roman" w:cs="Times New Roman" w:eastAsia="Times New Roman" w:hAnsi="Times New Roman"/>
          <w:sz w:val="14"/>
          <w:szCs w:val="14"/>
          <w:color w:val="auto"/>
        </w:rPr>
        <w:t>You may also obtain a free copy of these filings by telephoning or writing to us at the following address and telephone number:</w:t>
      </w:r>
    </w:p>
    <w:p>
      <w:pPr>
        <w:spacing w:after="0" w:line="16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Eli Lilly and Company</w:t>
      </w:r>
    </w:p>
    <w:p>
      <w:pPr>
        <w:spacing w:after="0" w:line="14"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Lilly Corporate Center</w:t>
      </w:r>
    </w:p>
    <w:p>
      <w:pPr>
        <w:spacing w:after="0" w:line="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Indianapolis, Indiana 46285</w:t>
      </w:r>
    </w:p>
    <w:p>
      <w:pPr>
        <w:spacing w:after="0" w:line="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Telephone: (317) 276-2000</w:t>
      </w:r>
    </w:p>
    <w:p>
      <w:pPr>
        <w:spacing w:after="0" w:line="154" w:lineRule="exact"/>
        <w:rPr>
          <w:rFonts w:ascii="Times New Roman" w:cs="Times New Roman" w:eastAsia="Times New Roman" w:hAnsi="Times New Roman"/>
          <w:sz w:val="14"/>
          <w:szCs w:val="14"/>
          <w:color w:val="auto"/>
        </w:rPr>
      </w:pPr>
    </w:p>
    <w:p>
      <w:pPr>
        <w:ind w:left="340" w:right="359" w:firstLine="333"/>
        <w:spacing w:after="0" w:line="248" w:lineRule="auto"/>
        <w:rPr>
          <w:sz w:val="20"/>
          <w:szCs w:val="20"/>
          <w:color w:val="auto"/>
        </w:rPr>
      </w:pPr>
      <w:r>
        <w:rPr>
          <w:rFonts w:ascii="Times New Roman" w:cs="Times New Roman" w:eastAsia="Times New Roman" w:hAnsi="Times New Roman"/>
          <w:sz w:val="14"/>
          <w:szCs w:val="14"/>
          <w:color w:val="auto"/>
        </w:rPr>
        <w:t>We are not making an offer to sell, or the solicitation of an offer to buy, any of these securities in any jurisdiction where an offer or sale is not permitted. You should not assume that the information contained in this prospectus or the applicable prospectus supplement is accurate as of any date other than the date on the front cover of this prospectus or the applicable prospectus supplement, as the case may be, or that the information incorporated by reference herein and therein is accurate as of any date other than the date of the relevant report or other document in which such information is contained.</w:t>
      </w:r>
    </w:p>
    <w:p>
      <w:pPr>
        <w:spacing w:after="0" w:line="98"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5" w:right="1440"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ELI LILLY AND COMPANY</w:t>
      </w:r>
    </w:p>
    <w:p>
      <w:pPr>
        <w:spacing w:after="0" w:line="170" w:lineRule="exact"/>
        <w:rPr>
          <w:sz w:val="20"/>
          <w:szCs w:val="20"/>
          <w:color w:val="auto"/>
        </w:rPr>
      </w:pPr>
    </w:p>
    <w:p>
      <w:pPr>
        <w:ind w:left="340" w:right="419" w:firstLine="333"/>
        <w:spacing w:after="0" w:line="247" w:lineRule="auto"/>
        <w:rPr>
          <w:sz w:val="20"/>
          <w:szCs w:val="20"/>
          <w:color w:val="auto"/>
        </w:rPr>
      </w:pPr>
      <w:r>
        <w:rPr>
          <w:rFonts w:ascii="Times New Roman" w:cs="Times New Roman" w:eastAsia="Times New Roman" w:hAnsi="Times New Roman"/>
          <w:sz w:val="14"/>
          <w:szCs w:val="14"/>
          <w:color w:val="auto"/>
        </w:rPr>
        <w:t>We are a worldwide research-based pharmaceutical company. We were incorporated in 1901 in Indiana to succeed to the drug manufacturing business founded in Indianapolis, Indiana, in 1876 by Colonel Eli Lilly. We discover, develop, manufacture and market products in a single business segment—human pharmaceutical products. Our purpose is to unite caring with discovery to create medicines that make life better for people around the world. Our long-term success depends on our ability to continually discover or acquire, develop and commercialize innovative medicines. We manufacture and distribute our products through facilities in the United States, including Puerto Rico, and in Europe and Asia. Our products are sold in approximately 95 countries.</w:t>
      </w:r>
    </w:p>
    <w:p>
      <w:pPr>
        <w:spacing w:after="0" w:line="150" w:lineRule="exact"/>
        <w:rPr>
          <w:sz w:val="20"/>
          <w:szCs w:val="20"/>
          <w:color w:val="auto"/>
        </w:rPr>
      </w:pPr>
    </w:p>
    <w:p>
      <w:pPr>
        <w:ind w:left="340" w:right="399" w:firstLine="333"/>
        <w:spacing w:after="0" w:line="254" w:lineRule="auto"/>
        <w:rPr>
          <w:sz w:val="20"/>
          <w:szCs w:val="20"/>
          <w:color w:val="auto"/>
        </w:rPr>
      </w:pPr>
      <w:r>
        <w:rPr>
          <w:rFonts w:ascii="Times New Roman" w:cs="Times New Roman" w:eastAsia="Times New Roman" w:hAnsi="Times New Roman"/>
          <w:sz w:val="14"/>
          <w:szCs w:val="14"/>
          <w:color w:val="auto"/>
        </w:rPr>
        <w:t>Our corporate offices are located at Lilly Corporate Center, Indianapolis, Indiana 46285, our telephone number is (317) 276-2000 and our website is www.lilly.com. We have included our website address in this prospectus solely as an inactive textual reference and the information contained in, or that can be accessed through, our website is not a part of, or incorporated by reference in, this prospectus.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5" w:right="1440"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SPECIAL NOTE REGARDING FORWARD-LOOKING STATEMENTS</w:t>
      </w:r>
    </w:p>
    <w:p>
      <w:pPr>
        <w:spacing w:after="0" w:line="170" w:lineRule="exact"/>
        <w:rPr>
          <w:sz w:val="20"/>
          <w:szCs w:val="20"/>
          <w:color w:val="auto"/>
        </w:rPr>
      </w:pPr>
    </w:p>
    <w:p>
      <w:pPr>
        <w:ind w:left="340" w:right="439" w:firstLine="333"/>
        <w:spacing w:after="0" w:line="248" w:lineRule="auto"/>
        <w:rPr>
          <w:sz w:val="20"/>
          <w:szCs w:val="20"/>
          <w:color w:val="auto"/>
        </w:rPr>
      </w:pPr>
      <w:r>
        <w:rPr>
          <w:rFonts w:ascii="Times New Roman" w:cs="Times New Roman" w:eastAsia="Times New Roman" w:hAnsi="Times New Roman"/>
          <w:sz w:val="14"/>
          <w:szCs w:val="14"/>
          <w:color w:val="auto"/>
        </w:rPr>
        <w:t>This prospectus and the information included or incorporated by reference herein and therein include forward-looking statements within the meaning of Section 27A of the Securities Act and Section 21E of the Exchange Act, and are subject to the safe harbor created thereby under the Private Securities Litigation Reform Act of 1995. Forward-looking statements include all statements that do not relate solely to historical or current facts, and generally can be identified by the use of words such as “may,” “could,” “aim,” “seek,” “believe,” “will,” “expect,” “project,” “estimate,” “intend,” “target,” “anticipate,” “plan,” “continue,” or similar expressions or future or conditional verbs.</w:t>
      </w:r>
    </w:p>
    <w:p>
      <w:pPr>
        <w:spacing w:after="0" w:line="149" w:lineRule="exact"/>
        <w:rPr>
          <w:sz w:val="20"/>
          <w:szCs w:val="20"/>
          <w:color w:val="auto"/>
        </w:rPr>
      </w:pPr>
    </w:p>
    <w:p>
      <w:pPr>
        <w:ind w:left="340" w:right="439" w:firstLine="333"/>
        <w:spacing w:after="0" w:line="248" w:lineRule="auto"/>
        <w:rPr>
          <w:sz w:val="20"/>
          <w:szCs w:val="20"/>
          <w:color w:val="auto"/>
        </w:rPr>
      </w:pPr>
      <w:r>
        <w:rPr>
          <w:rFonts w:ascii="Times New Roman" w:cs="Times New Roman" w:eastAsia="Times New Roman" w:hAnsi="Times New Roman"/>
          <w:sz w:val="14"/>
          <w:szCs w:val="14"/>
          <w:color w:val="auto"/>
        </w:rPr>
        <w:t>Forward-looking statements inherently involve many risks and uncertainties that could cause actual results to differ materially from those expressed in forward-looking statements. Forward-looking statements are based on management’s current plans and expectations, expressed in good faith and believed to have a reasonable basis. However, we can give no assurance that any expectation or belief will result or will be achieved or accomplished. Investors therefore should not place undue reliance on forward-looking statements. The following include some but not all of the factors that could cause actual results or events to differ materially from those anticipated:</w:t>
      </w:r>
    </w:p>
    <w:p>
      <w:pPr>
        <w:spacing w:after="0" w:line="77" w:lineRule="exact"/>
        <w:rPr>
          <w:sz w:val="20"/>
          <w:szCs w:val="20"/>
          <w:color w:val="auto"/>
        </w:rPr>
      </w:pPr>
    </w:p>
    <w:p>
      <w:pPr>
        <w:ind w:left="1080" w:right="559" w:hanging="334"/>
        <w:spacing w:after="0" w:line="264" w:lineRule="auto"/>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costs and uncertainties in the pharmaceutical research and development process, including with respect to the timing and process of obtaining regulatory approvals;</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and uncertain outcome of acquisitions and business development transactions and related costs;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intense competition affecting our products, pipeline or industry;</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uptake of launched products and indications;</w:t>
      </w:r>
    </w:p>
    <w:p>
      <w:pPr>
        <w:spacing w:after="0" w:line="94" w:lineRule="exact"/>
        <w:rPr>
          <w:rFonts w:ascii="Times New Roman" w:cs="Times New Roman" w:eastAsia="Times New Roman" w:hAnsi="Times New Roman"/>
          <w:sz w:val="14"/>
          <w:szCs w:val="14"/>
          <w:color w:val="auto"/>
        </w:rPr>
      </w:pPr>
    </w:p>
    <w:p>
      <w:pPr>
        <w:ind w:left="1080" w:right="699" w:hanging="334"/>
        <w:spacing w:after="0" w:line="264" w:lineRule="auto"/>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pricing pressures and the impact of actions of governmental and private payers affecting pricing of, reimbursement for and patient access to pharmaceuticals, or reporting obligations related thereto;</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or efficacy concerns associated with our or competitive products;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dependence on relatively few products or product classes for a significant percentage of our total revenue and a consolidated supply chain;</w:t>
      </w:r>
    </w:p>
    <w:p>
      <w:pPr>
        <w:spacing w:after="0" w:line="117" w:lineRule="exact"/>
        <w:rPr>
          <w:rFonts w:ascii="Times New Roman" w:cs="Times New Roman" w:eastAsia="Times New Roman" w:hAnsi="Times New Roman"/>
          <w:sz w:val="12"/>
          <w:szCs w:val="12"/>
          <w:color w:val="auto"/>
        </w:rPr>
      </w:pPr>
    </w:p>
    <w:p>
      <w:pPr>
        <w:ind w:left="1080" w:hanging="334"/>
        <w:spacing w:after="0"/>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expiration of intellectual property protection for certain of our products and competition from generic and biosimilar products;</w:t>
      </w:r>
    </w:p>
    <w:p>
      <w:pPr>
        <w:spacing w:after="0" w:line="94" w:lineRule="exact"/>
        <w:rPr>
          <w:rFonts w:ascii="Times New Roman" w:cs="Times New Roman" w:eastAsia="Times New Roman" w:hAnsi="Times New Roman"/>
          <w:sz w:val="14"/>
          <w:szCs w:val="14"/>
          <w:color w:val="auto"/>
        </w:rPr>
      </w:pPr>
    </w:p>
    <w:p>
      <w:pPr>
        <w:ind w:left="1080" w:right="559" w:hanging="334"/>
        <w:spacing w:after="0" w:line="264" w:lineRule="auto"/>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and enforce patents and other intellectual property and changes in patent law or regulations related to data package exclusivity;</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technology system inadequacies, inadequate controls or procedures, security breaches or operating failures;</w:t>
      </w:r>
    </w:p>
    <w:p>
      <w:pPr>
        <w:spacing w:after="0" w:line="94" w:lineRule="exact"/>
        <w:rPr>
          <w:rFonts w:ascii="Times New Roman" w:cs="Times New Roman" w:eastAsia="Times New Roman" w:hAnsi="Times New Roman"/>
          <w:sz w:val="14"/>
          <w:szCs w:val="14"/>
          <w:color w:val="auto"/>
        </w:rPr>
      </w:pPr>
    </w:p>
    <w:p>
      <w:pPr>
        <w:ind w:left="1080" w:right="379" w:hanging="334"/>
        <w:spacing w:after="0" w:line="254" w:lineRule="auto"/>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unauthorized access, disclosure, misappropriation or compromise of confidential information or other data stored in our information technology systems, networks and facilities, or those of third parties with whom we share our data and violations of data protection laws or regulations;</w:t>
      </w:r>
    </w:p>
    <w:p>
      <w:pPr>
        <w:spacing w:after="0" w:line="70" w:lineRule="exact"/>
        <w:rPr>
          <w:rFonts w:ascii="Times New Roman" w:cs="Times New Roman" w:eastAsia="Times New Roman" w:hAnsi="Times New Roman"/>
          <w:sz w:val="14"/>
          <w:szCs w:val="14"/>
          <w:color w:val="auto"/>
        </w:rPr>
      </w:pPr>
    </w:p>
    <w:p>
      <w:pPr>
        <w:ind w:left="1080" w:right="519" w:hanging="334"/>
        <w:spacing w:after="0" w:line="254" w:lineRule="auto"/>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issues with product supply and regulatory approvals stemming from manufacturing difficulties, disruptions or shortages, including as a result of unpredictability and variability in demand, labor shortages, third-party performance, quality, cyber-attacks or regulatory actions related to our and third-party facilities;</w:t>
      </w:r>
    </w:p>
    <w:p>
      <w:pPr>
        <w:spacing w:after="0" w:line="70"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third-party relationships and outsourcing arrangements;</w:t>
      </w:r>
    </w:p>
    <w:p>
      <w:pPr>
        <w:spacing w:after="0" w:line="94" w:lineRule="exact"/>
        <w:rPr>
          <w:rFonts w:ascii="Times New Roman" w:cs="Times New Roman" w:eastAsia="Times New Roman" w:hAnsi="Times New Roman"/>
          <w:sz w:val="14"/>
          <w:szCs w:val="14"/>
          <w:color w:val="auto"/>
        </w:rPr>
      </w:pPr>
    </w:p>
    <w:p>
      <w:pPr>
        <w:ind w:left="1080" w:right="419" w:hanging="334"/>
        <w:spacing w:after="0" w:line="264" w:lineRule="auto"/>
        <w:tabs>
          <w:tab w:leader="none" w:pos="1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of artificial intelligence or other emerging technologies in various facets of our operations may exacerbate competitive, regulatory, litigation, cybersecurity and other risks;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5" w:right="1440" w:bottom="1440" w:gutter="0" w:footer="0" w:header="0"/>
        </w:sectPr>
      </w:pPr>
    </w:p>
    <w:bookmarkStart w:id="49" w:name="page50"/>
    <w:bookmarkEnd w:id="49"/>
    <w:p>
      <w:pPr>
        <w:ind w:left="1080" w:right="739" w:hanging="334"/>
        <w:spacing w:after="0" w:line="349" w:lineRule="auto"/>
        <w:tabs>
          <w:tab w:leader="none" w:pos="10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impact of global macroeconomic conditions, including uneven economic growth or downturns or uncertainty, trade disruptions, international tension, conflicts, regional dependencies or other costs, uncertainties and risks related to engaging in business globally;</w:t>
      </w:r>
    </w:p>
    <w:p>
      <w:pPr>
        <w:spacing w:after="0" w:line="17" w:lineRule="exact"/>
        <w:rPr>
          <w:rFonts w:ascii="Times New Roman" w:cs="Times New Roman" w:eastAsia="Times New Roman" w:hAnsi="Times New Roman"/>
          <w:sz w:val="12"/>
          <w:szCs w:val="12"/>
          <w:color w:val="auto"/>
        </w:rPr>
      </w:pPr>
    </w:p>
    <w:p>
      <w:pPr>
        <w:ind w:left="1080" w:hanging="334"/>
        <w:spacing w:after="0"/>
        <w:tabs>
          <w:tab w:leader="none" w:pos="10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devaluations in foreign currency exchange rates, changes in interest rates and inflation or deflation;</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and sudden declines or volatility in the trading price of our common stock and market capitalization;</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investigations or other similar proceedings involving past, current or future products or activities;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 and regulation, tax rates or events that differ from our assumptions related to tax positions;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changes and developments;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oversight and actions regarding our operations and products;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compliance problems or government investigations;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from the proliferation of counterfeit, misbranded, adulterated or illegally compounded products;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perceived deviation from environmental-, social- or governance-related requirements or expectations;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impairments and restructuring charges;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and reporting standards; and</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factors that are discussed in this prospectus and any applicable prospectus supplement.</w:t>
      </w:r>
    </w:p>
    <w:p>
      <w:pPr>
        <w:spacing w:after="0" w:line="166" w:lineRule="exact"/>
        <w:rPr>
          <w:sz w:val="20"/>
          <w:szCs w:val="20"/>
          <w:color w:val="auto"/>
        </w:rPr>
      </w:pPr>
    </w:p>
    <w:p>
      <w:pPr>
        <w:ind w:left="340" w:right="439" w:firstLine="333"/>
        <w:spacing w:after="0" w:line="316" w:lineRule="auto"/>
        <w:rPr>
          <w:sz w:val="20"/>
          <w:szCs w:val="20"/>
          <w:color w:val="auto"/>
        </w:rPr>
      </w:pPr>
      <w:r>
        <w:rPr>
          <w:rFonts w:ascii="Times New Roman" w:cs="Times New Roman" w:eastAsia="Times New Roman" w:hAnsi="Times New Roman"/>
          <w:sz w:val="12"/>
          <w:szCs w:val="12"/>
          <w:color w:val="auto"/>
        </w:rPr>
        <w:t>You should also carefully read the factors described under “Risk Factors” and in other cautionary statements in this prospectus and in our Annual Report on Form 10-K for the year ended December 31, 2024 and our other filings with the SEC that are incorporated by reference into this prospectus for a description of certain risks that could, among other things, cause our actual results to differ from those expressed in forward-looking statements.</w:t>
      </w:r>
    </w:p>
    <w:p>
      <w:pPr>
        <w:spacing w:after="0" w:line="109" w:lineRule="exact"/>
        <w:rPr>
          <w:sz w:val="20"/>
          <w:szCs w:val="20"/>
          <w:color w:val="auto"/>
        </w:rPr>
      </w:pPr>
    </w:p>
    <w:p>
      <w:pPr>
        <w:ind w:left="340" w:right="439" w:firstLine="333"/>
        <w:spacing w:after="0" w:line="254" w:lineRule="auto"/>
        <w:rPr>
          <w:sz w:val="20"/>
          <w:szCs w:val="20"/>
          <w:color w:val="auto"/>
        </w:rPr>
      </w:pPr>
      <w:r>
        <w:rPr>
          <w:rFonts w:ascii="Times New Roman" w:cs="Times New Roman" w:eastAsia="Times New Roman" w:hAnsi="Times New Roman"/>
          <w:sz w:val="14"/>
          <w:szCs w:val="14"/>
          <w:color w:val="auto"/>
        </w:rPr>
        <w:t>All forward-looking statements speak only as of the date of this prospectus and are expressly qualified in their entirety by the risk factors and cautionary statements included in, or incorporated by reference into, this prospectus. Except as is required by law, we expressly disclaim any obligation to publicly release any revisions to forward-looking statements to reflect events after the date of this prospectus.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9" w:right="1440"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USE OF PROCEEDS</w:t>
      </w:r>
    </w:p>
    <w:p>
      <w:pPr>
        <w:spacing w:after="0" w:line="170" w:lineRule="exact"/>
        <w:rPr>
          <w:sz w:val="20"/>
          <w:szCs w:val="20"/>
          <w:color w:val="auto"/>
        </w:rPr>
      </w:pPr>
    </w:p>
    <w:p>
      <w:pPr>
        <w:ind w:left="340" w:right="759" w:firstLine="333"/>
        <w:spacing w:after="0" w:line="264" w:lineRule="auto"/>
        <w:rPr>
          <w:sz w:val="20"/>
          <w:szCs w:val="20"/>
          <w:color w:val="auto"/>
        </w:rPr>
      </w:pPr>
      <w:r>
        <w:rPr>
          <w:rFonts w:ascii="Times New Roman" w:cs="Times New Roman" w:eastAsia="Times New Roman" w:hAnsi="Times New Roman"/>
          <w:sz w:val="14"/>
          <w:szCs w:val="14"/>
          <w:color w:val="auto"/>
        </w:rPr>
        <w:t>We intend to use the net proceeds from the sale of the securities for general corporate purposes, unless otherwise specified in the applicable prospectus supplement.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5" w:right="1440"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DESCRIPTION OF SECURITIES</w:t>
      </w:r>
    </w:p>
    <w:p>
      <w:pPr>
        <w:spacing w:after="0" w:line="170" w:lineRule="exact"/>
        <w:rPr>
          <w:sz w:val="20"/>
          <w:szCs w:val="20"/>
          <w:color w:val="auto"/>
        </w:rPr>
      </w:pPr>
    </w:p>
    <w:p>
      <w:pPr>
        <w:ind w:left="340" w:right="379" w:firstLine="333"/>
        <w:spacing w:after="0" w:line="316" w:lineRule="auto"/>
        <w:rPr>
          <w:sz w:val="20"/>
          <w:szCs w:val="20"/>
          <w:color w:val="auto"/>
        </w:rPr>
      </w:pPr>
      <w:r>
        <w:rPr>
          <w:rFonts w:ascii="Times New Roman" w:cs="Times New Roman" w:eastAsia="Times New Roman" w:hAnsi="Times New Roman"/>
          <w:sz w:val="12"/>
          <w:szCs w:val="12"/>
          <w:color w:val="auto"/>
        </w:rPr>
        <w:t>This prospectus contains a summary of the common stock, preferred stock, depositary shares, debt securities, warrants, stock purchase contracts and stock purchase units that we may offer, from time to time, in future securities offerings. These summaries are not meant to be a complete description of each security. Certain specific terms of any security to be issued pursuant hereto will be set forth in a related prospectus supplement.</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DESCRIPTION OF CAPITAL STOCK</w:t>
      </w:r>
    </w:p>
    <w:p>
      <w:pPr>
        <w:spacing w:after="0" w:line="170" w:lineRule="exact"/>
        <w:rPr>
          <w:sz w:val="20"/>
          <w:szCs w:val="20"/>
          <w:color w:val="auto"/>
        </w:rPr>
      </w:pPr>
    </w:p>
    <w:p>
      <w:pPr>
        <w:ind w:left="340" w:right="359" w:firstLine="333"/>
        <w:spacing w:after="0" w:line="250" w:lineRule="auto"/>
        <w:rPr>
          <w:sz w:val="20"/>
          <w:szCs w:val="20"/>
          <w:color w:val="auto"/>
        </w:rPr>
      </w:pPr>
      <w:r>
        <w:rPr>
          <w:rFonts w:ascii="Times New Roman" w:cs="Times New Roman" w:eastAsia="Times New Roman" w:hAnsi="Times New Roman"/>
          <w:sz w:val="14"/>
          <w:szCs w:val="14"/>
          <w:color w:val="auto"/>
        </w:rPr>
        <w:t>As of the date hereof, our authorized capital stock consists of 3,205,000,000 shares, of which 3,200,000,000 shares are common stock, without par value, and 5,000,000 shares are preferred stock, without par value. As of February 14, 2025, there were 948,169,999 shares of our common stock outstanding. None of our preferred stock was issued and outstanding as of February 14, 2025. All of our issued and outstanding shares of common stock are fully paid and non-assessable.</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86" w:lineRule="exact"/>
        <w:rPr>
          <w:sz w:val="20"/>
          <w:szCs w:val="20"/>
          <w:color w:val="auto"/>
        </w:rPr>
      </w:pPr>
    </w:p>
    <w:p>
      <w:pPr>
        <w:ind w:left="340" w:right="419" w:firstLine="333"/>
        <w:spacing w:after="0" w:line="267" w:lineRule="auto"/>
        <w:rPr>
          <w:sz w:val="20"/>
          <w:szCs w:val="20"/>
          <w:color w:val="auto"/>
        </w:rPr>
      </w:pPr>
      <w:r>
        <w:rPr>
          <w:rFonts w:ascii="Times New Roman" w:cs="Times New Roman" w:eastAsia="Times New Roman" w:hAnsi="Times New Roman"/>
          <w:sz w:val="14"/>
          <w:szCs w:val="14"/>
          <w:i w:val="1"/>
          <w:iCs w:val="1"/>
          <w:color w:val="auto"/>
        </w:rPr>
        <w:t>Dividend Rights</w:t>
      </w:r>
      <w:r>
        <w:rPr>
          <w:rFonts w:ascii="Times New Roman" w:cs="Times New Roman" w:eastAsia="Times New Roman" w:hAnsi="Times New Roman"/>
          <w:sz w:val="14"/>
          <w:szCs w:val="14"/>
          <w:color w:val="auto"/>
        </w:rPr>
        <w:t>. Subject to the dividend rights of the holders of any outstanding shares of preferred stock, the holders of shares of common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entitled to receive ratably dividends as may be lawfully declared at any time by our board of directors.</w:t>
      </w:r>
    </w:p>
    <w:p>
      <w:pPr>
        <w:spacing w:after="0" w:line="132" w:lineRule="exact"/>
        <w:rPr>
          <w:sz w:val="20"/>
          <w:szCs w:val="20"/>
          <w:color w:val="auto"/>
        </w:rPr>
      </w:pPr>
    </w:p>
    <w:p>
      <w:pPr>
        <w:ind w:left="340" w:right="639" w:firstLine="333"/>
        <w:spacing w:after="0" w:line="318" w:lineRule="auto"/>
        <w:rPr>
          <w:sz w:val="20"/>
          <w:szCs w:val="20"/>
          <w:color w:val="auto"/>
        </w:rPr>
      </w:pPr>
      <w:r>
        <w:rPr>
          <w:rFonts w:ascii="Times New Roman" w:cs="Times New Roman" w:eastAsia="Times New Roman" w:hAnsi="Times New Roman"/>
          <w:sz w:val="12"/>
          <w:szCs w:val="12"/>
          <w:i w:val="1"/>
          <w:iCs w:val="1"/>
          <w:color w:val="auto"/>
        </w:rPr>
        <w:t>Rights Upon Liquidation</w:t>
      </w:r>
      <w:r>
        <w:rPr>
          <w:rFonts w:ascii="Times New Roman" w:cs="Times New Roman" w:eastAsia="Times New Roman" w:hAnsi="Times New Roman"/>
          <w:sz w:val="12"/>
          <w:szCs w:val="12"/>
          <w:color w:val="auto"/>
        </w:rPr>
        <w:t>. Upon liquidation, dissolution or winding up of our affairs, after payment to the holders of any outstanding shares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preferred stock of the full amount to which they are entitled, the holders of shares of common stock are entitled, to the exclusion of any holders of preferred stock, to share ratably in our remaining assets that are legally available for distribution after satisfaction of our liabilities.</w:t>
      </w:r>
    </w:p>
    <w:p>
      <w:pPr>
        <w:spacing w:after="0" w:line="10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i w:val="1"/>
          <w:iCs w:val="1"/>
          <w:color w:val="auto"/>
        </w:rPr>
        <w:t xml:space="preserve">No Conversion, Redemption or Preemptive Rights. </w:t>
      </w:r>
      <w:r>
        <w:rPr>
          <w:rFonts w:ascii="Times New Roman" w:cs="Times New Roman" w:eastAsia="Times New Roman" w:hAnsi="Times New Roman"/>
          <w:sz w:val="12"/>
          <w:szCs w:val="12"/>
          <w:color w:val="auto"/>
        </w:rPr>
        <w:t>Holders of our common stock have no conversion, redemption, preemptive or similar rights.</w:t>
      </w:r>
    </w:p>
    <w:p>
      <w:pPr>
        <w:spacing w:after="0" w:line="189" w:lineRule="exact"/>
        <w:rPr>
          <w:sz w:val="20"/>
          <w:szCs w:val="20"/>
          <w:color w:val="auto"/>
        </w:rPr>
      </w:pPr>
    </w:p>
    <w:p>
      <w:pPr>
        <w:ind w:left="340" w:right="579" w:firstLine="333"/>
        <w:spacing w:after="0" w:line="267" w:lineRule="auto"/>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Each outstanding share of common stock is entitled to one vote on all matters submitted to a vote of shareholders. Our amended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articles of incorporation do not provide for cumulative voting in the election of directors.</w:t>
      </w:r>
    </w:p>
    <w:p>
      <w:pPr>
        <w:spacing w:after="0" w:line="132" w:lineRule="exact"/>
        <w:rPr>
          <w:sz w:val="20"/>
          <w:szCs w:val="20"/>
          <w:color w:val="auto"/>
        </w:rPr>
      </w:pPr>
    </w:p>
    <w:p>
      <w:pPr>
        <w:ind w:left="340" w:right="419" w:firstLine="333"/>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Other Provisions. </w:t>
      </w:r>
      <w:r>
        <w:rPr>
          <w:rFonts w:ascii="Times New Roman" w:cs="Times New Roman" w:eastAsia="Times New Roman" w:hAnsi="Times New Roman"/>
          <w:sz w:val="14"/>
          <w:szCs w:val="14"/>
          <w:color w:val="auto"/>
        </w:rPr>
        <w:t>No shares of any class of our capital stock are subject to any sinking fund provisions or to calls, assessments by, or liabilities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company.</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88" w:lineRule="exact"/>
        <w:rPr>
          <w:sz w:val="20"/>
          <w:szCs w:val="20"/>
          <w:color w:val="auto"/>
        </w:rPr>
      </w:pPr>
    </w:p>
    <w:p>
      <w:pPr>
        <w:ind w:left="340" w:right="359" w:firstLine="333"/>
        <w:spacing w:after="0" w:line="297" w:lineRule="auto"/>
        <w:rPr>
          <w:sz w:val="20"/>
          <w:szCs w:val="20"/>
          <w:color w:val="auto"/>
        </w:rPr>
      </w:pPr>
      <w:r>
        <w:rPr>
          <w:rFonts w:ascii="Times New Roman" w:cs="Times New Roman" w:eastAsia="Times New Roman" w:hAnsi="Times New Roman"/>
          <w:sz w:val="12"/>
          <w:szCs w:val="12"/>
          <w:color w:val="auto"/>
        </w:rPr>
        <w:t>Our amended articles of incorporation authorize our board of directors, without further shareholder action, to provide for the issuance of up to 5,000,000 shares of preferred stock, in one or more series, and to fix, by the adoption and filing in accordance with the Indiana Business Corporation Law, or the IBCL, of an amendment or amendments to our amended articles of incorporation, the designations, terms and relative rights and preferences, including the dividend rate, voting rights, conversion rights, redemption and sinking fund provisions and liquidation preferences, of each of these series. We may amend from time to time our amended articles of incorporation to increase the number of authorized shares of preferred stock. Any such amendment would be approved if the votes cast favoring the amendment exceed the votes cast opposing the amendment.</w:t>
      </w:r>
    </w:p>
    <w:p>
      <w:pPr>
        <w:spacing w:after="0" w:line="119" w:lineRule="exact"/>
        <w:rPr>
          <w:sz w:val="20"/>
          <w:szCs w:val="20"/>
          <w:color w:val="auto"/>
        </w:rPr>
      </w:pPr>
    </w:p>
    <w:p>
      <w:pPr>
        <w:ind w:left="340" w:right="499" w:firstLine="333"/>
        <w:spacing w:after="0" w:line="254" w:lineRule="auto"/>
        <w:rPr>
          <w:sz w:val="20"/>
          <w:szCs w:val="20"/>
          <w:color w:val="auto"/>
        </w:rPr>
      </w:pPr>
      <w:r>
        <w:rPr>
          <w:rFonts w:ascii="Times New Roman" w:cs="Times New Roman" w:eastAsia="Times New Roman" w:hAnsi="Times New Roman"/>
          <w:sz w:val="14"/>
          <w:szCs w:val="14"/>
          <w:color w:val="auto"/>
        </w:rPr>
        <w:t>Certain specific terms of any preferred stock that we offer in the future will be described in the applicable prospectus supplement relating to that preferred stock. Investors are urged to carefully review the terms contained in such prospectus supplement, as well as the articles of amendment establishing such terms that we file with the Secretary of State of the State of Indiana and the SEC. Those terms may include:</w:t>
      </w:r>
    </w:p>
    <w:p>
      <w:pPr>
        <w:spacing w:after="0" w:line="71" w:lineRule="exact"/>
        <w:rPr>
          <w:sz w:val="20"/>
          <w:szCs w:val="20"/>
          <w:color w:val="auto"/>
        </w:rPr>
      </w:pPr>
    </w:p>
    <w:p>
      <w:pPr>
        <w:ind w:left="4480" w:right="2479" w:hanging="3734"/>
        <w:spacing w:after="0" w:line="432" w:lineRule="auto"/>
        <w:tabs>
          <w:tab w:leader="none" w:pos="1083"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liquidation preference per share of the preferred stock and the number of shares offered; 8</w:t>
      </w:r>
    </w:p>
    <w:p>
      <w:pPr>
        <w:sectPr>
          <w:pgSz w:w="11900" w:h="16838" w:orient="portrait"/>
          <w:cols w:equalWidth="0" w:num="1">
            <w:col w:w="9019"/>
          </w:cols>
          <w:pgMar w:left="1440" w:top="235" w:right="1440" w:bottom="1440" w:gutter="0" w:footer="0" w:header="0"/>
        </w:sectPr>
      </w:pPr>
    </w:p>
    <w:bookmarkStart w:id="52" w:name="page53"/>
    <w:bookmarkEnd w:id="52"/>
    <w:p>
      <w:pPr>
        <w:ind w:left="1080" w:hanging="334"/>
        <w:spacing w:after="0"/>
        <w:tabs>
          <w:tab w:leader="none" w:pos="10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initial aggregate offering price of the preferred stock;</w:t>
      </w:r>
    </w:p>
    <w:p>
      <w:pPr>
        <w:spacing w:after="0" w:line="94" w:lineRule="exact"/>
        <w:rPr>
          <w:rFonts w:ascii="Times New Roman" w:cs="Times New Roman" w:eastAsia="Times New Roman" w:hAnsi="Times New Roman"/>
          <w:sz w:val="14"/>
          <w:szCs w:val="14"/>
          <w:color w:val="auto"/>
        </w:rPr>
      </w:pPr>
    </w:p>
    <w:p>
      <w:pPr>
        <w:ind w:left="1080" w:right="519" w:hanging="334"/>
        <w:spacing w:after="0" w:line="264" w:lineRule="auto"/>
        <w:tabs>
          <w:tab w:leader="none" w:pos="10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 (or method of calculation), the dates on which dividends will be payable, whether dividends shall be cumulative and, if so, the date from which the dividends will begin to accumulate;</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or sinking fund provisions of the preferred stock;</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conversion rights applicable to the preferred stock;</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rights, if any, of the preferred stock;</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federal income tax considerations; and</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additional dividend, liquidation, conversion and other rights, preferences, privileges, limitations and restrictions of the preferred stock.</w:t>
      </w:r>
    </w:p>
    <w:p>
      <w:pPr>
        <w:spacing w:after="0" w:line="187" w:lineRule="exact"/>
        <w:rPr>
          <w:sz w:val="20"/>
          <w:szCs w:val="20"/>
          <w:color w:val="auto"/>
        </w:rPr>
      </w:pPr>
    </w:p>
    <w:p>
      <w:pPr>
        <w:ind w:left="340" w:right="359" w:firstLine="333"/>
        <w:spacing w:after="0" w:line="292" w:lineRule="auto"/>
        <w:rPr>
          <w:sz w:val="20"/>
          <w:szCs w:val="20"/>
          <w:color w:val="auto"/>
        </w:rPr>
      </w:pPr>
      <w:r>
        <w:rPr>
          <w:rFonts w:ascii="Times New Roman" w:cs="Times New Roman" w:eastAsia="Times New Roman" w:hAnsi="Times New Roman"/>
          <w:sz w:val="12"/>
          <w:szCs w:val="12"/>
          <w:i w:val="1"/>
          <w:iCs w:val="1"/>
          <w:color w:val="auto"/>
        </w:rPr>
        <w:t>Dividend Rights</w:t>
      </w:r>
      <w:r>
        <w:rPr>
          <w:rFonts w:ascii="Times New Roman" w:cs="Times New Roman" w:eastAsia="Times New Roman" w:hAnsi="Times New Roman"/>
          <w:sz w:val="12"/>
          <w:szCs w:val="12"/>
          <w:color w:val="auto"/>
        </w:rPr>
        <w:t>. The preferred stock will have a preference over the common stock as to the payment of dividends. Before any dividends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distributions (other than dividends or distributions payable in common stock or other stock ranking junior to that series of preferred stock as to dividends and upon liquidation) on the common stock or other stock ranking junior to that series of preferred stock as to dividends and upon liquidation shall be declared and set apart for payment or paid, the holders of shares of each series of preferred stock (unless otherwise set forth in the applicable prospectus supplement) will be entitled to receive dividends when, as and if declared by our board of directors or, if dividends are cumulative, full cumulative dividends for the current and all prior dividend periods. We will pay those dividends either in cash, shares of preferred stock, or otherwise, at the rate and on the date or dates set forth in the applicable prospectus supplement. With respect to each series of preferred stock that has cumulative dividends, the dividends on each share of the series will be cumulative from the date of issue of the share unless some other date is set forth in the prospectus supplement relating to the series. Accruals of dividends will not bear interest. The applicable prospectus supplement will indicate the relative ranking of the particular series of the preferred stock as to the payment of dividends, as compared with then-existing and future series of preferred stock.</w:t>
      </w:r>
    </w:p>
    <w:p>
      <w:pPr>
        <w:spacing w:after="0" w:line="286" w:lineRule="exact"/>
        <w:rPr>
          <w:sz w:val="20"/>
          <w:szCs w:val="20"/>
          <w:color w:val="auto"/>
        </w:rPr>
      </w:pPr>
    </w:p>
    <w:p>
      <w:pPr>
        <w:ind w:left="340" w:right="359" w:firstLine="333"/>
        <w:spacing w:after="0" w:line="292" w:lineRule="auto"/>
        <w:rPr>
          <w:sz w:val="20"/>
          <w:szCs w:val="20"/>
          <w:color w:val="auto"/>
        </w:rPr>
      </w:pPr>
      <w:r>
        <w:rPr>
          <w:rFonts w:ascii="Times New Roman" w:cs="Times New Roman" w:eastAsia="Times New Roman" w:hAnsi="Times New Roman"/>
          <w:sz w:val="12"/>
          <w:szCs w:val="12"/>
          <w:i w:val="1"/>
          <w:iCs w:val="1"/>
          <w:color w:val="auto"/>
        </w:rPr>
        <w:t>Rights Upon Liquidation</w:t>
      </w:r>
      <w:r>
        <w:rPr>
          <w:rFonts w:ascii="Times New Roman" w:cs="Times New Roman" w:eastAsia="Times New Roman" w:hAnsi="Times New Roman"/>
          <w:sz w:val="12"/>
          <w:szCs w:val="12"/>
          <w:color w:val="auto"/>
        </w:rPr>
        <w:t>. The preferred stock of each series will be preferred over the common stock and other stock ranking junior to that series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preferred stock as to assets, so that the holders of that series of preferred stock (unless otherwise set forth in the applicable prospectus supplement) will be entitled to be paid, upon our voluntary or involuntary liquidation, dissolution or winding up, and before any distribution is made to the holders of common stock and other stock ranking junior to that series of preferred stock, the amount set forth in the applicable prospectus supplement. However, in this case the holders of preferred stock of that series will not be entitled to any other or further payment. If upon any liquidation, dissolution or winding up, our net assets are insufficient to permit the payment in full of the respective amounts to which the holders of all outstanding preferred stock are entitled, our entire remaining net assets will be distributed among the holders of each series of preferred stock in amounts proportional to the full amounts to which the holders of each series are entitled, subject to any provisions of any series of preferred stock that rank it junior or senior to other series of preferred stock upon liquidation. The applicable prospectus supplement will indicate the relative ranking of the particular series of the preferred stock upon liquidation, as compared with then-existing and future series of preferred stock.</w:t>
      </w:r>
    </w:p>
    <w:p>
      <w:pPr>
        <w:spacing w:after="0" w:line="286" w:lineRule="exact"/>
        <w:rPr>
          <w:sz w:val="20"/>
          <w:szCs w:val="20"/>
          <w:color w:val="auto"/>
        </w:rPr>
      </w:pPr>
    </w:p>
    <w:p>
      <w:pPr>
        <w:ind w:left="340" w:right="439" w:firstLine="333"/>
        <w:spacing w:after="0" w:line="255" w:lineRule="auto"/>
        <w:rPr>
          <w:sz w:val="20"/>
          <w:szCs w:val="20"/>
          <w:color w:val="auto"/>
        </w:rPr>
      </w:pPr>
      <w:r>
        <w:rPr>
          <w:rFonts w:ascii="Times New Roman" w:cs="Times New Roman" w:eastAsia="Times New Roman" w:hAnsi="Times New Roman"/>
          <w:sz w:val="14"/>
          <w:szCs w:val="14"/>
          <w:i w:val="1"/>
          <w:iCs w:val="1"/>
          <w:color w:val="auto"/>
        </w:rPr>
        <w:t>Conversion, Redemption or Exchange Rights</w:t>
      </w:r>
      <w:r>
        <w:rPr>
          <w:rFonts w:ascii="Times New Roman" w:cs="Times New Roman" w:eastAsia="Times New Roman" w:hAnsi="Times New Roman"/>
          <w:sz w:val="14"/>
          <w:szCs w:val="14"/>
          <w:color w:val="auto"/>
        </w:rPr>
        <w:t>. The shares of a series of preferred stock will be convertible at the option of the holder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preferred stock, redeemable at our option or the option of the holder, as applicable, or exchangeable at our option, into another security, in each case, to the extent set forth in the applicable prospectus supplement.</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Except as indicated in the applicable prospectus supplement or as otherwise from time to time required by law, the holders of</w:t>
      </w:r>
    </w:p>
    <w:p>
      <w:pPr>
        <w:spacing w:after="0" w:line="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preferred stock will have no voting rights other than those fixed by the board of directors pursuant to Article 7 of our amended articles of incorporation.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9" w:right="1440" w:bottom="1440" w:gutter="0" w:footer="0" w:header="0"/>
        </w:sectPr>
      </w:pPr>
    </w:p>
    <w:bookmarkStart w:id="53" w:name="page54"/>
    <w:bookmarkEnd w:id="53"/>
    <w:p>
      <w:pPr>
        <w:ind w:left="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Anti-Takeover Effects of Provisions of our Amended Articles of Incorporation and our Bylaws</w:t>
      </w:r>
    </w:p>
    <w:p>
      <w:pPr>
        <w:spacing w:after="0" w:line="88" w:lineRule="exact"/>
        <w:rPr>
          <w:sz w:val="20"/>
          <w:szCs w:val="20"/>
          <w:color w:val="auto"/>
        </w:rPr>
      </w:pPr>
    </w:p>
    <w:p>
      <w:pPr>
        <w:ind w:left="340" w:right="519" w:firstLine="333"/>
        <w:spacing w:after="0" w:line="254" w:lineRule="auto"/>
        <w:rPr>
          <w:sz w:val="20"/>
          <w:szCs w:val="20"/>
          <w:color w:val="auto"/>
        </w:rPr>
      </w:pPr>
      <w:r>
        <w:rPr>
          <w:rFonts w:ascii="Times New Roman" w:cs="Times New Roman" w:eastAsia="Times New Roman" w:hAnsi="Times New Roman"/>
          <w:sz w:val="14"/>
          <w:szCs w:val="14"/>
          <w:color w:val="auto"/>
        </w:rPr>
        <w:t>Our amended articles of incorporation and our bylaws, as currently in effect, contain certain provisions that may be deemed to have an anti-takeover effect and may delay, deter or prevent a tender offer or takeover attempt that a shareholder might consider in its best interest, including those attempts that might result in a premium over the market price for the shares held by shareholders.</w:t>
      </w:r>
    </w:p>
    <w:p>
      <w:pPr>
        <w:spacing w:after="0" w:line="142" w:lineRule="exact"/>
        <w:rPr>
          <w:sz w:val="20"/>
          <w:szCs w:val="20"/>
          <w:color w:val="auto"/>
        </w:rPr>
      </w:pPr>
    </w:p>
    <w:p>
      <w:pPr>
        <w:ind w:left="340" w:right="559" w:firstLine="333"/>
        <w:spacing w:after="0" w:line="254" w:lineRule="auto"/>
        <w:rPr>
          <w:sz w:val="20"/>
          <w:szCs w:val="20"/>
          <w:color w:val="auto"/>
        </w:rPr>
      </w:pPr>
      <w:r>
        <w:rPr>
          <w:rFonts w:ascii="Times New Roman" w:cs="Times New Roman" w:eastAsia="Times New Roman" w:hAnsi="Times New Roman"/>
          <w:sz w:val="14"/>
          <w:szCs w:val="14"/>
          <w:color w:val="auto"/>
        </w:rPr>
        <w:t>Our bylaws provide that special meetings of holders of common stock may be called only by our board of directors or the Chair of the board of directors. Holders of our common stock are not permitted to call a special meeting or to require that our board of directors call a special meeting of shareholders.</w:t>
      </w:r>
    </w:p>
    <w:p>
      <w:pPr>
        <w:spacing w:after="0" w:line="142" w:lineRule="exact"/>
        <w:rPr>
          <w:sz w:val="20"/>
          <w:szCs w:val="20"/>
          <w:color w:val="auto"/>
        </w:rPr>
      </w:pPr>
    </w:p>
    <w:p>
      <w:pPr>
        <w:ind w:left="340" w:right="379" w:firstLine="333"/>
        <w:spacing w:after="0" w:line="230" w:lineRule="auto"/>
        <w:rPr>
          <w:sz w:val="20"/>
          <w:szCs w:val="20"/>
          <w:color w:val="auto"/>
        </w:rPr>
      </w:pPr>
      <w:r>
        <w:rPr>
          <w:rFonts w:ascii="Times New Roman" w:cs="Times New Roman" w:eastAsia="Times New Roman" w:hAnsi="Times New Roman"/>
          <w:sz w:val="13"/>
          <w:szCs w:val="13"/>
          <w:color w:val="auto"/>
        </w:rPr>
        <w:t>Our bylaws establish an advance notice procedure for the nomination, other than by or at the direction of our board of directors, of candidates for election as directors as well as for other shareholder proposals to be considered at annual meetings of shareholders. In general, notice of intent to nominate a director or raise business at such meetings must be received by us no later than the close of business on the 120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3"/>
          <w:szCs w:val="13"/>
          <w:color w:val="auto"/>
        </w:rPr>
        <w:t xml:space="preserve"> calendar day and no earlier than the close of business on the 180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3"/>
          <w:szCs w:val="13"/>
          <w:color w:val="auto"/>
        </w:rPr>
        <w:t xml:space="preserve"> calendar day in advance of the anniversary of the date on which our proxy statement was released to shareholders in connection with the previous year’s annual meeting of shareholders, subject to certain exceptions, and must contain certain specified information concerning the person to be nominated or the matters to be brought before the meeting and concerning the shareholder submitting the proposal.</w:t>
      </w:r>
    </w:p>
    <w:p>
      <w:pPr>
        <w:spacing w:after="0" w:line="152" w:lineRule="exact"/>
        <w:rPr>
          <w:sz w:val="20"/>
          <w:szCs w:val="20"/>
          <w:color w:val="auto"/>
        </w:rPr>
      </w:pPr>
    </w:p>
    <w:p>
      <w:pPr>
        <w:jc w:val="both"/>
        <w:ind w:left="340" w:right="359" w:firstLine="333"/>
        <w:spacing w:after="0" w:line="254" w:lineRule="auto"/>
        <w:rPr>
          <w:sz w:val="20"/>
          <w:szCs w:val="20"/>
          <w:color w:val="auto"/>
        </w:rPr>
      </w:pPr>
      <w:r>
        <w:rPr>
          <w:rFonts w:ascii="Times New Roman" w:cs="Times New Roman" w:eastAsia="Times New Roman" w:hAnsi="Times New Roman"/>
          <w:sz w:val="14"/>
          <w:szCs w:val="14"/>
          <w:color w:val="auto"/>
        </w:rPr>
        <w:t>Our bylaws further establish an advance notice procedure for a shareholder or group of shareholders meeting certain requirements to nominate and include in our annual meeting proxy materials director candidates constituting up to the greater of (i) two directors or (ii) 20% of the number of directors serving on our board of directors, subject to certain conditions specified in our bylaws.</w:t>
      </w:r>
    </w:p>
    <w:p>
      <w:pPr>
        <w:spacing w:after="0" w:line="142" w:lineRule="exact"/>
        <w:rPr>
          <w:sz w:val="20"/>
          <w:szCs w:val="20"/>
          <w:color w:val="auto"/>
        </w:rPr>
      </w:pPr>
    </w:p>
    <w:p>
      <w:pPr>
        <w:ind w:left="340" w:right="419" w:firstLine="333"/>
        <w:spacing w:after="0" w:line="250" w:lineRule="auto"/>
        <w:rPr>
          <w:sz w:val="20"/>
          <w:szCs w:val="20"/>
          <w:color w:val="auto"/>
        </w:rPr>
      </w:pPr>
      <w:r>
        <w:rPr>
          <w:rFonts w:ascii="Times New Roman" w:cs="Times New Roman" w:eastAsia="Times New Roman" w:hAnsi="Times New Roman"/>
          <w:sz w:val="14"/>
          <w:szCs w:val="14"/>
          <w:color w:val="auto"/>
        </w:rPr>
        <w:t>Our amended articles of incorporation provide for our board of directors to be divided into three classes of directors, as nearly equal in number as possible, serving staggered terms of office. Approximately one-third of our board of directors is elected each year to three-year terms of office. In addition, our directors (other than directors appointed by holders of preferred stock) may be removed only for cause and only upon the affirmative vote of holders of at least 80% of our outstanding voting stock, voting together as a single class.</w:t>
      </w:r>
    </w:p>
    <w:p>
      <w:pPr>
        <w:spacing w:after="0" w:line="146" w:lineRule="exact"/>
        <w:rPr>
          <w:sz w:val="20"/>
          <w:szCs w:val="20"/>
          <w:color w:val="auto"/>
        </w:rPr>
      </w:pPr>
    </w:p>
    <w:p>
      <w:pPr>
        <w:ind w:left="340" w:right="359" w:firstLine="333"/>
        <w:spacing w:after="0" w:line="248" w:lineRule="auto"/>
        <w:rPr>
          <w:sz w:val="20"/>
          <w:szCs w:val="20"/>
          <w:color w:val="auto"/>
        </w:rPr>
      </w:pPr>
      <w:r>
        <w:rPr>
          <w:rFonts w:ascii="Times New Roman" w:cs="Times New Roman" w:eastAsia="Times New Roman" w:hAnsi="Times New Roman"/>
          <w:sz w:val="14"/>
          <w:szCs w:val="14"/>
          <w:color w:val="auto"/>
        </w:rPr>
        <w:t>Our amended articles of incorporation provide that, in addition to any affirmative vote required by law, the affirmative vote of holders of at least 80% of our outstanding voting stock, voting together as a single class, shall be necessary to (i) approve certain major business transactions (such as mergers or asset sales with an interested shareholder or our liquidation), unless approved by our board of directors in the manner prescribed in the articles, (ii) amend certain provisions of our amended articles of incorporation relating to the number and terms of office of our directors and (iii) modify or eliminate these supermajority voting provisions.</w:t>
      </w:r>
    </w:p>
    <w:p>
      <w:pPr>
        <w:spacing w:after="0" w:line="149" w:lineRule="exact"/>
        <w:rPr>
          <w:sz w:val="20"/>
          <w:szCs w:val="20"/>
          <w:color w:val="auto"/>
        </w:rPr>
      </w:pPr>
    </w:p>
    <w:p>
      <w:pPr>
        <w:ind w:left="340" w:right="659" w:firstLine="333"/>
        <w:spacing w:after="0" w:line="349" w:lineRule="auto"/>
        <w:rPr>
          <w:sz w:val="20"/>
          <w:szCs w:val="20"/>
          <w:color w:val="auto"/>
        </w:rPr>
      </w:pPr>
      <w:r>
        <w:rPr>
          <w:rFonts w:ascii="Times New Roman" w:cs="Times New Roman" w:eastAsia="Times New Roman" w:hAnsi="Times New Roman"/>
          <w:sz w:val="12"/>
          <w:szCs w:val="12"/>
          <w:color w:val="auto"/>
        </w:rPr>
        <w:t>Under Section 23-1-39-1 of the IBCL and our amended articles of incorporation and bylaws, our bylaws may be adopted, repealed, altered or amended by either our board of directors or our shareholders, in each case, as set forth in our amended articles of incorporation and bylaws.</w:t>
      </w:r>
    </w:p>
    <w:p>
      <w:pPr>
        <w:spacing w:after="0" w:line="89" w:lineRule="exact"/>
        <w:rPr>
          <w:sz w:val="20"/>
          <w:szCs w:val="20"/>
          <w:color w:val="auto"/>
        </w:rPr>
      </w:pPr>
    </w:p>
    <w:p>
      <w:pPr>
        <w:ind w:left="340" w:right="339" w:firstLine="333"/>
        <w:spacing w:after="0" w:line="264" w:lineRule="auto"/>
        <w:rPr>
          <w:sz w:val="20"/>
          <w:szCs w:val="20"/>
          <w:color w:val="auto"/>
        </w:rPr>
      </w:pPr>
      <w:r>
        <w:rPr>
          <w:rFonts w:ascii="Times New Roman" w:cs="Times New Roman" w:eastAsia="Times New Roman" w:hAnsi="Times New Roman"/>
          <w:sz w:val="14"/>
          <w:szCs w:val="14"/>
          <w:color w:val="auto"/>
        </w:rPr>
        <w:t>The foregoing summary is qualified in its entirety by the provisions of our amended articles of incorporation and our bylaws, as currently in effect, copies of which have been filed with the SEC.</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Certain Provisions of the IBCL</w:t>
      </w:r>
    </w:p>
    <w:p>
      <w:pPr>
        <w:spacing w:after="0" w:line="88" w:lineRule="exact"/>
        <w:rPr>
          <w:sz w:val="20"/>
          <w:szCs w:val="20"/>
          <w:color w:val="auto"/>
        </w:rPr>
      </w:pPr>
    </w:p>
    <w:p>
      <w:pPr>
        <w:ind w:left="340" w:right="359" w:firstLine="333"/>
        <w:spacing w:after="0" w:line="250" w:lineRule="auto"/>
        <w:rPr>
          <w:sz w:val="20"/>
          <w:szCs w:val="20"/>
          <w:color w:val="auto"/>
        </w:rPr>
      </w:pPr>
      <w:r>
        <w:rPr>
          <w:rFonts w:ascii="Times New Roman" w:cs="Times New Roman" w:eastAsia="Times New Roman" w:hAnsi="Times New Roman"/>
          <w:sz w:val="14"/>
          <w:szCs w:val="14"/>
          <w:color w:val="auto"/>
        </w:rPr>
        <w:t>As an Indiana corporation, we are governed by the IBCL. Under specified circumstances, the following provisions of the IBCL may delay, prevent or make more difficult certain unsolicited acquisitions or changes in control of us. These provisions also may have the effect of preventing changes in our management. It is possible that these provisions could make it more difficult to accomplish transactions which shareholders may otherwise deem to be in their best interest.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5" w:right="1440" w:bottom="1440" w:gutter="0" w:footer="0" w:header="0"/>
        </w:sectPr>
      </w:pPr>
    </w:p>
    <w:bookmarkStart w:id="54" w:name="page55"/>
    <w:bookmarkEnd w:id="54"/>
    <w:p>
      <w:pPr>
        <w:ind w:left="340" w:right="419" w:firstLine="333"/>
        <w:spacing w:after="0" w:line="255" w:lineRule="auto"/>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Unanimous Written Consent of Shareholders</w:t>
      </w:r>
      <w:r>
        <w:rPr>
          <w:rFonts w:ascii="Times New Roman" w:cs="Times New Roman" w:eastAsia="Times New Roman" w:hAnsi="Times New Roman"/>
          <w:sz w:val="14"/>
          <w:szCs w:val="14"/>
          <w:color w:val="auto"/>
        </w:rPr>
        <w:t>. Under Chapter 29 of the IBCL, any action required or permitted to be taken by the holders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may be effected only at an annual meeting or special meeting of such holders, and shareholders may act in lieu of such meetings only by unanimous written consent.</w:t>
      </w:r>
    </w:p>
    <w:p>
      <w:pPr>
        <w:spacing w:after="0" w:line="140" w:lineRule="exact"/>
        <w:rPr>
          <w:sz w:val="20"/>
          <w:szCs w:val="20"/>
          <w:color w:val="auto"/>
        </w:rPr>
      </w:pPr>
    </w:p>
    <w:p>
      <w:pPr>
        <w:ind w:left="340" w:right="359" w:firstLine="333"/>
        <w:spacing w:after="0" w:line="248" w:lineRule="auto"/>
        <w:rPr>
          <w:sz w:val="20"/>
          <w:szCs w:val="20"/>
          <w:color w:val="auto"/>
        </w:rPr>
      </w:pPr>
      <w:r>
        <w:rPr>
          <w:rFonts w:ascii="Times New Roman" w:cs="Times New Roman" w:eastAsia="Times New Roman" w:hAnsi="Times New Roman"/>
          <w:sz w:val="14"/>
          <w:szCs w:val="14"/>
          <w:i w:val="1"/>
          <w:iCs w:val="1"/>
          <w:color w:val="auto"/>
        </w:rPr>
        <w:t>Control Share Acquisitions</w:t>
      </w:r>
      <w:r>
        <w:rPr>
          <w:rFonts w:ascii="Times New Roman" w:cs="Times New Roman" w:eastAsia="Times New Roman" w:hAnsi="Times New Roman"/>
          <w:sz w:val="14"/>
          <w:szCs w:val="14"/>
          <w:color w:val="auto"/>
        </w:rPr>
        <w:t>. Under Chapter 42 of the IBCL, an acquiring person or group who makes a “control share acquisition” in an “issuing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public corporation” may not exercise voting rights on any “control shares” unless these voting rights are conferred by a majority vote of the disinterested shareholders of the issuing public corporation at a special meeting of those shareholders held upon the request and at the expense of the acquiring person. If control shares acquired in a control share acquisition are accorded full voting rights and the acquiring person has acquired control shares with a majority or more of all voting power, all shareholders of the issuing public corporation have dissenters’ rights to receive the fair value of their shares pursuant to Chapter 44 of the IBCL.</w:t>
      </w:r>
    </w:p>
    <w:p>
      <w:pPr>
        <w:spacing w:after="0" w:line="148" w:lineRule="exact"/>
        <w:rPr>
          <w:sz w:val="20"/>
          <w:szCs w:val="20"/>
          <w:color w:val="auto"/>
        </w:rPr>
      </w:pPr>
    </w:p>
    <w:p>
      <w:pPr>
        <w:ind w:left="340" w:right="439" w:firstLine="333"/>
        <w:spacing w:after="0" w:line="250" w:lineRule="auto"/>
        <w:rPr>
          <w:sz w:val="20"/>
          <w:szCs w:val="20"/>
          <w:color w:val="auto"/>
        </w:rPr>
      </w:pPr>
      <w:r>
        <w:rPr>
          <w:rFonts w:ascii="Times New Roman" w:cs="Times New Roman" w:eastAsia="Times New Roman" w:hAnsi="Times New Roman"/>
          <w:sz w:val="14"/>
          <w:szCs w:val="14"/>
          <w:color w:val="auto"/>
        </w:rPr>
        <w:t>Under the IBCL, “control shares” means shares acquired by a person that, when added to all other shares of the issuing public corporation owned by that person or in respect to which that person may exercise or direct the exercise of voting power, would otherwise entitle that person (directly or indirectly, alone or as part of a group) to exercise or direct the exercise of the voting power of the issuing public corporation in the election of directors within any of the following ranges:</w:t>
      </w:r>
    </w:p>
    <w:p>
      <w:pPr>
        <w:spacing w:after="0" w:line="75" w:lineRule="exact"/>
        <w:rPr>
          <w:sz w:val="20"/>
          <w:szCs w:val="20"/>
          <w:color w:val="auto"/>
        </w:rPr>
      </w:pPr>
    </w:p>
    <w:p>
      <w:pPr>
        <w:ind w:left="1080" w:hanging="334"/>
        <w:spacing w:after="0"/>
        <w:tabs>
          <w:tab w:leader="none" w:pos="1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one-fifth or more but less than one-third;</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one-third or more but less than a majority; or</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or more.</w:t>
      </w:r>
    </w:p>
    <w:p>
      <w:pPr>
        <w:spacing w:after="0" w:line="166" w:lineRule="exact"/>
        <w:rPr>
          <w:sz w:val="20"/>
          <w:szCs w:val="20"/>
          <w:color w:val="auto"/>
        </w:rPr>
      </w:pPr>
    </w:p>
    <w:p>
      <w:pPr>
        <w:ind w:left="340" w:right="479" w:firstLine="333"/>
        <w:spacing w:after="0" w:line="247" w:lineRule="auto"/>
        <w:rPr>
          <w:sz w:val="20"/>
          <w:szCs w:val="20"/>
          <w:color w:val="auto"/>
        </w:rPr>
      </w:pPr>
      <w:r>
        <w:rPr>
          <w:rFonts w:ascii="Times New Roman" w:cs="Times New Roman" w:eastAsia="Times New Roman" w:hAnsi="Times New Roman"/>
          <w:sz w:val="14"/>
          <w:szCs w:val="14"/>
          <w:color w:val="auto"/>
        </w:rPr>
        <w:t>“Control share acquisition” means, subject to specified exceptions, the acquisition, directly or indirectly, by any person of ownership of, or the power to direct the exercise of voting power with respect to, issued and outstanding control shares. For the purposes of determining whether an acquisition constitutes a control share acquisition, shares acquired within 90 days or under a plan to make a control share acquisition are considered to have been acquired in the same acquisition. “Issuing public corporation” means a corporation which has (i) 100 or more shareholders, (ii) its principal place of business or its principal office in Indiana, or that owns or controls assets within Indiana having a fair market value of greater than $1,000,000, and (iii) (A) more than 10% of its shareholders resident in Indiana, (B) more than 10% of its shares owned of record or owned beneficially by Indiana residents or (C) 1,000 shareholders resident in Indiana.</w:t>
      </w:r>
    </w:p>
    <w:p>
      <w:pPr>
        <w:spacing w:after="0" w:line="147" w:lineRule="exact"/>
        <w:rPr>
          <w:sz w:val="20"/>
          <w:szCs w:val="20"/>
          <w:color w:val="auto"/>
        </w:rPr>
      </w:pPr>
    </w:p>
    <w:p>
      <w:pPr>
        <w:ind w:left="340" w:right="439" w:firstLine="333"/>
        <w:spacing w:after="0" w:line="254" w:lineRule="auto"/>
        <w:rPr>
          <w:sz w:val="20"/>
          <w:szCs w:val="20"/>
          <w:color w:val="auto"/>
        </w:rPr>
      </w:pPr>
      <w:r>
        <w:rPr>
          <w:rFonts w:ascii="Times New Roman" w:cs="Times New Roman" w:eastAsia="Times New Roman" w:hAnsi="Times New Roman"/>
          <w:sz w:val="14"/>
          <w:szCs w:val="14"/>
          <w:color w:val="auto"/>
        </w:rPr>
        <w:t>The above provisions do not apply if, before a control share acquisition is made, the corporation’s articles of incorporation or bylaws, including a bylaw adopted by the corporation’s board of directors, provide that they do not apply. Our amended articles of incorporation and our bylaws do not currently exclude us from Chapter 42.</w:t>
      </w:r>
    </w:p>
    <w:p>
      <w:pPr>
        <w:spacing w:after="0" w:line="140" w:lineRule="exact"/>
        <w:rPr>
          <w:sz w:val="20"/>
          <w:szCs w:val="20"/>
          <w:color w:val="auto"/>
        </w:rPr>
      </w:pPr>
    </w:p>
    <w:p>
      <w:pPr>
        <w:ind w:left="340" w:right="419" w:firstLine="333"/>
        <w:spacing w:after="0" w:line="292" w:lineRule="auto"/>
        <w:rPr>
          <w:sz w:val="20"/>
          <w:szCs w:val="20"/>
          <w:color w:val="auto"/>
        </w:rPr>
      </w:pPr>
      <w:r>
        <w:rPr>
          <w:rFonts w:ascii="Times New Roman" w:cs="Times New Roman" w:eastAsia="Times New Roman" w:hAnsi="Times New Roman"/>
          <w:sz w:val="12"/>
          <w:szCs w:val="12"/>
          <w:i w:val="1"/>
          <w:iCs w:val="1"/>
          <w:color w:val="auto"/>
        </w:rPr>
        <w:t>Certain Business Combinations</w:t>
      </w:r>
      <w:r>
        <w:rPr>
          <w:rFonts w:ascii="Times New Roman" w:cs="Times New Roman" w:eastAsia="Times New Roman" w:hAnsi="Times New Roman"/>
          <w:sz w:val="12"/>
          <w:szCs w:val="12"/>
          <w:color w:val="auto"/>
        </w:rPr>
        <w:t>. Chapter 43 of the IBCL restricts the ability of a “resident domestic corporation” to engage in any business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combinations with an “interested shareholder” for five years after the date the interested shareholder became such, unless the business combination or the purchase of shares by the interested shareholder on the interested shareholder’s date of acquiring shares is approved by the board of directors of the resident domestic corporation before that date. If the business combination was not previously approved, the interested shareholder may effect a business combination after the five-year period only if that shareholder receives approval from a majority of the disinterested shareholders or the offer meets specified fair price criteria. For purposes of the above provisions, “resident domestic corporation” means an Indiana corporation that has 100 or more shareholders. “Interested shareholder” means any person, other than the resident domestic corporation or its subsidiaries, who is (1) the beneficial owner, directly or indirectly, of 10% or more of the voting power of the outstanding voting shares of the resident domestic corporation or (2) an affiliate or associate of the resident domestic corporation, which at any time within the five-year period immediately before the date in question, was the beneficial owner, directly or indirectly, of 10% or more of the voting power of the then outstanding shares of the resident domestic corporation.</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7" w:right="1440" w:bottom="1440" w:gutter="0" w:footer="0" w:header="0"/>
        </w:sectPr>
      </w:pPr>
    </w:p>
    <w:bookmarkStart w:id="55" w:name="page56"/>
    <w:bookmarkEnd w:id="55"/>
    <w:p>
      <w:pPr>
        <w:ind w:left="340" w:right="359" w:firstLine="333"/>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definition of “beneficial owner” for purposes of Chapter 43, means a person who individually or with or through any of its affiliates or associates, directly or indirectly, owns or has the right to acquire or vote the subject shares (excluding voting rights under revocable proxies made in accordance with federal law), has any agreement, arrangement or understanding for the purpose of acquiring, holding or voting or disposing of the subject shares, or holds any “derivative instrument” that includes the opportunity to profit or share in any profit derived from any increase in the value of the subject shares.</w:t>
      </w:r>
    </w:p>
    <w:p>
      <w:pPr>
        <w:spacing w:after="0" w:line="149" w:lineRule="exact"/>
        <w:rPr>
          <w:sz w:val="20"/>
          <w:szCs w:val="20"/>
          <w:color w:val="auto"/>
        </w:rPr>
      </w:pPr>
    </w:p>
    <w:p>
      <w:pPr>
        <w:jc w:val="both"/>
        <w:ind w:left="340" w:right="639" w:firstLine="333"/>
        <w:spacing w:after="0" w:line="316" w:lineRule="auto"/>
        <w:rPr>
          <w:sz w:val="20"/>
          <w:szCs w:val="20"/>
          <w:color w:val="auto"/>
        </w:rPr>
      </w:pPr>
      <w:r>
        <w:rPr>
          <w:rFonts w:ascii="Times New Roman" w:cs="Times New Roman" w:eastAsia="Times New Roman" w:hAnsi="Times New Roman"/>
          <w:sz w:val="12"/>
          <w:szCs w:val="12"/>
          <w:color w:val="auto"/>
        </w:rPr>
        <w:t>The above provisions do not apply to corporations that elect not to be subject to Chapter 43 in an amendment to their articles of incorporation approved by a majority of the disinterested shareholders. That amendment, however, cannot become effective until 18 months after its passage and would apply only to share acquisitions occurring after its effective date. Our amended articles of incorporation do not exclude us from Chapter 43.</w:t>
      </w:r>
    </w:p>
    <w:p>
      <w:pPr>
        <w:spacing w:after="0" w:line="10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Directors’ Duties and Liability</w:t>
      </w:r>
      <w:r>
        <w:rPr>
          <w:rFonts w:ascii="Times New Roman" w:cs="Times New Roman" w:eastAsia="Times New Roman" w:hAnsi="Times New Roman"/>
          <w:sz w:val="14"/>
          <w:szCs w:val="14"/>
          <w:color w:val="auto"/>
        </w:rPr>
        <w:t>. Under Chapter 35 of the IBCL, directors are required to discharge their duties:</w:t>
      </w:r>
    </w:p>
    <w:p>
      <w:pPr>
        <w:spacing w:after="0" w:line="96" w:lineRule="exact"/>
        <w:rPr>
          <w:sz w:val="20"/>
          <w:szCs w:val="20"/>
          <w:color w:val="auto"/>
        </w:rPr>
      </w:pPr>
    </w:p>
    <w:p>
      <w:pPr>
        <w:ind w:left="1080" w:hanging="334"/>
        <w:spacing w:after="0"/>
        <w:tabs>
          <w:tab w:leader="none" w:pos="10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good faith;</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care an ordinarily prudent person in a like position would exercise under similar circumstances; and</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 manner the directors reasonably believe to be in the best interests of the corporation.</w:t>
      </w:r>
    </w:p>
    <w:p>
      <w:pPr>
        <w:spacing w:after="0" w:line="166" w:lineRule="exact"/>
        <w:rPr>
          <w:sz w:val="20"/>
          <w:szCs w:val="20"/>
          <w:color w:val="auto"/>
        </w:rPr>
      </w:pPr>
    </w:p>
    <w:p>
      <w:pPr>
        <w:jc w:val="both"/>
        <w:ind w:left="340" w:right="419" w:firstLine="333"/>
        <w:spacing w:after="0" w:line="254" w:lineRule="auto"/>
        <w:rPr>
          <w:sz w:val="20"/>
          <w:szCs w:val="20"/>
          <w:color w:val="auto"/>
        </w:rPr>
      </w:pPr>
      <w:r>
        <w:rPr>
          <w:rFonts w:ascii="Times New Roman" w:cs="Times New Roman" w:eastAsia="Times New Roman" w:hAnsi="Times New Roman"/>
          <w:sz w:val="14"/>
          <w:szCs w:val="14"/>
          <w:color w:val="auto"/>
        </w:rPr>
        <w:t>However, the IBCL also provides that a director is not liable for any action taken as a director, or any failure to act, regardless of the nature of the alleged breach of duty (including breaches of the duty of care, the duty of loyalty, and the duty of good faith) unless the director has breached or failed to perform the duties of the director’s office and the action or failure to act constitutes willful misconduct or recklessness.</w:t>
      </w:r>
    </w:p>
    <w:p>
      <w:pPr>
        <w:spacing w:after="0" w:line="14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This exoneration from liability under the IBCL does not affect the liability of directors for violations of the federal securities laws.</w:t>
      </w:r>
    </w:p>
    <w:p>
      <w:pPr>
        <w:spacing w:after="0" w:line="166" w:lineRule="exact"/>
        <w:rPr>
          <w:sz w:val="20"/>
          <w:szCs w:val="20"/>
          <w:color w:val="auto"/>
        </w:rPr>
      </w:pPr>
    </w:p>
    <w:p>
      <w:pPr>
        <w:ind w:left="340" w:right="399" w:firstLine="333"/>
        <w:spacing w:after="0" w:line="245" w:lineRule="auto"/>
        <w:rPr>
          <w:sz w:val="20"/>
          <w:szCs w:val="20"/>
          <w:color w:val="auto"/>
        </w:rPr>
      </w:pPr>
      <w:r>
        <w:rPr>
          <w:rFonts w:ascii="Times New Roman" w:cs="Times New Roman" w:eastAsia="Times New Roman" w:hAnsi="Times New Roman"/>
          <w:sz w:val="14"/>
          <w:szCs w:val="14"/>
          <w:color w:val="auto"/>
        </w:rPr>
        <w:t>Chapter 35 of the IBCL also provides that a board of directors, in discharging its duties, may consider, in its discretion, both the long-term and short-term best interests of the corporation, taking into account, and weighing as the directors deem appropriate, the effects of an action on the corporation’s shareholders, employees, suppliers and customers and the communities in which offices or other facilities of the corporation are located and any other factors the directors consider pertinent. Directors are not required to consider the effects of a proposed corporate action on any particular corporate constituent group or interest as a dominant or controlling factor. If a determination is made with the approval of a majority of the disinterested directors of the board, that determination is conclusively presumed to be valid unless it can be demonstrated that the determination was not made in good faith after reasonable investigation. Chapter 35 specifically provides that specified judicial decisions in Delaware and other jurisdictions, which might otherwise be looked upon for guidance in interpreting Indiana corporate law, including decisions that impose a higher or different degree of scrutiny on actions taken by directors in response to a proposed acquisition of control of the corporation, are inconsistent with the proper application of the business judgment rule under that section.</w:t>
      </w:r>
    </w:p>
    <w:p>
      <w:pPr>
        <w:spacing w:after="0" w:line="152" w:lineRule="exact"/>
        <w:rPr>
          <w:sz w:val="20"/>
          <w:szCs w:val="20"/>
          <w:color w:val="auto"/>
        </w:rPr>
      </w:pPr>
    </w:p>
    <w:p>
      <w:pPr>
        <w:ind w:left="340" w:right="419" w:firstLine="333"/>
        <w:spacing w:after="0" w:line="297" w:lineRule="auto"/>
        <w:rPr>
          <w:sz w:val="20"/>
          <w:szCs w:val="20"/>
          <w:color w:val="auto"/>
        </w:rPr>
      </w:pPr>
      <w:r>
        <w:rPr>
          <w:rFonts w:ascii="Times New Roman" w:cs="Times New Roman" w:eastAsia="Times New Roman" w:hAnsi="Times New Roman"/>
          <w:sz w:val="12"/>
          <w:szCs w:val="12"/>
          <w:i w:val="1"/>
          <w:iCs w:val="1"/>
          <w:color w:val="auto"/>
        </w:rPr>
        <w:t>Mandatory Classified Board of Directors</w:t>
      </w:r>
      <w:r>
        <w:rPr>
          <w:rFonts w:ascii="Times New Roman" w:cs="Times New Roman" w:eastAsia="Times New Roman" w:hAnsi="Times New Roman"/>
          <w:sz w:val="12"/>
          <w:szCs w:val="12"/>
          <w:color w:val="auto"/>
        </w:rPr>
        <w:t>. Under Chapter 33 of the IBCL, a corporation with a class of voting shares registered with the SEC</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under Section 12 of the Exchange Act must have a classified board of directors unless the corporation adopts a bylaw expressly electing not to be governed by this provision by the later of July 31, 2009 or 30 days after the corporation’s voting shares are registered under Section 12 of the Exchange Act. Although our amended articles of incorporation provide for a classified board of directors (and that provision can only be amended upon the affirmative vote of holders of at least 80% of our outstanding voting stock), we adopted an amendment to our bylaws electing not to be subject to this mandatory requirement effective July 13, 2009; however, the IBCL permits this election to be rescinded by subsequent action of our board of directors.</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9" w:right="1440" w:bottom="1440" w:gutter="0" w:footer="0" w:header="0"/>
        </w:sectPr>
      </w:pPr>
    </w:p>
    <w:bookmarkStart w:id="56" w:name="page57"/>
    <w:bookmarkEnd w:id="56"/>
    <w:p>
      <w:pPr>
        <w:ind w:left="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Certain Effects of Authorized But Unissued Stock</w:t>
      </w:r>
    </w:p>
    <w:p>
      <w:pPr>
        <w:spacing w:after="0" w:line="88" w:lineRule="exact"/>
        <w:rPr>
          <w:sz w:val="20"/>
          <w:szCs w:val="20"/>
          <w:color w:val="auto"/>
        </w:rPr>
      </w:pPr>
    </w:p>
    <w:p>
      <w:pPr>
        <w:ind w:left="340" w:right="699" w:firstLine="333"/>
        <w:spacing w:after="0" w:line="264" w:lineRule="auto"/>
        <w:rPr>
          <w:sz w:val="20"/>
          <w:szCs w:val="20"/>
          <w:color w:val="auto"/>
        </w:rPr>
      </w:pPr>
      <w:r>
        <w:rPr>
          <w:rFonts w:ascii="Times New Roman" w:cs="Times New Roman" w:eastAsia="Times New Roman" w:hAnsi="Times New Roman"/>
          <w:sz w:val="14"/>
          <w:szCs w:val="14"/>
          <w:color w:val="auto"/>
        </w:rPr>
        <w:t>Our authorized but unissued shares of common stock and preferred stock may be issued without additional shareholder approval and may be utilized for a variety of corporate purposes, including future offerings to raise additional capital or to facilitate corporate acquisitions.</w:t>
      </w:r>
    </w:p>
    <w:p>
      <w:pPr>
        <w:spacing w:after="0" w:line="136" w:lineRule="exact"/>
        <w:rPr>
          <w:sz w:val="20"/>
          <w:szCs w:val="20"/>
          <w:color w:val="auto"/>
        </w:rPr>
      </w:pPr>
    </w:p>
    <w:p>
      <w:pPr>
        <w:jc w:val="both"/>
        <w:ind w:left="340" w:right="599" w:firstLine="333"/>
        <w:spacing w:after="0" w:line="316" w:lineRule="auto"/>
        <w:rPr>
          <w:sz w:val="20"/>
          <w:szCs w:val="20"/>
          <w:color w:val="auto"/>
        </w:rPr>
      </w:pPr>
      <w:r>
        <w:rPr>
          <w:rFonts w:ascii="Times New Roman" w:cs="Times New Roman" w:eastAsia="Times New Roman" w:hAnsi="Times New Roman"/>
          <w:sz w:val="12"/>
          <w:szCs w:val="12"/>
          <w:color w:val="auto"/>
        </w:rPr>
        <w:t>The issuance of preferred stock could have the effect of delaying or preventing a change in control of our company. The issuance of preferred stock could decrease the amount available for distribution to holders of our common stock or could adversely affect the rights and powers, including voting rights, of such holders. In certain circumstances, such issuance could have the effect of decreasing the market price of our common stock.</w:t>
      </w:r>
    </w:p>
    <w:p>
      <w:pPr>
        <w:spacing w:after="0" w:line="109" w:lineRule="exact"/>
        <w:rPr>
          <w:sz w:val="20"/>
          <w:szCs w:val="20"/>
          <w:color w:val="auto"/>
        </w:rPr>
      </w:pPr>
    </w:p>
    <w:p>
      <w:pPr>
        <w:ind w:left="340" w:right="499" w:firstLine="333"/>
        <w:spacing w:after="0" w:line="250" w:lineRule="auto"/>
        <w:rPr>
          <w:sz w:val="20"/>
          <w:szCs w:val="20"/>
          <w:color w:val="auto"/>
        </w:rPr>
      </w:pPr>
      <w:r>
        <w:rPr>
          <w:rFonts w:ascii="Times New Roman" w:cs="Times New Roman" w:eastAsia="Times New Roman" w:hAnsi="Times New Roman"/>
          <w:sz w:val="14"/>
          <w:szCs w:val="14"/>
          <w:color w:val="auto"/>
        </w:rPr>
        <w:t>One of the effects of the existence of unissued and unreserved common stock or preferred stock may be to enable our board of directors to issue shares to persons friendly to current management, which could render more difficult or discourage an attempt to obtain control of us by means of a merger, tender offer, proxy contest or otherwise, and thereby protect the continuity of management. Such additional shares also could be used to dilute the stock ownership of persons seeking to obtain control of us.</w:t>
      </w:r>
    </w:p>
    <w:p>
      <w:pPr>
        <w:spacing w:after="0" w:line="14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We plan to issue additional shares of common stock in connection with our employee benefit plans.</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EQ Shareowner Services acts as transfer agent and registrar of our common stock.</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Our common stock is listed on the New York Stock Exchange under the symbol “LLY”.</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DESCRIPTION OF DEPOSITARY SHARES</w:t>
      </w:r>
    </w:p>
    <w:p>
      <w:pPr>
        <w:spacing w:after="0" w:line="170" w:lineRule="exact"/>
        <w:rPr>
          <w:sz w:val="20"/>
          <w:szCs w:val="20"/>
          <w:color w:val="auto"/>
        </w:rPr>
      </w:pPr>
    </w:p>
    <w:p>
      <w:pPr>
        <w:ind w:left="340" w:right="459" w:firstLine="333"/>
        <w:spacing w:after="0" w:line="305" w:lineRule="auto"/>
        <w:rPr>
          <w:sz w:val="20"/>
          <w:szCs w:val="20"/>
          <w:color w:val="auto"/>
        </w:rPr>
      </w:pPr>
      <w:r>
        <w:rPr>
          <w:rFonts w:ascii="Times New Roman" w:cs="Times New Roman" w:eastAsia="Times New Roman" w:hAnsi="Times New Roman"/>
          <w:sz w:val="12"/>
          <w:szCs w:val="12"/>
          <w:color w:val="auto"/>
        </w:rPr>
        <w:t>The following description of depositary shares does not purport to be complete and is subject to, and qualified in its entirety by, (i) the deposit agreement to be entered into between us and a bank or trust company selected by us and (ii) the depositary receipt relating to the preferred stock that is attached to such deposit agreement. You should read these documents as they, and not this description, define your rights as a holder of depositary shares. Forms of these documents will be deemed filed with the SEC as exhibits to the registration statement of which this prospectus forms a part.</w:t>
      </w:r>
    </w:p>
    <w:p>
      <w:pPr>
        <w:spacing w:after="0" w:line="116" w:lineRule="exact"/>
        <w:rPr>
          <w:sz w:val="20"/>
          <w:szCs w:val="20"/>
          <w:color w:val="auto"/>
        </w:rPr>
      </w:pPr>
    </w:p>
    <w:p>
      <w:pPr>
        <w:ind w:left="340" w:right="419" w:firstLine="333"/>
        <w:spacing w:after="0" w:line="305" w:lineRule="auto"/>
        <w:rPr>
          <w:sz w:val="20"/>
          <w:szCs w:val="20"/>
          <w:color w:val="auto"/>
        </w:rPr>
      </w:pPr>
      <w:r>
        <w:rPr>
          <w:rFonts w:ascii="Times New Roman" w:cs="Times New Roman" w:eastAsia="Times New Roman" w:hAnsi="Times New Roman"/>
          <w:sz w:val="12"/>
          <w:szCs w:val="12"/>
          <w:color w:val="auto"/>
        </w:rPr>
        <w:t>If we elect to offer fractional interests in shares of preferred stock, we will provide for the issuance by a depositary of depositary receipts for depositary shares. Each depositary share will represent fractional interests of preferred stock. We will deposit the shares of preferred stock underlying the depositary shares under the deposit agreement. The bank or trust company must have its principal office in the United States and a combined capital and surplus of at least $50 million. The depositary receipts will evidence the depositary shares issued under the deposit agreement.</w:t>
      </w:r>
    </w:p>
    <w:p>
      <w:pPr>
        <w:spacing w:after="0" w:line="116" w:lineRule="exact"/>
        <w:rPr>
          <w:sz w:val="20"/>
          <w:szCs w:val="20"/>
          <w:color w:val="auto"/>
        </w:rPr>
      </w:pPr>
    </w:p>
    <w:p>
      <w:pPr>
        <w:ind w:left="340" w:right="419" w:firstLine="333"/>
        <w:spacing w:after="0" w:line="305" w:lineRule="auto"/>
        <w:rPr>
          <w:sz w:val="20"/>
          <w:szCs w:val="20"/>
          <w:color w:val="auto"/>
        </w:rPr>
      </w:pPr>
      <w:r>
        <w:rPr>
          <w:rFonts w:ascii="Times New Roman" w:cs="Times New Roman" w:eastAsia="Times New Roman" w:hAnsi="Times New Roman"/>
          <w:sz w:val="12"/>
          <w:szCs w:val="12"/>
          <w:color w:val="auto"/>
        </w:rPr>
        <w:t>The deposit agreement will contain terms applicable to the holders of depositary shares in addition to the terms stated in the depositary receipts. Each holder of depositary shares will be entitled to all the rights and preferences of the preferred stock underlying the depositary shares in proportion to the applicable fractional interest in the underlying shares of preferred stock. The depositary will issue depositary receipts to individuals purchasing the fractional interests in shares of the related preferred stock according to the terms of the offering described in the applicable prospectus supplement.</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Dividends and Other Distributions</w:t>
      </w:r>
    </w:p>
    <w:p>
      <w:pPr>
        <w:spacing w:after="0" w:line="88" w:lineRule="exact"/>
        <w:rPr>
          <w:sz w:val="20"/>
          <w:szCs w:val="20"/>
          <w:color w:val="auto"/>
        </w:rPr>
      </w:pPr>
    </w:p>
    <w:p>
      <w:pPr>
        <w:ind w:left="340" w:right="499" w:firstLine="333"/>
        <w:spacing w:after="0" w:line="264" w:lineRule="auto"/>
        <w:rPr>
          <w:sz w:val="20"/>
          <w:szCs w:val="20"/>
          <w:color w:val="auto"/>
        </w:rPr>
      </w:pPr>
      <w:r>
        <w:rPr>
          <w:rFonts w:ascii="Times New Roman" w:cs="Times New Roman" w:eastAsia="Times New Roman" w:hAnsi="Times New Roman"/>
          <w:sz w:val="14"/>
          <w:szCs w:val="14"/>
          <w:color w:val="auto"/>
        </w:rPr>
        <w:t>The depositary will distribute all cash dividends or other cash distributions received for the preferred stock to the holders of depositary shares in proportion to the number of depositary shares that they own on the relevant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5" w:right="1440" w:bottom="1440" w:gutter="0" w:footer="0" w:header="0"/>
        </w:sectPr>
      </w:pPr>
    </w:p>
    <w:bookmarkStart w:id="57" w:name="page58"/>
    <w:bookmarkEnd w:id="57"/>
    <w:p>
      <w:pPr>
        <w:ind w:left="340" w:right="41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record date. The depositary will distribute only an amount that can be distributed without attributing to any holder of depositary shares a fraction of one cent. The depositary will add any undistributed balance to, and treat it as part of, the next sum received by the depositary for distribution to holders of depositary shares.</w:t>
      </w:r>
    </w:p>
    <w:p>
      <w:pPr>
        <w:spacing w:after="0" w:line="142" w:lineRule="exact"/>
        <w:rPr>
          <w:sz w:val="20"/>
          <w:szCs w:val="20"/>
          <w:color w:val="auto"/>
        </w:rPr>
      </w:pPr>
    </w:p>
    <w:p>
      <w:pPr>
        <w:ind w:left="340" w:right="399" w:firstLine="333"/>
        <w:spacing w:after="0" w:line="248" w:lineRule="auto"/>
        <w:rPr>
          <w:sz w:val="20"/>
          <w:szCs w:val="20"/>
          <w:color w:val="auto"/>
        </w:rPr>
      </w:pPr>
      <w:r>
        <w:rPr>
          <w:rFonts w:ascii="Times New Roman" w:cs="Times New Roman" w:eastAsia="Times New Roman" w:hAnsi="Times New Roman"/>
          <w:sz w:val="14"/>
          <w:szCs w:val="14"/>
          <w:color w:val="auto"/>
        </w:rPr>
        <w:t>If there is a non-cash distribution, the depositary will distribute property received by it to the holders of depositary shares in proportion, insofar as possible, to the number of depositary shares owned by them, unless the depositary determines, after consultation with us, that it is not feasible to make such distribution. If this occurs, the depositary may, with our approval, sell such property and distribute the net proceeds from the sale to the holders. The deposit agreement also will contain provisions relating to how any subscription or similar rights that we may offer to holders of the preferred stock will be available to the holders of the depositary shares.</w:t>
      </w: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Conversion, Exchange and Redemption</w:t>
      </w:r>
    </w:p>
    <w:p>
      <w:pPr>
        <w:spacing w:after="0" w:line="88" w:lineRule="exact"/>
        <w:rPr>
          <w:sz w:val="20"/>
          <w:szCs w:val="20"/>
          <w:color w:val="auto"/>
        </w:rPr>
      </w:pPr>
    </w:p>
    <w:p>
      <w:pPr>
        <w:ind w:left="340" w:right="559" w:firstLine="333"/>
        <w:spacing w:after="0" w:line="264" w:lineRule="auto"/>
        <w:rPr>
          <w:sz w:val="20"/>
          <w:szCs w:val="20"/>
          <w:color w:val="auto"/>
        </w:rPr>
      </w:pPr>
      <w:r>
        <w:rPr>
          <w:rFonts w:ascii="Times New Roman" w:cs="Times New Roman" w:eastAsia="Times New Roman" w:hAnsi="Times New Roman"/>
          <w:sz w:val="14"/>
          <w:szCs w:val="14"/>
          <w:color w:val="auto"/>
        </w:rPr>
        <w:t>If the preferred stock underlying the depositary shares may be converted or exchanged, each holder of depositary receipts will have the right or obligation, as applicable, to convert or exchange the depositary shares represented by the depositary receipts.</w:t>
      </w:r>
    </w:p>
    <w:p>
      <w:pPr>
        <w:spacing w:after="0" w:line="136" w:lineRule="exact"/>
        <w:rPr>
          <w:sz w:val="20"/>
          <w:szCs w:val="20"/>
          <w:color w:val="auto"/>
        </w:rPr>
      </w:pPr>
    </w:p>
    <w:p>
      <w:pPr>
        <w:ind w:left="340" w:right="459" w:firstLine="333"/>
        <w:spacing w:after="0" w:line="247" w:lineRule="auto"/>
        <w:rPr>
          <w:sz w:val="20"/>
          <w:szCs w:val="20"/>
          <w:color w:val="auto"/>
        </w:rPr>
      </w:pPr>
      <w:r>
        <w:rPr>
          <w:rFonts w:ascii="Times New Roman" w:cs="Times New Roman" w:eastAsia="Times New Roman" w:hAnsi="Times New Roman"/>
          <w:sz w:val="14"/>
          <w:szCs w:val="14"/>
          <w:color w:val="auto"/>
        </w:rPr>
        <w:t>Whenever we redeem shares of preferred stock held by the depositary, the depositary will redeem, at the same time, the number of depositary shares representing the preferred stock. The depositary will redeem the depositary shares from the proceeds it receives from the corresponding redemption, in whole or in part, of the underlying preferred stock. The depositary will send notice of redemption to the holders of the depositary shares that are to be redeemed between 30 and 60 days before the date fixed for redemption. The redemption price per depositary share will be equal to the applicable fraction of the redemption price per share on the underlying preferred stock. If less than all the depositary shares are to be redeemed, the depositary will select which shares to be redeemed by lot, proportionate allocation or any other method.</w:t>
      </w:r>
    </w:p>
    <w:p>
      <w:pPr>
        <w:spacing w:after="0" w:line="150" w:lineRule="exact"/>
        <w:rPr>
          <w:sz w:val="20"/>
          <w:szCs w:val="20"/>
          <w:color w:val="auto"/>
        </w:rPr>
      </w:pPr>
    </w:p>
    <w:p>
      <w:pPr>
        <w:ind w:left="340" w:right="459" w:firstLine="333"/>
        <w:spacing w:after="0" w:line="349" w:lineRule="auto"/>
        <w:rPr>
          <w:sz w:val="20"/>
          <w:szCs w:val="20"/>
          <w:color w:val="auto"/>
        </w:rPr>
      </w:pPr>
      <w:r>
        <w:rPr>
          <w:rFonts w:ascii="Times New Roman" w:cs="Times New Roman" w:eastAsia="Times New Roman" w:hAnsi="Times New Roman"/>
          <w:sz w:val="12"/>
          <w:szCs w:val="12"/>
          <w:color w:val="auto"/>
        </w:rPr>
        <w:t>After the date fixed for redemption, the depositary shares called for redemption will no longer be outstanding. When the depositary shares are no longer outstanding, all rights of the holders will end, except the right to receive money, securities or other property payable upon redemption.</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Voting</w:t>
      </w:r>
    </w:p>
    <w:p>
      <w:pPr>
        <w:spacing w:after="0" w:line="88" w:lineRule="exact"/>
        <w:rPr>
          <w:sz w:val="20"/>
          <w:szCs w:val="20"/>
          <w:color w:val="auto"/>
        </w:rPr>
      </w:pPr>
    </w:p>
    <w:p>
      <w:pPr>
        <w:ind w:left="340" w:right="379" w:firstLine="333"/>
        <w:spacing w:after="0" w:line="247" w:lineRule="auto"/>
        <w:rPr>
          <w:sz w:val="20"/>
          <w:szCs w:val="20"/>
          <w:color w:val="auto"/>
        </w:rPr>
      </w:pPr>
      <w:r>
        <w:rPr>
          <w:rFonts w:ascii="Times New Roman" w:cs="Times New Roman" w:eastAsia="Times New Roman" w:hAnsi="Times New Roman"/>
          <w:sz w:val="14"/>
          <w:szCs w:val="14"/>
          <w:color w:val="auto"/>
        </w:rPr>
        <w:t>When the depositary receives notice of a meeting at which the holders of the preferred stock are entitled to vote, the depositary will send the particulars of the meeting to the holders of the depositary shares. Each holder of depositary shares on the record date may instruct the depositary on how to vote the shares of preferred stock underlying the holder’s depositary shares. The depositary will try, if practical, to vote the number of shares of preferred stock underlying the depositary shares according to the instructions. The depositary will abstain from voting shares of the preferred stock to the extent it does not receive specific instructions from the holders of depositary shares representing such preferred stock. We will agree to take all reasonable action requested by the depositary to enable it to vote as instructed.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Record Date</w:t>
      </w:r>
    </w:p>
    <w:p>
      <w:pPr>
        <w:spacing w:after="0" w:line="88" w:lineRule="exact"/>
        <w:rPr>
          <w:sz w:val="20"/>
          <w:szCs w:val="20"/>
          <w:color w:val="auto"/>
        </w:rPr>
      </w:pPr>
    </w:p>
    <w:p>
      <w:pPr>
        <w:ind w:left="340" w:right="379" w:firstLine="333"/>
        <w:spacing w:after="0" w:line="246" w:lineRule="auto"/>
        <w:rPr>
          <w:sz w:val="20"/>
          <w:szCs w:val="20"/>
          <w:color w:val="auto"/>
        </w:rPr>
      </w:pPr>
      <w:r>
        <w:rPr>
          <w:rFonts w:ascii="Times New Roman" w:cs="Times New Roman" w:eastAsia="Times New Roman" w:hAnsi="Times New Roman"/>
          <w:sz w:val="14"/>
          <w:szCs w:val="14"/>
          <w:color w:val="auto"/>
        </w:rPr>
        <w:t>Whenever (1) any cash dividend or other cash distribution shall become payable, any distribution other than cash shall be made, or any rights, preferences or privileges shall be offered with respect to the underlying preferred stock, or (2) the depositary shall receive notice of any meeting at which holders of the underlying preferred stock are entitled to vote or of which holders of the underlying preferred stock are entitled to notice, or of the mandatory conversion of or any election on our part to call for the redemption of any of the underlying preferred stock, the depositary shall in each such instance fix a record date (which shall be the same as the record date for the underlying preferred stock) for the determination of the holders (x) who shall be entitled to receive such dividend, distribution, rights, preferences or privileges or the net proceeds of the sale thereof or (y) who shall be entitled to give instructions for the exercise of voting rights at any such meeting or to receive notice of such meeting or of such redemption or conversion, subject to the provisions of the deposit agreement.</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9" w:right="1440" w:bottom="1440" w:gutter="0" w:footer="0" w:header="0"/>
        </w:sectPr>
      </w:pPr>
    </w:p>
    <w:bookmarkStart w:id="58" w:name="page59"/>
    <w:bookmarkEnd w:id="58"/>
    <w:p>
      <w:pPr>
        <w:ind w:left="3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Amendments</w:t>
      </w:r>
    </w:p>
    <w:p>
      <w:pPr>
        <w:spacing w:after="0" w:line="88" w:lineRule="exact"/>
        <w:rPr>
          <w:sz w:val="20"/>
          <w:szCs w:val="20"/>
          <w:color w:val="auto"/>
        </w:rPr>
      </w:pPr>
    </w:p>
    <w:p>
      <w:pPr>
        <w:ind w:left="340" w:right="419" w:firstLine="333"/>
        <w:spacing w:after="0" w:line="294" w:lineRule="auto"/>
        <w:rPr>
          <w:sz w:val="20"/>
          <w:szCs w:val="20"/>
          <w:color w:val="auto"/>
        </w:rPr>
      </w:pPr>
      <w:r>
        <w:rPr>
          <w:rFonts w:ascii="Times New Roman" w:cs="Times New Roman" w:eastAsia="Times New Roman" w:hAnsi="Times New Roman"/>
          <w:sz w:val="12"/>
          <w:szCs w:val="12"/>
          <w:color w:val="auto"/>
        </w:rPr>
        <w:t>We and the depositary may agree to amend the deposit agreement and the depositary receipt evidencing the depositary shares. Any amendment that (a) imposes or increases certain fees, taxes or other charges payable by the holders of the depositary shares as described in the deposit agreement or</w:t>
      </w:r>
    </w:p>
    <w:p>
      <w:pPr>
        <w:spacing w:after="0" w:line="1" w:lineRule="exact"/>
        <w:rPr>
          <w:sz w:val="20"/>
          <w:szCs w:val="20"/>
          <w:color w:val="auto"/>
        </w:rPr>
      </w:pPr>
    </w:p>
    <w:p>
      <w:pPr>
        <w:ind w:left="340" w:right="579" w:hanging="3"/>
        <w:spacing w:after="0" w:line="245" w:lineRule="auto"/>
        <w:tabs>
          <w:tab w:leader="none" w:pos="533"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prejudices any substantial existing right of holders of depositary shares will not take effect until 30 days after the depositary has sent notice of the amendment to the record holders of depositary shares. Any holder of depositary shares that continues to hold its shares at the end of the 30-day period will be deemed to have agreed to the amendment.</w:t>
      </w: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Termination</w:t>
      </w:r>
    </w:p>
    <w:p>
      <w:pPr>
        <w:spacing w:after="0" w:line="88" w:lineRule="exact"/>
        <w:rPr>
          <w:sz w:val="20"/>
          <w:szCs w:val="20"/>
          <w:color w:val="auto"/>
        </w:rPr>
      </w:pPr>
    </w:p>
    <w:p>
      <w:pPr>
        <w:ind w:left="340" w:right="459" w:firstLine="333"/>
        <w:spacing w:after="0" w:line="264" w:lineRule="auto"/>
        <w:rPr>
          <w:sz w:val="20"/>
          <w:szCs w:val="20"/>
          <w:color w:val="auto"/>
        </w:rPr>
      </w:pPr>
      <w:r>
        <w:rPr>
          <w:rFonts w:ascii="Times New Roman" w:cs="Times New Roman" w:eastAsia="Times New Roman" w:hAnsi="Times New Roman"/>
          <w:sz w:val="14"/>
          <w:szCs w:val="14"/>
          <w:color w:val="auto"/>
        </w:rPr>
        <w:t>We may, at our option, direct the depositary to terminate the deposit agreement by sending a notice of termination to holders of depositary shares at least 30 days prior to termination. In addition, a deposit agreement will automatically terminate if:</w:t>
      </w:r>
    </w:p>
    <w:p>
      <w:pPr>
        <w:spacing w:after="0" w:line="65" w:lineRule="exact"/>
        <w:rPr>
          <w:sz w:val="20"/>
          <w:szCs w:val="20"/>
          <w:color w:val="auto"/>
        </w:rPr>
      </w:pPr>
    </w:p>
    <w:p>
      <w:pPr>
        <w:ind w:left="1080" w:hanging="334"/>
        <w:spacing w:after="0"/>
        <w:tabs>
          <w:tab w:leader="none" w:pos="10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has redeemed all related outstanding depositary shares, or</w:t>
      </w:r>
    </w:p>
    <w:p>
      <w:pPr>
        <w:spacing w:after="0" w:line="94" w:lineRule="exact"/>
        <w:rPr>
          <w:rFonts w:ascii="Times New Roman" w:cs="Times New Roman" w:eastAsia="Times New Roman" w:hAnsi="Times New Roman"/>
          <w:sz w:val="14"/>
          <w:szCs w:val="14"/>
          <w:color w:val="auto"/>
        </w:rPr>
      </w:pPr>
    </w:p>
    <w:p>
      <w:pPr>
        <w:ind w:left="1080" w:right="379" w:hanging="334"/>
        <w:spacing w:after="0" w:line="264" w:lineRule="auto"/>
        <w:tabs>
          <w:tab w:leader="none" w:pos="10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liquidated, terminated or wound up our business and the depositary has distributed the underlying preferred stock to the holders of the related depositary shares.</w:t>
      </w:r>
    </w:p>
    <w:p>
      <w:pPr>
        <w:spacing w:after="0" w:line="136" w:lineRule="exact"/>
        <w:rPr>
          <w:sz w:val="20"/>
          <w:szCs w:val="20"/>
          <w:color w:val="auto"/>
        </w:rPr>
      </w:pPr>
    </w:p>
    <w:p>
      <w:pPr>
        <w:ind w:left="340" w:right="359" w:firstLine="333"/>
        <w:spacing w:after="0" w:line="245" w:lineRule="auto"/>
        <w:rPr>
          <w:sz w:val="20"/>
          <w:szCs w:val="20"/>
          <w:color w:val="auto"/>
        </w:rPr>
      </w:pPr>
      <w:r>
        <w:rPr>
          <w:rFonts w:ascii="Times New Roman" w:cs="Times New Roman" w:eastAsia="Times New Roman" w:hAnsi="Times New Roman"/>
          <w:sz w:val="14"/>
          <w:szCs w:val="14"/>
          <w:color w:val="auto"/>
        </w:rPr>
        <w:t>The depositary may likewise terminate the deposit agreement if at any time 60 days shall have expired after the depositary shall have delivered to us a written notice of its election to resign and a successor depositary shall not have been appointed and accepted its appointment. If any depositary receipts remain outstanding after the date of termination, the depositary thereafter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(1) to collect dividends on the underlying preferred stock and any other distributions with respect thereto and (2) to deliver the underlying preferred stock together with such dividends and distributions and the net proceeds of any sales of rights, preferences, privileges or other property, without liability for interest thereon, in exchange for depositary receipts surrendered. At any time after the expiration of two years from the date of termination, the depositary may sell any underlying preferred stock then held by it at public or private sales, at such place or places and upon such terms as it deems proper and may thereafter hold the net proceeds of any such sale, together with any money and other property then held by it, without liability for interest thereon, for the pro rata benefit of the holders of depositary receipts which have not been surrendered.</w:t>
      </w:r>
    </w:p>
    <w:p>
      <w:pPr>
        <w:spacing w:after="0" w:line="2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Payment of Fees and Expenses</w:t>
      </w:r>
    </w:p>
    <w:p>
      <w:pPr>
        <w:spacing w:after="0" w:line="88" w:lineRule="exact"/>
        <w:rPr>
          <w:sz w:val="20"/>
          <w:szCs w:val="20"/>
          <w:color w:val="auto"/>
        </w:rPr>
      </w:pPr>
    </w:p>
    <w:p>
      <w:pPr>
        <w:ind w:left="340" w:right="739" w:firstLine="333"/>
        <w:spacing w:after="0" w:line="254" w:lineRule="auto"/>
        <w:rPr>
          <w:sz w:val="20"/>
          <w:szCs w:val="20"/>
          <w:color w:val="auto"/>
        </w:rPr>
      </w:pPr>
      <w:r>
        <w:rPr>
          <w:rFonts w:ascii="Times New Roman" w:cs="Times New Roman" w:eastAsia="Times New Roman" w:hAnsi="Times New Roman"/>
          <w:sz w:val="14"/>
          <w:szCs w:val="14"/>
          <w:color w:val="auto"/>
        </w:rPr>
        <w:t>We will pay all fees, charges and expenses of the depositary, including the initial deposit of the preferred stock and any redemption of the preferred stock. Holders of depositary shares will pay transfer and other taxes and governmental charges and any other charges as are stated in the deposit agreement for their accounts.</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Resignation and Removal of Depositary</w:t>
      </w:r>
    </w:p>
    <w:p>
      <w:pPr>
        <w:spacing w:after="0" w:line="88" w:lineRule="exact"/>
        <w:rPr>
          <w:sz w:val="20"/>
          <w:szCs w:val="20"/>
          <w:color w:val="auto"/>
        </w:rPr>
      </w:pPr>
    </w:p>
    <w:p>
      <w:pPr>
        <w:ind w:left="340" w:right="359" w:firstLine="333"/>
        <w:spacing w:after="0" w:line="250" w:lineRule="auto"/>
        <w:rPr>
          <w:sz w:val="20"/>
          <w:szCs w:val="20"/>
          <w:color w:val="auto"/>
        </w:rPr>
      </w:pPr>
      <w:r>
        <w:rPr>
          <w:rFonts w:ascii="Times New Roman" w:cs="Times New Roman" w:eastAsia="Times New Roman" w:hAnsi="Times New Roman"/>
          <w:sz w:val="14"/>
          <w:szCs w:val="14"/>
          <w:color w:val="auto"/>
        </w:rPr>
        <w:t>At any time, the depositary may resign by delivering written notice to us, and we may remove the depositary. Resignations or removals will take effect upon the appointment of a successor depositary and its acceptance of the appointment. The successor depositary must be appointed within 60 days after delivery of the notice of resignation or removal and must be a bank or trust company having its principal office in the United States and having a combined capital and surplus of at least $50 million.</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Reports</w:t>
      </w:r>
    </w:p>
    <w:p>
      <w:pPr>
        <w:spacing w:after="0" w:line="88" w:lineRule="exact"/>
        <w:rPr>
          <w:sz w:val="20"/>
          <w:szCs w:val="20"/>
          <w:color w:val="auto"/>
        </w:rPr>
      </w:pPr>
    </w:p>
    <w:p>
      <w:pPr>
        <w:ind w:left="340" w:right="579" w:firstLine="333"/>
        <w:spacing w:after="0" w:line="254" w:lineRule="auto"/>
        <w:rPr>
          <w:sz w:val="20"/>
          <w:szCs w:val="20"/>
          <w:color w:val="auto"/>
        </w:rPr>
      </w:pPr>
      <w:r>
        <w:rPr>
          <w:rFonts w:ascii="Times New Roman" w:cs="Times New Roman" w:eastAsia="Times New Roman" w:hAnsi="Times New Roman"/>
          <w:sz w:val="14"/>
          <w:szCs w:val="14"/>
          <w:color w:val="auto"/>
        </w:rPr>
        <w:t>The depositary will forward to the holders of depositary shares all reports and communications from us that are delivered to the depositary and that we are required by law, the rules of an applicable securities exchange or our amended articles of incorporation to furnish to the holders of the preferred stock. The depositary will not be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5" w:right="1440" w:bottom="1440" w:gutter="0" w:footer="0" w:header="0"/>
        </w:sectPr>
      </w:pPr>
    </w:p>
    <w:bookmarkStart w:id="59" w:name="page60"/>
    <w:bookmarkEnd w:id="59"/>
    <w:p>
      <w:pPr>
        <w:ind w:left="340" w:right="379"/>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liable if it is prevented or delayed by law or any circumstances beyond its control in performing its obligations under the deposit agreement. The deposit agreement limits our obligations and the depositary’s obligations to performance in good faith of the duties stated in the deposit agreement. The depositary will not be obligated to prosecute or defend any legal proceeding connected with any depositary shares or preferred stock unless the holders of depositary shares requesting the depositary to do so furnish it with satisfactory indemnity. In performing our obligations, we and the depositary may rely upon the written advice of our counsel or accountants, on any information that competent people provide to us and on documents that we believe are genuine.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DESCRIPTION OF DEBT SECURITIES</w:t>
      </w:r>
    </w:p>
    <w:p>
      <w:pPr>
        <w:spacing w:after="0" w:line="170" w:lineRule="exact"/>
        <w:rPr>
          <w:sz w:val="20"/>
          <w:szCs w:val="20"/>
          <w:color w:val="auto"/>
        </w:rPr>
      </w:pPr>
    </w:p>
    <w:p>
      <w:pPr>
        <w:ind w:left="340" w:right="399" w:firstLine="333"/>
        <w:spacing w:after="0" w:line="247" w:lineRule="auto"/>
        <w:rPr>
          <w:sz w:val="20"/>
          <w:szCs w:val="20"/>
          <w:color w:val="auto"/>
        </w:rPr>
      </w:pPr>
      <w:r>
        <w:rPr>
          <w:rFonts w:ascii="Times New Roman" w:cs="Times New Roman" w:eastAsia="Times New Roman" w:hAnsi="Times New Roman"/>
          <w:sz w:val="14"/>
          <w:szCs w:val="14"/>
          <w:color w:val="auto"/>
        </w:rPr>
        <w:t>We may offer and issue our debt securities from time to time in one or more series. The debt securities are to be issued under an indenture, dated as of February 1, 1991, between us and Deutsche Bank Trust Company Americas (as successor to Citibank, N.A.), as trustee. The indenture does not limit the aggregate principal amount of the debt securities that may be issued thereunder. The indenture, which incorporates our standard multiple-series indenture provisions as Annex A thereto, is an exhibit to the registration statement of which this prospectus is a part. The following information summarizes certain general terms of the debt securities as described in the indenture. The indenture is subject to and governed by the Trust Indenture Act of 1939, as amended, or the Trust Indenture Act.</w:t>
      </w:r>
    </w:p>
    <w:p>
      <w:pPr>
        <w:spacing w:after="0" w:line="150" w:lineRule="exact"/>
        <w:rPr>
          <w:sz w:val="20"/>
          <w:szCs w:val="20"/>
          <w:color w:val="auto"/>
        </w:rPr>
      </w:pPr>
    </w:p>
    <w:p>
      <w:pPr>
        <w:ind w:left="340" w:right="439" w:firstLine="333"/>
        <w:spacing w:after="0" w:line="305" w:lineRule="auto"/>
        <w:rPr>
          <w:sz w:val="20"/>
          <w:szCs w:val="20"/>
          <w:color w:val="auto"/>
        </w:rPr>
      </w:pPr>
      <w:r>
        <w:rPr>
          <w:rFonts w:ascii="Times New Roman" w:cs="Times New Roman" w:eastAsia="Times New Roman" w:hAnsi="Times New Roman"/>
          <w:sz w:val="12"/>
          <w:szCs w:val="12"/>
          <w:color w:val="auto"/>
        </w:rPr>
        <w:t>We will summarize in the applicable prospectus supplement certain specific terms of the debt securities, any modifications of or additions to the general terms of the debt securities described herein and any applicable material federal income tax considerations. Accordingly, please read both this prospectus and the applicable prospectus supplement for a summary of the terms of the debt securities of any particular series. Any such summary does not purport to be complete and is subject to, and is qualified in its entirety by reference to, the actual provisions of the indenture and the debt securities.</w:t>
      </w:r>
    </w:p>
    <w:p>
      <w:pPr>
        <w:spacing w:after="0" w:line="116" w:lineRule="exact"/>
        <w:rPr>
          <w:sz w:val="20"/>
          <w:szCs w:val="20"/>
          <w:color w:val="auto"/>
        </w:rPr>
      </w:pPr>
    </w:p>
    <w:p>
      <w:pPr>
        <w:ind w:left="340" w:right="979" w:firstLine="333"/>
        <w:spacing w:after="0" w:line="264" w:lineRule="auto"/>
        <w:rPr>
          <w:sz w:val="20"/>
          <w:szCs w:val="20"/>
          <w:color w:val="auto"/>
        </w:rPr>
      </w:pPr>
      <w:r>
        <w:rPr>
          <w:rFonts w:ascii="Times New Roman" w:cs="Times New Roman" w:eastAsia="Times New Roman" w:hAnsi="Times New Roman"/>
          <w:sz w:val="14"/>
          <w:szCs w:val="14"/>
          <w:color w:val="auto"/>
        </w:rPr>
        <w:t>For purposes of this summary, the terms the “company,” “we,” “our” and “us” refer only to Eli Lilly and Company and not to any of its subsidiaries, unless we specify otherwise.</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8" w:lineRule="exact"/>
        <w:rPr>
          <w:sz w:val="20"/>
          <w:szCs w:val="20"/>
          <w:color w:val="auto"/>
        </w:rPr>
      </w:pPr>
    </w:p>
    <w:p>
      <w:pPr>
        <w:ind w:left="340" w:right="399" w:firstLine="333"/>
        <w:spacing w:after="0" w:line="246" w:lineRule="auto"/>
        <w:rPr>
          <w:sz w:val="20"/>
          <w:szCs w:val="20"/>
          <w:color w:val="auto"/>
        </w:rPr>
      </w:pPr>
      <w:r>
        <w:rPr>
          <w:rFonts w:ascii="Times New Roman" w:cs="Times New Roman" w:eastAsia="Times New Roman" w:hAnsi="Times New Roman"/>
          <w:sz w:val="14"/>
          <w:szCs w:val="14"/>
          <w:color w:val="auto"/>
        </w:rPr>
        <w:t>The debt securities will be our unsecured general obligations. The indebtedness represented by the debt securities will rank equally with all other unsecured and unsubordinated indebtedness of our company. The debt securities may be issued in one or more series, and unless otherwise provided, a series may be reopened for the issuance of additional debt securities of such series. Also, a single series may be issued at various times with different maturity dates, different interest rates and different dates from which interest accrues. One or more series of debt securities may be issued with the same or various maturities at par or at a discount. Debt securities bearing no interest or interest at a rate which at the time of issuance is below the market rate (“original issue discount securities”) will be sold at a discount below their stated principal amount. This discount may be substantial. We will provide information regarding material federal income tax consequences and other special considerations applicable to any original issue discount securities in the applicable prospectus supplement.</w:t>
      </w:r>
    </w:p>
    <w:p>
      <w:pPr>
        <w:spacing w:after="0" w:line="150" w:lineRule="exact"/>
        <w:rPr>
          <w:sz w:val="20"/>
          <w:szCs w:val="20"/>
          <w:color w:val="auto"/>
        </w:rPr>
      </w:pPr>
    </w:p>
    <w:p>
      <w:pPr>
        <w:ind w:left="340" w:right="519" w:firstLine="333"/>
        <w:spacing w:after="0" w:line="250" w:lineRule="auto"/>
        <w:rPr>
          <w:sz w:val="20"/>
          <w:szCs w:val="20"/>
          <w:color w:val="auto"/>
        </w:rPr>
      </w:pPr>
      <w:r>
        <w:rPr>
          <w:rFonts w:ascii="Times New Roman" w:cs="Times New Roman" w:eastAsia="Times New Roman" w:hAnsi="Times New Roman"/>
          <w:sz w:val="14"/>
          <w:szCs w:val="14"/>
          <w:color w:val="auto"/>
        </w:rPr>
        <w:t>If we denominate the purchase price of any of the debt securities in a foreign currency or currencies, or if the principal of or premium, if any, or interest on any series of debt securities is payable in a foreign currency or currencies, we will include in the applicable prospectus supplement information on the restrictions, elections, material federal income tax considerations, specific terms and other information with respect to that issue of debt securities and the foreign currency or currencies.</w:t>
      </w:r>
    </w:p>
    <w:p>
      <w:pPr>
        <w:spacing w:after="0" w:line="14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 prospectus supplement relating to a series of debt securities will include certain specific terms, including some or all of the following:</w:t>
      </w:r>
    </w:p>
    <w:p>
      <w:pPr>
        <w:spacing w:after="0" w:line="94" w:lineRule="exact"/>
        <w:rPr>
          <w:sz w:val="20"/>
          <w:szCs w:val="20"/>
          <w:color w:val="auto"/>
        </w:rPr>
      </w:pPr>
    </w:p>
    <w:p>
      <w:pPr>
        <w:ind w:left="1080" w:hanging="334"/>
        <w:spacing w:after="0"/>
        <w:tabs>
          <w:tab w:leader="none" w:pos="10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9" w:right="1440" w:bottom="1440" w:gutter="0" w:footer="0" w:header="0"/>
        </w:sectPr>
      </w:pPr>
    </w:p>
    <w:bookmarkStart w:id="60" w:name="page61"/>
    <w:bookmarkEnd w:id="60"/>
    <w:p>
      <w:pPr>
        <w:ind w:left="1080" w:hanging="334"/>
        <w:spacing w:after="0"/>
        <w:tabs>
          <w:tab w:leader="none" w:pos="10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aggregate principal amount and any limit thereon;</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such debt securities will be sold;</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or periods during which such debt securities may be issued;</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and premium, if any, are payable or the method of determining the date or dates;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method by which principal and premium, if any, will be determined;</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interest bearing:</w:t>
      </w:r>
    </w:p>
    <w:p>
      <w:pPr>
        <w:spacing w:after="0" w:line="94" w:lineRule="exact"/>
        <w:rPr>
          <w:rFonts w:ascii="Times New Roman" w:cs="Times New Roman" w:eastAsia="Times New Roman" w:hAnsi="Times New Roman"/>
          <w:sz w:val="14"/>
          <w:szCs w:val="14"/>
          <w:color w:val="auto"/>
        </w:rPr>
      </w:pPr>
    </w:p>
    <w:p>
      <w:pPr>
        <w:ind w:left="1400" w:hanging="235"/>
        <w:spacing w:after="0"/>
        <w:tabs>
          <w:tab w:leader="none" w:pos="140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w:t>
      </w:r>
    </w:p>
    <w:p>
      <w:pPr>
        <w:spacing w:after="0" w:line="94" w:lineRule="exact"/>
        <w:rPr>
          <w:rFonts w:ascii="Times New Roman" w:cs="Times New Roman" w:eastAsia="Times New Roman" w:hAnsi="Times New Roman"/>
          <w:sz w:val="14"/>
          <w:szCs w:val="14"/>
          <w:color w:val="auto"/>
        </w:rPr>
      </w:pPr>
    </w:p>
    <w:p>
      <w:pPr>
        <w:ind w:left="1400" w:hanging="235"/>
        <w:spacing w:after="0"/>
        <w:tabs>
          <w:tab w:leader="none" w:pos="140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method by which the interest rate will be determined;</w:t>
      </w:r>
    </w:p>
    <w:p>
      <w:pPr>
        <w:spacing w:after="0" w:line="94" w:lineRule="exact"/>
        <w:rPr>
          <w:rFonts w:ascii="Times New Roman" w:cs="Times New Roman" w:eastAsia="Times New Roman" w:hAnsi="Times New Roman"/>
          <w:sz w:val="14"/>
          <w:szCs w:val="14"/>
          <w:color w:val="auto"/>
        </w:rPr>
      </w:pPr>
    </w:p>
    <w:p>
      <w:pPr>
        <w:ind w:left="1400" w:hanging="235"/>
        <w:spacing w:after="0"/>
        <w:tabs>
          <w:tab w:leader="none" w:pos="140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from which interest will accrue;</w:t>
      </w:r>
    </w:p>
    <w:p>
      <w:pPr>
        <w:spacing w:after="0" w:line="94" w:lineRule="exact"/>
        <w:rPr>
          <w:rFonts w:ascii="Times New Roman" w:cs="Times New Roman" w:eastAsia="Times New Roman" w:hAnsi="Times New Roman"/>
          <w:sz w:val="14"/>
          <w:szCs w:val="14"/>
          <w:color w:val="auto"/>
        </w:rPr>
      </w:pPr>
    </w:p>
    <w:p>
      <w:pPr>
        <w:ind w:left="1400" w:hanging="235"/>
        <w:spacing w:after="0"/>
        <w:tabs>
          <w:tab w:leader="none" w:pos="140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 dates; and</w:t>
      </w:r>
    </w:p>
    <w:p>
      <w:pPr>
        <w:spacing w:after="0" w:line="94" w:lineRule="exact"/>
        <w:rPr>
          <w:rFonts w:ascii="Times New Roman" w:cs="Times New Roman" w:eastAsia="Times New Roman" w:hAnsi="Times New Roman"/>
          <w:sz w:val="14"/>
          <w:szCs w:val="14"/>
          <w:color w:val="auto"/>
        </w:rPr>
      </w:pPr>
    </w:p>
    <w:p>
      <w:pPr>
        <w:ind w:left="1400" w:hanging="235"/>
        <w:spacing w:after="0"/>
        <w:tabs>
          <w:tab w:leader="none" w:pos="140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regular record date for the interest payable on any interest payment date;</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premium, if any, and interest, if any, shall be payable;</w:t>
      </w:r>
    </w:p>
    <w:p>
      <w:pPr>
        <w:spacing w:after="0" w:line="94" w:lineRule="exact"/>
        <w:rPr>
          <w:rFonts w:ascii="Times New Roman" w:cs="Times New Roman" w:eastAsia="Times New Roman" w:hAnsi="Times New Roman"/>
          <w:sz w:val="14"/>
          <w:szCs w:val="14"/>
          <w:color w:val="auto"/>
        </w:rPr>
      </w:pPr>
    </w:p>
    <w:p>
      <w:pPr>
        <w:ind w:left="1080" w:right="439" w:hanging="334"/>
        <w:spacing w:after="0" w:line="264" w:lineRule="auto"/>
        <w:tabs>
          <w:tab w:leader="none" w:pos="10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series of debt securities may be redeemed in whole or in part, at our option, the period or periods within which, the price or prices at which and the terms and conditions upon which we may redeem such debt securities;</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if other than $1,000, in which any registered securities of the series shall be issuable;</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if other than $5,000, in which any bearer securities of the series shall be issuable;</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issued as original issue discount securities:</w:t>
      </w:r>
    </w:p>
    <w:p>
      <w:pPr>
        <w:spacing w:after="0" w:line="94" w:lineRule="exact"/>
        <w:rPr>
          <w:rFonts w:ascii="Times New Roman" w:cs="Times New Roman" w:eastAsia="Times New Roman" w:hAnsi="Times New Roman"/>
          <w:sz w:val="14"/>
          <w:szCs w:val="14"/>
          <w:color w:val="auto"/>
        </w:rPr>
      </w:pPr>
    </w:p>
    <w:p>
      <w:pPr>
        <w:ind w:left="1400" w:hanging="235"/>
        <w:spacing w:after="0"/>
        <w:tabs>
          <w:tab w:leader="none" w:pos="140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discount; and</w:t>
      </w:r>
    </w:p>
    <w:p>
      <w:pPr>
        <w:spacing w:after="0" w:line="94" w:lineRule="exact"/>
        <w:rPr>
          <w:rFonts w:ascii="Times New Roman" w:cs="Times New Roman" w:eastAsia="Times New Roman" w:hAnsi="Times New Roman"/>
          <w:sz w:val="14"/>
          <w:szCs w:val="14"/>
          <w:color w:val="auto"/>
        </w:rPr>
      </w:pPr>
    </w:p>
    <w:p>
      <w:pPr>
        <w:ind w:left="1400" w:hanging="235"/>
        <w:spacing w:after="0"/>
        <w:tabs>
          <w:tab w:leader="none" w:pos="140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federal income tax consequences and other special considerations applicable to original issue discount securities;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debt securities will be issued as registered securities or bearer securities or both, and, if bearer securities are issued:</w:t>
      </w:r>
    </w:p>
    <w:p>
      <w:pPr>
        <w:spacing w:after="0" w:line="94" w:lineRule="exact"/>
        <w:rPr>
          <w:rFonts w:ascii="Times New Roman" w:cs="Times New Roman" w:eastAsia="Times New Roman" w:hAnsi="Times New Roman"/>
          <w:sz w:val="14"/>
          <w:szCs w:val="14"/>
          <w:color w:val="auto"/>
        </w:rPr>
      </w:pPr>
    </w:p>
    <w:p>
      <w:pPr>
        <w:ind w:left="1400" w:hanging="235"/>
        <w:spacing w:after="0"/>
        <w:tabs>
          <w:tab w:leader="none" w:pos="140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bearer securities are also to be issued as registered securities; and</w:t>
      </w:r>
    </w:p>
    <w:p>
      <w:pPr>
        <w:spacing w:after="0" w:line="94" w:lineRule="exact"/>
        <w:rPr>
          <w:rFonts w:ascii="Times New Roman" w:cs="Times New Roman" w:eastAsia="Times New Roman" w:hAnsi="Times New Roman"/>
          <w:sz w:val="14"/>
          <w:szCs w:val="14"/>
          <w:color w:val="auto"/>
        </w:rPr>
      </w:pPr>
    </w:p>
    <w:p>
      <w:pPr>
        <w:ind w:left="1400" w:hanging="235"/>
        <w:spacing w:after="0"/>
        <w:tabs>
          <w:tab w:leader="none" w:pos="140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bearer securities are to be dated;</w:t>
      </w:r>
    </w:p>
    <w:p>
      <w:pPr>
        <w:spacing w:after="0" w:line="94" w:lineRule="exact"/>
        <w:rPr>
          <w:rFonts w:ascii="Times New Roman" w:cs="Times New Roman" w:eastAsia="Times New Roman" w:hAnsi="Times New Roman"/>
          <w:sz w:val="14"/>
          <w:szCs w:val="14"/>
          <w:color w:val="auto"/>
        </w:rPr>
      </w:pPr>
    </w:p>
    <w:p>
      <w:pPr>
        <w:ind w:left="1080" w:right="519" w:hanging="334"/>
        <w:spacing w:after="0" w:line="264" w:lineRule="auto"/>
        <w:tabs>
          <w:tab w:leader="none" w:pos="10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for payment of additional amounts, if any, and whether we will have the option to redeem such debt securities rather than pay the additional amounts and the terms of that option;</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denominated or payable in a foreign currency:</w:t>
      </w:r>
    </w:p>
    <w:p>
      <w:pPr>
        <w:spacing w:after="0" w:line="94" w:lineRule="exact"/>
        <w:rPr>
          <w:rFonts w:ascii="Times New Roman" w:cs="Times New Roman" w:eastAsia="Times New Roman" w:hAnsi="Times New Roman"/>
          <w:sz w:val="14"/>
          <w:szCs w:val="14"/>
          <w:color w:val="auto"/>
        </w:rPr>
      </w:pPr>
    </w:p>
    <w:p>
      <w:pPr>
        <w:ind w:left="1400" w:hanging="235"/>
        <w:spacing w:after="0"/>
        <w:tabs>
          <w:tab w:leader="none" w:pos="140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of denomination;</w:t>
      </w:r>
    </w:p>
    <w:p>
      <w:pPr>
        <w:spacing w:after="0" w:line="94" w:lineRule="exact"/>
        <w:rPr>
          <w:rFonts w:ascii="Times New Roman" w:cs="Times New Roman" w:eastAsia="Times New Roman" w:hAnsi="Times New Roman"/>
          <w:sz w:val="14"/>
          <w:szCs w:val="14"/>
          <w:color w:val="auto"/>
        </w:rPr>
      </w:pPr>
    </w:p>
    <w:p>
      <w:pPr>
        <w:ind w:left="1400" w:hanging="235"/>
        <w:spacing w:after="0"/>
        <w:tabs>
          <w:tab w:leader="none" w:pos="1400"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designation of the currency or currencies in which payment of principal, premium, if any, and interest, if any, will be made; and</w:t>
      </w:r>
    </w:p>
    <w:p>
      <w:pPr>
        <w:spacing w:after="0" w:line="117" w:lineRule="exact"/>
        <w:rPr>
          <w:rFonts w:ascii="Times New Roman" w:cs="Times New Roman" w:eastAsia="Times New Roman" w:hAnsi="Times New Roman"/>
          <w:sz w:val="12"/>
          <w:szCs w:val="12"/>
          <w:color w:val="auto"/>
        </w:rPr>
      </w:pPr>
    </w:p>
    <w:p>
      <w:pPr>
        <w:ind w:left="1400" w:hanging="235"/>
        <w:spacing w:after="0"/>
        <w:tabs>
          <w:tab w:leader="none" w:pos="140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dollar determination agent, if any;</w:t>
      </w:r>
    </w:p>
    <w:p>
      <w:pPr>
        <w:spacing w:after="0" w:line="94" w:lineRule="exact"/>
        <w:rPr>
          <w:rFonts w:ascii="Times New Roman" w:cs="Times New Roman" w:eastAsia="Times New Roman" w:hAnsi="Times New Roman"/>
          <w:sz w:val="14"/>
          <w:szCs w:val="14"/>
          <w:color w:val="auto"/>
        </w:rPr>
      </w:pPr>
    </w:p>
    <w:p>
      <w:pPr>
        <w:ind w:left="1080" w:right="599" w:hanging="334"/>
        <w:spacing w:after="0" w:line="349" w:lineRule="auto"/>
        <w:tabs>
          <w:tab w:leader="none" w:pos="10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we will use a global security, the name of the depositary for the global security and, if such debt securities are issuable only as registered securities, the terms, if any, upon which interests in the global security may be exchanged for definitive debt securities;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9" w:right="1440" w:bottom="1440" w:gutter="0" w:footer="0" w:header="0"/>
        </w:sectPr>
      </w:pPr>
    </w:p>
    <w:bookmarkStart w:id="61" w:name="page62"/>
    <w:bookmarkEnd w:id="61"/>
    <w:p>
      <w:pPr>
        <w:ind w:left="1080" w:right="579" w:hanging="334"/>
        <w:spacing w:after="0" w:line="254" w:lineRule="auto"/>
        <w:tabs>
          <w:tab w:leader="none" w:pos="10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extent to which, or the manner in which, any interest payable on any such debt security in temporary global form on an interest payment date will be paid and the extent to which, or the manner in which, any interest payable on any such debt security in permanent global form on an interest payment date will be paid;</w:t>
      </w:r>
    </w:p>
    <w:p>
      <w:pPr>
        <w:spacing w:after="0" w:line="70" w:lineRule="exact"/>
        <w:rPr>
          <w:rFonts w:ascii="Times New Roman" w:cs="Times New Roman" w:eastAsia="Times New Roman" w:hAnsi="Times New Roman"/>
          <w:sz w:val="14"/>
          <w:szCs w:val="14"/>
          <w:color w:val="auto"/>
        </w:rPr>
      </w:pPr>
    </w:p>
    <w:p>
      <w:pPr>
        <w:ind w:left="1080" w:right="1019" w:hanging="334"/>
        <w:spacing w:after="0" w:line="264" w:lineRule="auto"/>
        <w:tabs>
          <w:tab w:leader="none" w:pos="10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less than the principal amount thereof, the portion of the principal amount of such debt securities payable upon declaration of acceleration of their maturity;</w:t>
      </w:r>
    </w:p>
    <w:p>
      <w:pPr>
        <w:spacing w:after="0" w:line="64" w:lineRule="exact"/>
        <w:rPr>
          <w:rFonts w:ascii="Times New Roman" w:cs="Times New Roman" w:eastAsia="Times New Roman" w:hAnsi="Times New Roman"/>
          <w:sz w:val="14"/>
          <w:szCs w:val="14"/>
          <w:color w:val="auto"/>
        </w:rPr>
      </w:pPr>
    </w:p>
    <w:p>
      <w:pPr>
        <w:ind w:left="1080" w:right="359" w:hanging="334"/>
        <w:spacing w:after="0" w:line="264" w:lineRule="auto"/>
        <w:tabs>
          <w:tab w:leader="none" w:pos="10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relating to the cancellation and satisfaction of the indenture or certain covenants of the indenture prior to the maturity of the debt securities;</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deletions, modifications of or additions to the events of default in the indenture; and</w:t>
      </w:r>
    </w:p>
    <w:p>
      <w:pPr>
        <w:spacing w:after="0" w:line="94" w:lineRule="exact"/>
        <w:rPr>
          <w:rFonts w:ascii="Times New Roman" w:cs="Times New Roman" w:eastAsia="Times New Roman" w:hAnsi="Times New Roman"/>
          <w:sz w:val="14"/>
          <w:szCs w:val="14"/>
          <w:color w:val="auto"/>
        </w:rPr>
      </w:pPr>
    </w:p>
    <w:p>
      <w:pPr>
        <w:ind w:left="1080" w:right="659" w:hanging="334"/>
        <w:spacing w:after="0" w:line="254" w:lineRule="auto"/>
        <w:tabs>
          <w:tab w:leader="none" w:pos="10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or conditions not specified in the indenture. Any such other terms must not conflict with the requirements of the Trust Indenture Act and the provisions of the indenture and must not adversely affect the rights of the holders of any other series of debt securities then outstanding.</w:t>
      </w:r>
    </w:p>
    <w:p>
      <w:pPr>
        <w:spacing w:after="0" w:line="142" w:lineRule="exact"/>
        <w:rPr>
          <w:sz w:val="20"/>
          <w:szCs w:val="20"/>
          <w:color w:val="auto"/>
        </w:rPr>
      </w:pPr>
    </w:p>
    <w:p>
      <w:pPr>
        <w:ind w:left="340" w:right="379" w:firstLine="333"/>
        <w:spacing w:after="0" w:line="264" w:lineRule="auto"/>
        <w:rPr>
          <w:sz w:val="20"/>
          <w:szCs w:val="20"/>
          <w:color w:val="auto"/>
        </w:rPr>
      </w:pPr>
      <w:r>
        <w:rPr>
          <w:rFonts w:ascii="Times New Roman" w:cs="Times New Roman" w:eastAsia="Times New Roman" w:hAnsi="Times New Roman"/>
          <w:sz w:val="14"/>
          <w:szCs w:val="14"/>
          <w:color w:val="auto"/>
        </w:rPr>
        <w:t>We may authorize the issuance and provide for the terms of a series of debt securities pursuant to a resolution of our board of directors or any duly authorized committee of our board of directors or pursuant to a supplemental indenture.</w:t>
      </w:r>
    </w:p>
    <w:p>
      <w:pPr>
        <w:spacing w:after="0" w:line="136" w:lineRule="exact"/>
        <w:rPr>
          <w:sz w:val="20"/>
          <w:szCs w:val="20"/>
          <w:color w:val="auto"/>
        </w:rPr>
      </w:pPr>
    </w:p>
    <w:p>
      <w:pPr>
        <w:ind w:left="340" w:right="419" w:firstLine="333"/>
        <w:spacing w:after="0" w:line="254" w:lineRule="auto"/>
        <w:rPr>
          <w:sz w:val="20"/>
          <w:szCs w:val="20"/>
          <w:color w:val="auto"/>
        </w:rPr>
      </w:pPr>
      <w:r>
        <w:rPr>
          <w:rFonts w:ascii="Times New Roman" w:cs="Times New Roman" w:eastAsia="Times New Roman" w:hAnsi="Times New Roman"/>
          <w:sz w:val="14"/>
          <w:szCs w:val="14"/>
          <w:color w:val="auto"/>
        </w:rPr>
        <w:t>We may issue the debt securities as registered securities, bearer securities or both. We may issue the debt securities in whole or in part in the form of one or more global securities. One or more global securities will be issued in a denomination or aggregate denominations equal to the aggregate principal amount of outstanding debt securities of the series to be represented by such global security or global securities.</w:t>
      </w:r>
    </w:p>
    <w:p>
      <w:pPr>
        <w:spacing w:after="0" w:line="142" w:lineRule="exact"/>
        <w:rPr>
          <w:sz w:val="20"/>
          <w:szCs w:val="20"/>
          <w:color w:val="auto"/>
        </w:rPr>
      </w:pPr>
    </w:p>
    <w:p>
      <w:pPr>
        <w:ind w:left="340" w:right="439" w:firstLine="333"/>
        <w:spacing w:after="0" w:line="264" w:lineRule="auto"/>
        <w:rPr>
          <w:sz w:val="20"/>
          <w:szCs w:val="20"/>
          <w:color w:val="auto"/>
        </w:rPr>
      </w:pPr>
      <w:r>
        <w:rPr>
          <w:rFonts w:ascii="Times New Roman" w:cs="Times New Roman" w:eastAsia="Times New Roman" w:hAnsi="Times New Roman"/>
          <w:sz w:val="14"/>
          <w:szCs w:val="14"/>
          <w:color w:val="auto"/>
        </w:rPr>
        <w:t>If we issue bearer securities, we will describe the limitations on the issuance of the bearer securities as well as certain material federal income tax consequences and other special considerations applicable to bearer securities in an applicable prospectus supplement.</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Exchange, Registration and Transfer</w:t>
      </w:r>
    </w:p>
    <w:p>
      <w:pPr>
        <w:spacing w:after="0" w:line="88" w:lineRule="exact"/>
        <w:rPr>
          <w:sz w:val="20"/>
          <w:szCs w:val="20"/>
          <w:color w:val="auto"/>
        </w:rPr>
      </w:pPr>
    </w:p>
    <w:p>
      <w:pPr>
        <w:ind w:left="340" w:right="439" w:firstLine="333"/>
        <w:spacing w:after="0" w:line="294" w:lineRule="auto"/>
        <w:rPr>
          <w:sz w:val="20"/>
          <w:szCs w:val="20"/>
          <w:color w:val="auto"/>
        </w:rPr>
      </w:pPr>
      <w:r>
        <w:rPr>
          <w:rFonts w:ascii="Times New Roman" w:cs="Times New Roman" w:eastAsia="Times New Roman" w:hAnsi="Times New Roman"/>
          <w:sz w:val="12"/>
          <w:szCs w:val="12"/>
          <w:color w:val="auto"/>
        </w:rPr>
        <w:t>A holder of debt securities in bearer form may, upon written request in accordance with the terms of the indenture, exchange the bearer securities for (1) registered securities (with all unmatured coupons, except as provided below) of the same series, with the same interest rate and maturity date (if the debt securities of such series are to be issued as registered securities) or (2) bearer securities (if bearer securities of such series are to be issued in more than one denomination) of the same series with the same interest rate and maturity date. However, no bearer security will be delivered in or to the United States, and registered securities of any series (other than a global security, except as set forth below) will be exchangeable into an equal aggregate principal amount of registered securities of the same series (with the same interest rate and maturity date) of different authorized denominations. If a holder surrenders bearer securities between a record date and the relevant interest payment date, such holder will not be required to surrender the coupon relating to such interest payment date. Registered securities may not be exchanged for bearer securities.</w:t>
      </w:r>
    </w:p>
    <w:p>
      <w:pPr>
        <w:spacing w:after="0" w:line="287" w:lineRule="exact"/>
        <w:rPr>
          <w:sz w:val="20"/>
          <w:szCs w:val="20"/>
          <w:color w:val="auto"/>
        </w:rPr>
      </w:pPr>
    </w:p>
    <w:p>
      <w:pPr>
        <w:ind w:left="340" w:right="379" w:firstLine="333"/>
        <w:spacing w:after="0" w:line="248" w:lineRule="auto"/>
        <w:rPr>
          <w:sz w:val="20"/>
          <w:szCs w:val="20"/>
          <w:color w:val="auto"/>
        </w:rPr>
      </w:pPr>
      <w:r>
        <w:rPr>
          <w:rFonts w:ascii="Times New Roman" w:cs="Times New Roman" w:eastAsia="Times New Roman" w:hAnsi="Times New Roman"/>
          <w:sz w:val="14"/>
          <w:szCs w:val="14"/>
          <w:color w:val="auto"/>
        </w:rPr>
        <w:t>Bearer or registered securities may be presented for exchange, and registered securities, other than a global security, may be presented for transfer, at the office of any transfer agent or at the office of the security registrar, without service charge and upon payment of any taxes and other governmental charges as provided in the indenture. The transfer or exchange will be completed upon the transfer agent or the security registrar’s satisfaction with the documents of title and identity of the person making the request. Bearer securities, and the coupons, if any, relating to the bearer securities, shall be transferred by delivery of the bearer securities.</w:t>
      </w: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88" w:lineRule="exact"/>
        <w:rPr>
          <w:sz w:val="20"/>
          <w:szCs w:val="20"/>
          <w:color w:val="auto"/>
        </w:rPr>
      </w:pPr>
    </w:p>
    <w:p>
      <w:pPr>
        <w:ind w:left="340" w:right="579" w:firstLine="333"/>
        <w:spacing w:after="0" w:line="264" w:lineRule="auto"/>
        <w:rPr>
          <w:sz w:val="20"/>
          <w:szCs w:val="20"/>
          <w:color w:val="auto"/>
        </w:rPr>
      </w:pPr>
      <w:r>
        <w:rPr>
          <w:rFonts w:ascii="Times New Roman" w:cs="Times New Roman" w:eastAsia="Times New Roman" w:hAnsi="Times New Roman"/>
          <w:sz w:val="14"/>
          <w:szCs w:val="14"/>
          <w:color w:val="auto"/>
        </w:rPr>
        <w:t>We may issue debt securities of a series in whole or in part in the form of one or more global securities. The global securities will be deposited with, or on behalf of, the depositary named in the applicable prospectus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9" w:right="1440" w:bottom="1440" w:gutter="0" w:footer="0" w:header="0"/>
        </w:sectPr>
      </w:pPr>
    </w:p>
    <w:bookmarkStart w:id="62" w:name="page63"/>
    <w:bookmarkEnd w:id="62"/>
    <w:p>
      <w:pPr>
        <w:ind w:left="340" w:right="49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supplement. Global securities may be issued in either registered or bearer form and in either temporary or permanent form. Unless and until the global security is exchanged in whole or in part for debt securities in definitive registered form, a global security may not be transferred except as a whole by the depositary (or its nominee) for such global security. If transferred in whole, the following are types of transfers which are allowed for global securities:</w:t>
      </w:r>
    </w:p>
    <w:p>
      <w:pPr>
        <w:spacing w:after="0" w:line="75" w:lineRule="exact"/>
        <w:rPr>
          <w:sz w:val="20"/>
          <w:szCs w:val="20"/>
          <w:color w:val="auto"/>
        </w:rPr>
      </w:pPr>
    </w:p>
    <w:p>
      <w:pPr>
        <w:ind w:left="1080" w:hanging="334"/>
        <w:spacing w:after="0"/>
        <w:tabs>
          <w:tab w:leader="none" w:pos="10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may transfer the global security to a nominee of that depositary;</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nominee of the depositary may transfer the global security to the depositary or another nominee of that depositary; and</w:t>
      </w:r>
    </w:p>
    <w:p>
      <w:pPr>
        <w:spacing w:after="0" w:line="94" w:lineRule="exact"/>
        <w:rPr>
          <w:rFonts w:ascii="Times New Roman" w:cs="Times New Roman" w:eastAsia="Times New Roman" w:hAnsi="Times New Roman"/>
          <w:sz w:val="14"/>
          <w:szCs w:val="14"/>
          <w:color w:val="auto"/>
        </w:rPr>
      </w:pPr>
    </w:p>
    <w:p>
      <w:pPr>
        <w:ind w:left="1080" w:right="479" w:hanging="334"/>
        <w:spacing w:after="0" w:line="264" w:lineRule="auto"/>
        <w:tabs>
          <w:tab w:leader="none" w:pos="10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or any nominee of that depositary may transfer the global security to a successor depositary or a nominee of that successor depositary.</w:t>
      </w:r>
    </w:p>
    <w:p>
      <w:pPr>
        <w:spacing w:after="0" w:line="136" w:lineRule="exact"/>
        <w:rPr>
          <w:sz w:val="20"/>
          <w:szCs w:val="20"/>
          <w:color w:val="auto"/>
        </w:rPr>
      </w:pPr>
    </w:p>
    <w:p>
      <w:pPr>
        <w:ind w:left="340" w:right="699" w:firstLine="333"/>
        <w:spacing w:after="0" w:line="264" w:lineRule="auto"/>
        <w:rPr>
          <w:sz w:val="20"/>
          <w:szCs w:val="20"/>
          <w:color w:val="auto"/>
        </w:rPr>
      </w:pPr>
      <w:r>
        <w:rPr>
          <w:rFonts w:ascii="Times New Roman" w:cs="Times New Roman" w:eastAsia="Times New Roman" w:hAnsi="Times New Roman"/>
          <w:sz w:val="14"/>
          <w:szCs w:val="14"/>
          <w:color w:val="auto"/>
        </w:rPr>
        <w:t>The specific terms of the depositary arrangement with respect to any debt securities of a series will be described in the applicable prospectus supplement. We anticipate that the following provisions will apply to all depositary arrangements.</w:t>
      </w:r>
    </w:p>
    <w:p>
      <w:pPr>
        <w:spacing w:after="0" w:line="136" w:lineRule="exact"/>
        <w:rPr>
          <w:sz w:val="20"/>
          <w:szCs w:val="20"/>
          <w:color w:val="auto"/>
        </w:rPr>
      </w:pPr>
    </w:p>
    <w:p>
      <w:pPr>
        <w:ind w:left="340" w:right="519" w:firstLine="333"/>
        <w:spacing w:after="0" w:line="295" w:lineRule="auto"/>
        <w:rPr>
          <w:sz w:val="20"/>
          <w:szCs w:val="20"/>
          <w:color w:val="auto"/>
        </w:rPr>
      </w:pPr>
      <w:r>
        <w:rPr>
          <w:rFonts w:ascii="Times New Roman" w:cs="Times New Roman" w:eastAsia="Times New Roman" w:hAnsi="Times New Roman"/>
          <w:sz w:val="12"/>
          <w:szCs w:val="12"/>
          <w:color w:val="auto"/>
        </w:rPr>
        <w:t>Upon the issuance of a global security, the depositary for such global security will credit, on its book-entry registration and transfer system, the respective principal amounts of the debt securities represented by the global security to the accounts of participant institutions that have accounts with the depositary. We or the underwriters, if the debt securities were sold by underwriters, shall designate the accounts to be credited. We will limit ownership of beneficial interests in a global security to participants or persons that may hold interests through participants. Ownership of beneficial interests in the global security will be shown on records maintained by the depositary. The transfer of the ownership of the global security will be effected only through the records maintained by the depositary. The laws of some states require that certain purchasers of debt securities take physical delivery of such debt securities in definitive form. These laws may impair your ability to transfer beneficial interests in a global security.</w:t>
      </w:r>
    </w:p>
    <w:p>
      <w:pPr>
        <w:spacing w:after="0" w:line="120" w:lineRule="exact"/>
        <w:rPr>
          <w:sz w:val="20"/>
          <w:szCs w:val="20"/>
          <w:color w:val="auto"/>
        </w:rPr>
      </w:pPr>
    </w:p>
    <w:p>
      <w:pPr>
        <w:ind w:left="340" w:right="339" w:firstLine="333"/>
        <w:spacing w:after="0" w:line="248" w:lineRule="auto"/>
        <w:rPr>
          <w:sz w:val="20"/>
          <w:szCs w:val="20"/>
          <w:color w:val="auto"/>
        </w:rPr>
      </w:pPr>
      <w:r>
        <w:rPr>
          <w:rFonts w:ascii="Times New Roman" w:cs="Times New Roman" w:eastAsia="Times New Roman" w:hAnsi="Times New Roman"/>
          <w:sz w:val="14"/>
          <w:szCs w:val="14"/>
          <w:color w:val="auto"/>
        </w:rPr>
        <w:t>So long as the depositary for a global security, or its nominee, is the owner of the global security, that depositary or nominee will be considered the sole owner or holder of the debt securities represented by such global security for all purposes under the indenture. Except as set forth below, owners of beneficial interests in a global security (1) will not be entitled to have debt securities of the series represented by the global security registered in their names, (2) will not receive or be entitled to receive physical delivery of debt securities of the series in definitive form, and (3) will not be considered the owners or holders thereof under the indenture governing the debt securities.</w:t>
      </w:r>
    </w:p>
    <w:p>
      <w:pPr>
        <w:spacing w:after="0" w:line="149" w:lineRule="exact"/>
        <w:rPr>
          <w:sz w:val="20"/>
          <w:szCs w:val="20"/>
          <w:color w:val="auto"/>
        </w:rPr>
      </w:pPr>
    </w:p>
    <w:p>
      <w:pPr>
        <w:ind w:left="340" w:right="379" w:firstLine="333"/>
        <w:spacing w:after="0" w:line="247" w:lineRule="auto"/>
        <w:rPr>
          <w:sz w:val="20"/>
          <w:szCs w:val="20"/>
          <w:color w:val="auto"/>
        </w:rPr>
      </w:pPr>
      <w:r>
        <w:rPr>
          <w:rFonts w:ascii="Times New Roman" w:cs="Times New Roman" w:eastAsia="Times New Roman" w:hAnsi="Times New Roman"/>
          <w:sz w:val="14"/>
          <w:szCs w:val="14"/>
          <w:color w:val="auto"/>
        </w:rPr>
        <w:t>Subject to certain limitations on the issuance of bearer securities which will be described in the applicable prospectus supplement, payments of principal of, premium, if any, and interest, if any, on debt securities registered in the name of or held by a depositary or its nominee will be made to the depositary or its nominee, as the registered owner or the holder of the global security representing those debt securities. None of the company, the applicable trustee, any paying agent or the applicable security registrar will have any responsibility or liability for any aspect of the records relating to or payments made on account of beneficial ownership interests in a global security for the debt securities or for maintaining, supervising or reviewing any records relating to such beneficial ownership interests.</w:t>
      </w:r>
    </w:p>
    <w:p>
      <w:pPr>
        <w:spacing w:after="0" w:line="150" w:lineRule="exact"/>
        <w:rPr>
          <w:sz w:val="20"/>
          <w:szCs w:val="20"/>
          <w:color w:val="auto"/>
        </w:rPr>
      </w:pPr>
    </w:p>
    <w:p>
      <w:pPr>
        <w:ind w:left="340" w:right="459" w:firstLine="333"/>
        <w:spacing w:after="0" w:line="247" w:lineRule="auto"/>
        <w:rPr>
          <w:sz w:val="20"/>
          <w:szCs w:val="20"/>
          <w:color w:val="auto"/>
        </w:rPr>
      </w:pPr>
      <w:r>
        <w:rPr>
          <w:rFonts w:ascii="Times New Roman" w:cs="Times New Roman" w:eastAsia="Times New Roman" w:hAnsi="Times New Roman"/>
          <w:sz w:val="14"/>
          <w:szCs w:val="14"/>
          <w:color w:val="auto"/>
        </w:rPr>
        <w:t>We expect that the depositary for debt securities of a series, upon receipt of any payment of principal, premium, if any, or interest, if any, in respect of a permanent global security, will credit participants’ accounts with payments in amounts proportionate to their respective beneficial interests in the principal amount of the global security as shown on the records of the depositary. We also expect that payments by participants to owners of beneficial interests in the global security held through the participants will be governed by standing instructions and customary practices, as is now the case with debt securities held for the accounts of customers in bearer form or registered in “street name,” and will be the responsibility of those participants. There may be</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9" w:right="1440" w:bottom="1440" w:gutter="0" w:footer="0" w:header="0"/>
        </w:sectPr>
      </w:pPr>
    </w:p>
    <w:bookmarkStart w:id="63" w:name="page64"/>
    <w:bookmarkEnd w:id="63"/>
    <w:p>
      <w:pPr>
        <w:ind w:left="340" w:right="41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restrictions on receipt by owners of beneficial interests in a temporary global security of payments in respect of such temporary global security. We will describe any such restrictions in the applicable prospectus supplement.</w:t>
      </w:r>
    </w:p>
    <w:p>
      <w:pPr>
        <w:spacing w:after="0" w:line="136" w:lineRule="exact"/>
        <w:rPr>
          <w:sz w:val="20"/>
          <w:szCs w:val="20"/>
          <w:color w:val="auto"/>
        </w:rPr>
      </w:pPr>
    </w:p>
    <w:p>
      <w:pPr>
        <w:ind w:left="340" w:right="379" w:firstLine="333"/>
        <w:spacing w:after="0" w:line="289" w:lineRule="auto"/>
        <w:rPr>
          <w:sz w:val="20"/>
          <w:szCs w:val="20"/>
          <w:color w:val="auto"/>
        </w:rPr>
      </w:pPr>
      <w:r>
        <w:rPr>
          <w:rFonts w:ascii="Times New Roman" w:cs="Times New Roman" w:eastAsia="Times New Roman" w:hAnsi="Times New Roman"/>
          <w:sz w:val="12"/>
          <w:szCs w:val="12"/>
          <w:color w:val="auto"/>
        </w:rPr>
        <w:t>If a depositary for debt securities of a series is at any time unwilling or unable to continue as depositary, or is ineligible to act as depositary, and we do not appoint a successor depositary within 90 days, we will issue debt securities of that series in definitive form in exchange for the global security or securities representing the debt securities of that series. In addition, we may at any time and in our sole discretion determine not to have any debt securities of a series represented by one or more global securities. If we decide not to have any debt securities of a series represented by a global security, we will issue debt securities of that series in definitive form in exchange for the global security or securities representing such debt securities. Further, if we so provide with respect to the debt securities of a series, each person specified by the depositary of the global security representing debt securities of such series may, on terms acceptable to us and the depositary for such global security, receive debt securities of such series in definitive form. In any such instance, each person so specified by the depositary of the global security will be entitled to physical delivery in definitive form of debt securities of the series represented by the global security equal in principal amount to the person’s beneficial interest in the global security. Debt securities of that series so issued in definitive form will be issued (1) as registered securities if the debt securities of that series are to be issued as registered securities, (2) as bearer securities if the debt securities of that series are to be issued as bearer securities or (3) as either registered securities or bearer securities if the debt securities of that series are to be issued in either form. A description of certain restrictions on the issuance of a bearer security in definitive form in exchange for an interest in a global security will, if applicable, be contained in the applicable prospectus supplement.</w:t>
      </w:r>
    </w:p>
    <w:p>
      <w:pPr>
        <w:spacing w:after="0" w:line="3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Bearer Securities</w:t>
      </w:r>
    </w:p>
    <w:p>
      <w:pPr>
        <w:spacing w:after="0" w:line="88" w:lineRule="exact"/>
        <w:rPr>
          <w:sz w:val="20"/>
          <w:szCs w:val="20"/>
          <w:color w:val="auto"/>
        </w:rPr>
      </w:pPr>
    </w:p>
    <w:p>
      <w:pPr>
        <w:jc w:val="both"/>
        <w:ind w:left="340" w:right="459" w:firstLine="333"/>
        <w:spacing w:after="0" w:line="248" w:lineRule="auto"/>
        <w:rPr>
          <w:sz w:val="20"/>
          <w:szCs w:val="20"/>
          <w:color w:val="auto"/>
        </w:rPr>
      </w:pPr>
      <w:r>
        <w:rPr>
          <w:rFonts w:ascii="Times New Roman" w:cs="Times New Roman" w:eastAsia="Times New Roman" w:hAnsi="Times New Roman"/>
          <w:sz w:val="14"/>
          <w:szCs w:val="14"/>
          <w:color w:val="auto"/>
        </w:rPr>
        <w:t>We will pay the principal, interest, if any, and premium, if any, on bearer securities in the currency or currency unit designated in the prospectus supplement, subject to any applicable laws and regulations, at such paying agencies outside the United States as we may appoint from time to time. At the option of a holder, we will make such payment by a check in the designated currency or currency unit or by transfer to an account in the designated currency or currency unit maintained by the payee with a bank located outside the United States. We will make no payment with respect to any bearer security:</w:t>
      </w:r>
    </w:p>
    <w:p>
      <w:pPr>
        <w:spacing w:after="0" w:line="77" w:lineRule="exact"/>
        <w:rPr>
          <w:sz w:val="20"/>
          <w:szCs w:val="20"/>
          <w:color w:val="auto"/>
        </w:rPr>
      </w:pPr>
    </w:p>
    <w:p>
      <w:pPr>
        <w:ind w:left="1080" w:right="699" w:hanging="334"/>
        <w:spacing w:after="0" w:line="264" w:lineRule="auto"/>
        <w:tabs>
          <w:tab w:leader="none" w:pos="10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principal corporate trust office of the trustee or any other paying agency maintained by us in the United States by transfer to an account with a bank located in the United States; or</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check mailed to an address in the United States.</w:t>
      </w:r>
    </w:p>
    <w:p>
      <w:pPr>
        <w:spacing w:after="0" w:line="166" w:lineRule="exact"/>
        <w:rPr>
          <w:sz w:val="20"/>
          <w:szCs w:val="20"/>
          <w:color w:val="auto"/>
        </w:rPr>
      </w:pPr>
    </w:p>
    <w:p>
      <w:pPr>
        <w:ind w:left="340" w:right="399" w:firstLine="333"/>
        <w:spacing w:after="0" w:line="254" w:lineRule="auto"/>
        <w:rPr>
          <w:sz w:val="20"/>
          <w:szCs w:val="20"/>
          <w:color w:val="auto"/>
        </w:rPr>
      </w:pPr>
      <w:r>
        <w:rPr>
          <w:rFonts w:ascii="Times New Roman" w:cs="Times New Roman" w:eastAsia="Times New Roman" w:hAnsi="Times New Roman"/>
          <w:sz w:val="14"/>
          <w:szCs w:val="14"/>
          <w:color w:val="auto"/>
        </w:rPr>
        <w:t>However, we may pay principal, interest, if any, and premium, if any, on bearer securities in U.S. dollars at the principal corporate trust office of the trustee in the Borough of Manhattan, The City of New York, if payment of the full amount thereof at all paying agencies outside the United States is illegal or effectively precluded by exchange controls or other similar restrictions.</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Registered Securities</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Unless otherwise set forth in the applicable prospectus supplement,</w:t>
      </w:r>
    </w:p>
    <w:p>
      <w:pPr>
        <w:spacing w:after="0" w:line="94" w:lineRule="exact"/>
        <w:rPr>
          <w:sz w:val="20"/>
          <w:szCs w:val="20"/>
          <w:color w:val="auto"/>
        </w:rPr>
      </w:pPr>
    </w:p>
    <w:p>
      <w:pPr>
        <w:ind w:left="1080" w:right="379" w:hanging="334"/>
        <w:spacing w:after="0" w:line="264" w:lineRule="auto"/>
        <w:tabs>
          <w:tab w:leader="none" w:pos="10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pay the principal and premium, if any, on registered securities in the designated currency or currency unit against surrender of such registered securities at the principal corporate trust office of the trustee in the Borough of Manhattan, The City of New York,</w:t>
      </w:r>
    </w:p>
    <w:p>
      <w:pPr>
        <w:spacing w:after="0" w:line="64" w:lineRule="exact"/>
        <w:rPr>
          <w:rFonts w:ascii="Times New Roman" w:cs="Times New Roman" w:eastAsia="Times New Roman" w:hAnsi="Times New Roman"/>
          <w:sz w:val="14"/>
          <w:szCs w:val="14"/>
          <w:color w:val="auto"/>
        </w:rPr>
      </w:pPr>
    </w:p>
    <w:p>
      <w:pPr>
        <w:ind w:left="1080" w:right="519" w:hanging="334"/>
        <w:spacing w:after="0" w:line="264" w:lineRule="auto"/>
        <w:tabs>
          <w:tab w:leader="none" w:pos="10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pay any installment of interest, if any, on registered securities to the person in whose name the registered security is registered at the close of business on the regular record date for any such interest, and</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9" w:right="1440" w:bottom="1440" w:gutter="0" w:footer="0" w:header="0"/>
        </w:sectPr>
      </w:pPr>
    </w:p>
    <w:bookmarkStart w:id="64" w:name="page65"/>
    <w:bookmarkEnd w:id="64"/>
    <w:p>
      <w:pPr>
        <w:jc w:val="both"/>
        <w:ind w:left="1080" w:right="739" w:hanging="334"/>
        <w:spacing w:after="0" w:line="254" w:lineRule="auto"/>
        <w:tabs>
          <w:tab w:leader="none" w:pos="10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we will pay any installment of interest, if any, at our option, (1) at the principal corporate trust office of the trustee in the Borough of Manhattan, The City of New York or (2) by a check in the designated currency or currency unit mailed to each holder of a registered security at such holder’s registered address.</w:t>
      </w:r>
    </w:p>
    <w:p>
      <w:pPr>
        <w:spacing w:after="0" w:line="142" w:lineRule="exact"/>
        <w:rPr>
          <w:sz w:val="20"/>
          <w:szCs w:val="20"/>
          <w:color w:val="auto"/>
        </w:rPr>
      </w:pPr>
    </w:p>
    <w:p>
      <w:pPr>
        <w:ind w:left="340" w:right="359" w:firstLine="333"/>
        <w:spacing w:after="0" w:line="297" w:lineRule="auto"/>
        <w:rPr>
          <w:sz w:val="20"/>
          <w:szCs w:val="20"/>
          <w:color w:val="auto"/>
        </w:rPr>
      </w:pPr>
      <w:r>
        <w:rPr>
          <w:rFonts w:ascii="Times New Roman" w:cs="Times New Roman" w:eastAsia="Times New Roman" w:hAnsi="Times New Roman"/>
          <w:sz w:val="12"/>
          <w:szCs w:val="12"/>
          <w:color w:val="auto"/>
        </w:rPr>
        <w:t>We will name in the prospectus supplement the paying agents, if any, outside the United States initially appointed by us for a series of debt securities. We may terminate the appointment of any of the paying agents from time to time, except that we will maintain at least one paying agent in the Borough of Manhattan, The City of New York, for payments with respect to registered securities. We will also maintain at least one paying agent in a city in Europe so long as any bearer securities are outstanding where bearer securities may be presented for payment and may be surrendered for exchange. However, so long as any series of debt securities is listed on any stock exchange located outside the United States and such stock exchange shall so require, we will maintain a paying agent in any required city located outside the United States for those series of debt securities.</w:t>
      </w:r>
    </w:p>
    <w:p>
      <w:pPr>
        <w:spacing w:after="0" w:line="119" w:lineRule="exact"/>
        <w:rPr>
          <w:sz w:val="20"/>
          <w:szCs w:val="20"/>
          <w:color w:val="auto"/>
        </w:rPr>
      </w:pPr>
    </w:p>
    <w:p>
      <w:pPr>
        <w:ind w:left="340" w:right="439" w:firstLine="333"/>
        <w:spacing w:after="0" w:line="254" w:lineRule="auto"/>
        <w:rPr>
          <w:sz w:val="20"/>
          <w:szCs w:val="20"/>
          <w:color w:val="auto"/>
        </w:rPr>
      </w:pPr>
      <w:r>
        <w:rPr>
          <w:rFonts w:ascii="Times New Roman" w:cs="Times New Roman" w:eastAsia="Times New Roman" w:hAnsi="Times New Roman"/>
          <w:sz w:val="14"/>
          <w:szCs w:val="14"/>
          <w:color w:val="auto"/>
        </w:rPr>
        <w:t>All moneys we pay to the trustee or a paying agent for the payment of principal of or premium, if any, or interest, if any, on any debt security that remain unclaimed at the end of two years after such principal, premium or interest shall have become due and payable will be repaid to us, and the holder of such debt security entitled to receive such payment will thereafter look only to us for payment thereof.</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88" w:lineRule="exact"/>
        <w:rPr>
          <w:sz w:val="20"/>
          <w:szCs w:val="20"/>
          <w:color w:val="auto"/>
        </w:rPr>
      </w:pPr>
    </w:p>
    <w:p>
      <w:pPr>
        <w:ind w:left="340" w:right="359" w:firstLine="333"/>
        <w:spacing w:after="0" w:line="300" w:lineRule="auto"/>
        <w:rPr>
          <w:sz w:val="20"/>
          <w:szCs w:val="20"/>
          <w:color w:val="auto"/>
        </w:rPr>
      </w:pPr>
      <w:r>
        <w:rPr>
          <w:rFonts w:ascii="Times New Roman" w:cs="Times New Roman" w:eastAsia="Times New Roman" w:hAnsi="Times New Roman"/>
          <w:sz w:val="12"/>
          <w:szCs w:val="12"/>
          <w:color w:val="auto"/>
        </w:rPr>
        <w:t>Deutsche Bank Trust Company Americas is the current trustee under the indenture. The trustee shall, prior to the occurrence of any event of default with respect to the debt securities of any series and after the curing or waiving of all events of default with respect to such series which have occurred, perform only such duties as are specifically set forth in such indenture. During the existence of any event of default with respect to the debt securities of any series, the trustee shall exercise such of the rights and powers vested in it under the indenture with respect to such series and use the same degree of care and skill in their exercise as a prudent person would exercise or use under the circumstances in the conduct of his or her own affairs.</w:t>
      </w:r>
    </w:p>
    <w:p>
      <w:pPr>
        <w:spacing w:after="0" w:line="118" w:lineRule="exact"/>
        <w:rPr>
          <w:sz w:val="20"/>
          <w:szCs w:val="20"/>
          <w:color w:val="auto"/>
        </w:rPr>
      </w:pPr>
    </w:p>
    <w:p>
      <w:pPr>
        <w:ind w:left="340" w:right="779" w:firstLine="333"/>
        <w:spacing w:after="0" w:line="264" w:lineRule="auto"/>
        <w:rPr>
          <w:sz w:val="20"/>
          <w:szCs w:val="20"/>
          <w:color w:val="auto"/>
        </w:rPr>
      </w:pPr>
      <w:r>
        <w:rPr>
          <w:rFonts w:ascii="Times New Roman" w:cs="Times New Roman" w:eastAsia="Times New Roman" w:hAnsi="Times New Roman"/>
          <w:sz w:val="14"/>
          <w:szCs w:val="14"/>
          <w:color w:val="auto"/>
        </w:rPr>
        <w:t>The trustee may acquire and hold debt securities and, subject to certain conditions, otherwise deal with us as if it were not trustee under the indenture.</w:t>
      </w:r>
    </w:p>
    <w:p>
      <w:pPr>
        <w:spacing w:after="0" w:line="136" w:lineRule="exact"/>
        <w:rPr>
          <w:sz w:val="20"/>
          <w:szCs w:val="20"/>
          <w:color w:val="auto"/>
        </w:rPr>
      </w:pPr>
    </w:p>
    <w:p>
      <w:pPr>
        <w:ind w:left="340" w:right="479" w:firstLine="333"/>
        <w:spacing w:after="0" w:line="254" w:lineRule="auto"/>
        <w:rPr>
          <w:sz w:val="20"/>
          <w:szCs w:val="20"/>
          <w:color w:val="auto"/>
        </w:rPr>
      </w:pPr>
      <w:r>
        <w:rPr>
          <w:rFonts w:ascii="Times New Roman" w:cs="Times New Roman" w:eastAsia="Times New Roman" w:hAnsi="Times New Roman"/>
          <w:sz w:val="14"/>
          <w:szCs w:val="14"/>
          <w:color w:val="auto"/>
        </w:rPr>
        <w:t>The trustee and its affiliates have in the past provided, and may from time to time in the future provide, trustee, commercial banking, investment banking and other services to us in the ordinary course of their respective businesses for which they have received, and will receive, customary compensation.</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Modification of the Indenture</w:t>
      </w:r>
    </w:p>
    <w:p>
      <w:pPr>
        <w:spacing w:after="0" w:line="88" w:lineRule="exact"/>
        <w:rPr>
          <w:sz w:val="20"/>
          <w:szCs w:val="20"/>
          <w:color w:val="auto"/>
        </w:rPr>
      </w:pPr>
    </w:p>
    <w:p>
      <w:pPr>
        <w:jc w:val="both"/>
        <w:ind w:left="340" w:right="399" w:firstLine="333"/>
        <w:spacing w:after="0" w:line="254" w:lineRule="auto"/>
        <w:rPr>
          <w:sz w:val="20"/>
          <w:szCs w:val="20"/>
          <w:color w:val="auto"/>
        </w:rPr>
      </w:pPr>
      <w:r>
        <w:rPr>
          <w:rFonts w:ascii="Times New Roman" w:cs="Times New Roman" w:eastAsia="Times New Roman" w:hAnsi="Times New Roman"/>
          <w:sz w:val="14"/>
          <w:szCs w:val="14"/>
          <w:color w:val="auto"/>
        </w:rPr>
        <w:t>The indenture contains provisions permitting us and the trustee, without the consent of the holders of the debt securities, to establish, among other things, the form and terms of any series of debt securities issuable under the indenture by one or more supplemental indentures, to add covenants and to provide for security for the debt securities.</w:t>
      </w:r>
    </w:p>
    <w:p>
      <w:pPr>
        <w:spacing w:after="0" w:line="142" w:lineRule="exact"/>
        <w:rPr>
          <w:sz w:val="20"/>
          <w:szCs w:val="20"/>
          <w:color w:val="auto"/>
        </w:rPr>
      </w:pPr>
    </w:p>
    <w:p>
      <w:pPr>
        <w:ind w:left="340" w:right="479" w:firstLine="333"/>
        <w:spacing w:after="0" w:line="247" w:lineRule="auto"/>
        <w:rPr>
          <w:sz w:val="20"/>
          <w:szCs w:val="20"/>
          <w:color w:val="auto"/>
        </w:rPr>
      </w:pPr>
      <w:r>
        <w:rPr>
          <w:rFonts w:ascii="Times New Roman" w:cs="Times New Roman" w:eastAsia="Times New Roman" w:hAnsi="Times New Roman"/>
          <w:sz w:val="14"/>
          <w:szCs w:val="14"/>
          <w:color w:val="auto"/>
        </w:rPr>
        <w:t>With the consent of the holders of not less than a majority of the aggregate principal amount of the debt securities of any series at the time outstanding, we and the trustee may execute supplemental indentures adding any provisions to or changing in any manner or eliminating any of the provisions of the indenture or of any supplemental indenture with respect to the debt securities of such series or modifying in any manner the rights of the holders of the debt securities of such series. However, without the consent of the holders of each debt security so affected, we and the trustee may not (1) extend the fixed maturity, or the earlier optional date of maturity, if any, of any debt security of such series, (2) reduce the principal amount of any debt security of such series, (3) reduce the premium of any debt security of such series, if any, (4) reduce the rate or extend the time of payment of interest, if any, of any debt security of such series, or (5) make the principal thereof or premium, if</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9" w:right="1440" w:bottom="1440" w:gutter="0" w:footer="0" w:header="0"/>
        </w:sectPr>
      </w:pPr>
    </w:p>
    <w:bookmarkStart w:id="65" w:name="page66"/>
    <w:bookmarkEnd w:id="65"/>
    <w:p>
      <w:pPr>
        <w:ind w:left="340" w:right="47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204075" cy="32385"/>
                    </a:xfrm>
                    <a:prstGeom prst="rect">
                      <a:avLst/>
                    </a:prstGeom>
                    <a:noFill/>
                  </pic:spPr>
                </pic:pic>
              </a:graphicData>
            </a:graphic>
          </wp:anchor>
        </w:drawing>
        <w:t>any, or interest, if any, of any debt security of such series payable in any currency other than as provided therein or pursuant to the indenture. Also, without the consent of the holders of all debt securities of such series outstanding thereunder, we and the trustee may not reduce the percentage of debt securities of such series, the holders of which are required to consent to any such supplemental indenture.</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Certain Covenants of Debt Securities</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indenture contains, among other things, the following covenants:</w:t>
      </w:r>
    </w:p>
    <w:p>
      <w:pPr>
        <w:spacing w:after="0" w:line="164" w:lineRule="exact"/>
        <w:rPr>
          <w:sz w:val="20"/>
          <w:szCs w:val="20"/>
          <w:color w:val="auto"/>
        </w:rPr>
      </w:pPr>
    </w:p>
    <w:p>
      <w:pPr>
        <w:jc w:val="both"/>
        <w:ind w:left="340" w:right="439" w:firstLine="333"/>
        <w:spacing w:after="0" w:line="251" w:lineRule="auto"/>
        <w:rPr>
          <w:sz w:val="20"/>
          <w:szCs w:val="20"/>
          <w:color w:val="auto"/>
        </w:rPr>
      </w:pPr>
      <w:r>
        <w:rPr>
          <w:rFonts w:ascii="Times New Roman" w:cs="Times New Roman" w:eastAsia="Times New Roman" w:hAnsi="Times New Roman"/>
          <w:sz w:val="14"/>
          <w:szCs w:val="14"/>
          <w:i w:val="1"/>
          <w:iCs w:val="1"/>
          <w:color w:val="auto"/>
        </w:rPr>
        <w:t>Limitation on Liens</w:t>
      </w:r>
      <w:r>
        <w:rPr>
          <w:rFonts w:ascii="Times New Roman" w:cs="Times New Roman" w:eastAsia="Times New Roman" w:hAnsi="Times New Roman"/>
          <w:sz w:val="14"/>
          <w:szCs w:val="14"/>
          <w:color w:val="auto"/>
        </w:rPr>
        <w:t>. We will not, and will not permit any of our subsidiaries to, create, assume or suffer to exist any lien on restricted property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secure any of our debt, any debt of any of our subsidiaries or any debt of any other person unless we also secure the debt securities of any series having the benefit of this covenant by a lien equally and ratably with such other debt for so long as such other debt shall be so secured. The indenture contains the following exceptions to the foregoing prohibition:</w:t>
      </w:r>
    </w:p>
    <w:p>
      <w:pPr>
        <w:spacing w:after="0" w:line="74" w:lineRule="exact"/>
        <w:rPr>
          <w:sz w:val="20"/>
          <w:szCs w:val="20"/>
          <w:color w:val="auto"/>
        </w:rPr>
      </w:pPr>
    </w:p>
    <w:p>
      <w:pPr>
        <w:ind w:left="1240" w:hanging="494"/>
        <w:spacing w:after="0"/>
        <w:tabs>
          <w:tab w:leader="none" w:pos="1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existing on the date of issuance of the first debt security of the particular series;</w:t>
      </w:r>
    </w:p>
    <w:p>
      <w:pPr>
        <w:spacing w:after="0" w:line="94" w:lineRule="exact"/>
        <w:rPr>
          <w:rFonts w:ascii="Times New Roman" w:cs="Times New Roman" w:eastAsia="Times New Roman" w:hAnsi="Times New Roman"/>
          <w:sz w:val="14"/>
          <w:szCs w:val="14"/>
          <w:color w:val="auto"/>
        </w:rPr>
      </w:pPr>
    </w:p>
    <w:p>
      <w:pPr>
        <w:ind w:left="1240" w:hanging="494"/>
        <w:spacing w:after="0"/>
        <w:tabs>
          <w:tab w:leader="none" w:pos="1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existing on property owned or leased by a corporation existing when such corporation becomes a subsidiary;</w:t>
      </w:r>
    </w:p>
    <w:p>
      <w:pPr>
        <w:spacing w:after="0" w:line="94" w:lineRule="exact"/>
        <w:rPr>
          <w:rFonts w:ascii="Times New Roman" w:cs="Times New Roman" w:eastAsia="Times New Roman" w:hAnsi="Times New Roman"/>
          <w:sz w:val="14"/>
          <w:szCs w:val="14"/>
          <w:color w:val="auto"/>
        </w:rPr>
      </w:pPr>
    </w:p>
    <w:p>
      <w:pPr>
        <w:ind w:left="1240" w:hanging="494"/>
        <w:spacing w:after="0"/>
        <w:tabs>
          <w:tab w:leader="none" w:pos="1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existing on property when the property was acquired by us or any of our subsidiaries;</w:t>
      </w:r>
    </w:p>
    <w:p>
      <w:pPr>
        <w:spacing w:after="0" w:line="94" w:lineRule="exact"/>
        <w:rPr>
          <w:rFonts w:ascii="Times New Roman" w:cs="Times New Roman" w:eastAsia="Times New Roman" w:hAnsi="Times New Roman"/>
          <w:sz w:val="14"/>
          <w:szCs w:val="14"/>
          <w:color w:val="auto"/>
        </w:rPr>
      </w:pPr>
    </w:p>
    <w:p>
      <w:pPr>
        <w:ind w:left="1240" w:right="359" w:hanging="494"/>
        <w:spacing w:after="0" w:line="250" w:lineRule="auto"/>
        <w:tabs>
          <w:tab w:leader="none" w:pos="1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to secure debt incurred prior to, at the time of or within 12 months after the acquisition of restricted property or the completion of the construction, alteration, repair or improvement of restricted property, as the case may be, for the purpose of financing all or a part of the purchase price or cost thereof and liens to the extent they secure debt in excess of such purchase price or cost and for the payment of which recourse may be had only against such restricted property;</w:t>
      </w:r>
    </w:p>
    <w:p>
      <w:pPr>
        <w:spacing w:after="0" w:line="74" w:lineRule="exact"/>
        <w:rPr>
          <w:rFonts w:ascii="Times New Roman" w:cs="Times New Roman" w:eastAsia="Times New Roman" w:hAnsi="Times New Roman"/>
          <w:sz w:val="14"/>
          <w:szCs w:val="14"/>
          <w:color w:val="auto"/>
        </w:rPr>
      </w:pPr>
    </w:p>
    <w:p>
      <w:pPr>
        <w:ind w:left="1240" w:right="819" w:hanging="494"/>
        <w:spacing w:after="0" w:line="264" w:lineRule="auto"/>
        <w:tabs>
          <w:tab w:leader="none" w:pos="1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liens in favor of governmental entities that are required by the provisions of any contract or statute, or any liens securing industrial development, pollution control or similar revenue bonds;</w:t>
      </w:r>
    </w:p>
    <w:p>
      <w:pPr>
        <w:spacing w:after="0" w:line="64" w:lineRule="exact"/>
        <w:rPr>
          <w:rFonts w:ascii="Times New Roman" w:cs="Times New Roman" w:eastAsia="Times New Roman" w:hAnsi="Times New Roman"/>
          <w:sz w:val="14"/>
          <w:szCs w:val="14"/>
          <w:color w:val="auto"/>
        </w:rPr>
      </w:pPr>
    </w:p>
    <w:p>
      <w:pPr>
        <w:ind w:left="1240" w:hanging="494"/>
        <w:spacing w:after="0"/>
        <w:tabs>
          <w:tab w:leader="none" w:pos="1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securing debt of a subsidiary owing to us or to another subsidiary;</w:t>
      </w:r>
    </w:p>
    <w:p>
      <w:pPr>
        <w:spacing w:after="0" w:line="94" w:lineRule="exact"/>
        <w:rPr>
          <w:rFonts w:ascii="Times New Roman" w:cs="Times New Roman" w:eastAsia="Times New Roman" w:hAnsi="Times New Roman"/>
          <w:sz w:val="14"/>
          <w:szCs w:val="14"/>
          <w:color w:val="auto"/>
        </w:rPr>
      </w:pPr>
    </w:p>
    <w:p>
      <w:pPr>
        <w:ind w:left="1240" w:right="379" w:hanging="494"/>
        <w:spacing w:after="0" w:line="247" w:lineRule="auto"/>
        <w:tabs>
          <w:tab w:leader="none" w:pos="1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extension, renewal or replacement (or successive extensions, renewals or replacements) in whole or in part of any lien referred to in clauses (i) through (vi) above, inclusive, so long as (1) the principal amount of the debt secured thereby does not exceed the principal amount of debt so secured at the time of the extension, renewal or replacement (except that, where an additional principal amount of debt is incurred to provide funds for the completion of a specific project, the additional principal amount, and any related financing costs, may be secured by the lien as well) and (2) the lien is limited to the same property subject to the lien so extended, renewed or replaced (and improvements on the property); and</w:t>
      </w:r>
    </w:p>
    <w:p>
      <w:pPr>
        <w:spacing w:after="0" w:line="78" w:lineRule="exact"/>
        <w:rPr>
          <w:rFonts w:ascii="Times New Roman" w:cs="Times New Roman" w:eastAsia="Times New Roman" w:hAnsi="Times New Roman"/>
          <w:sz w:val="14"/>
          <w:szCs w:val="14"/>
          <w:color w:val="auto"/>
        </w:rPr>
      </w:pPr>
    </w:p>
    <w:p>
      <w:pPr>
        <w:ind w:left="1240" w:hanging="494"/>
        <w:spacing w:after="0"/>
        <w:tabs>
          <w:tab w:leader="none" w:pos="12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lien that would not otherwise be permitted by clauses (i) through (vii) above, inclusive, securing debt which, together with:</w:t>
      </w:r>
    </w:p>
    <w:p>
      <w:pPr>
        <w:spacing w:after="0" w:line="94" w:lineRule="exact"/>
        <w:rPr>
          <w:rFonts w:ascii="Times New Roman" w:cs="Times New Roman" w:eastAsia="Times New Roman" w:hAnsi="Times New Roman"/>
          <w:sz w:val="14"/>
          <w:szCs w:val="14"/>
          <w:color w:val="auto"/>
        </w:rPr>
      </w:pPr>
    </w:p>
    <w:p>
      <w:pPr>
        <w:ind w:left="1580" w:right="439" w:hanging="252"/>
        <w:spacing w:after="0" w:line="264" w:lineRule="auto"/>
        <w:tabs>
          <w:tab w:leader="none" w:pos="158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outstanding principal amount of all other debt of ours and our subsidiaries owning restricted property which would otherwise be subject to the foregoing restrictions, and</w:t>
      </w:r>
    </w:p>
    <w:p>
      <w:pPr>
        <w:spacing w:after="0" w:line="64" w:lineRule="exact"/>
        <w:rPr>
          <w:rFonts w:ascii="Times New Roman" w:cs="Times New Roman" w:eastAsia="Times New Roman" w:hAnsi="Times New Roman"/>
          <w:sz w:val="14"/>
          <w:szCs w:val="14"/>
          <w:color w:val="auto"/>
        </w:rPr>
      </w:pPr>
    </w:p>
    <w:p>
      <w:pPr>
        <w:ind w:left="1580" w:right="579" w:hanging="252"/>
        <w:spacing w:after="0" w:line="264" w:lineRule="auto"/>
        <w:tabs>
          <w:tab w:leader="none" w:pos="158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value of existing sale and leaseback transactions which would be subject to the foregoing restrictions absent this clause (viii), does not exceed 15% of our consolidated net tangible assets.</w:t>
      </w:r>
    </w:p>
    <w:p>
      <w:pPr>
        <w:spacing w:after="0" w:line="134" w:lineRule="exact"/>
        <w:rPr>
          <w:sz w:val="20"/>
          <w:szCs w:val="20"/>
          <w:color w:val="auto"/>
        </w:rPr>
      </w:pPr>
    </w:p>
    <w:p>
      <w:pPr>
        <w:ind w:left="340" w:right="479" w:firstLine="333"/>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Limitation on Sale and Leaseback Transactions. </w:t>
      </w:r>
      <w:r>
        <w:rPr>
          <w:rFonts w:ascii="Times New Roman" w:cs="Times New Roman" w:eastAsia="Times New Roman" w:hAnsi="Times New Roman"/>
          <w:sz w:val="14"/>
          <w:szCs w:val="14"/>
          <w:color w:val="auto"/>
        </w:rPr>
        <w:t>We will not, and will not permit any of our subsidiaries owning restricted property to, enter into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sale and leaseback transaction unless:</w:t>
      </w:r>
    </w:p>
    <w:p>
      <w:pPr>
        <w:spacing w:after="0" w:line="63" w:lineRule="exact"/>
        <w:rPr>
          <w:sz w:val="20"/>
          <w:szCs w:val="20"/>
          <w:color w:val="auto"/>
        </w:rPr>
      </w:pPr>
    </w:p>
    <w:p>
      <w:pPr>
        <w:ind w:left="1080" w:right="519" w:hanging="416"/>
        <w:spacing w:after="0" w:line="264" w:lineRule="auto"/>
        <w:tabs>
          <w:tab w:leader="none" w:pos="10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company or such subsidiary could incur debt, in a principal amount at least equal to the value of such sale and leaseback transaction, secured by a lien on the property to be leased (without equally and</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9" w:right="1440" w:bottom="1440" w:gutter="0" w:footer="0" w:header="0"/>
        </w:sectPr>
      </w:pPr>
    </w:p>
    <w:bookmarkStart w:id="66" w:name="page67"/>
    <w:bookmarkEnd w:id="66"/>
    <w:p>
      <w:pPr>
        <w:ind w:left="1080" w:right="67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204075" cy="32385"/>
                    </a:xfrm>
                    <a:prstGeom prst="rect">
                      <a:avLst/>
                    </a:prstGeom>
                    <a:noFill/>
                  </pic:spPr>
                </pic:pic>
              </a:graphicData>
            </a:graphic>
          </wp:anchor>
        </w:drawing>
        <w:t>ratably securing the outstanding debt securities) because such lien would be of a character that no violation of the covenant described under “Limitations on Liens” above would result; or</w:t>
      </w:r>
    </w:p>
    <w:p>
      <w:pPr>
        <w:spacing w:after="0" w:line="65" w:lineRule="exact"/>
        <w:rPr>
          <w:sz w:val="20"/>
          <w:szCs w:val="20"/>
          <w:color w:val="auto"/>
        </w:rPr>
      </w:pPr>
    </w:p>
    <w:p>
      <w:pPr>
        <w:ind w:left="1080" w:right="419" w:hanging="416"/>
        <w:spacing w:after="0" w:line="254" w:lineRule="auto"/>
        <w:tabs>
          <w:tab w:leader="none" w:pos="1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apply, during the six months following the effective date of the sale and leaseback transaction, an amount equal to the value of the sale and leaseback transaction to the voluntary retirement of funded debt (whether by redemption, defeasance, repurchase, or otherwise) or to the acquisition of restricted property.</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Definitions of Certain Terms</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following are the meanings of terms that are important in understanding the covenants previously described:</w:t>
      </w:r>
    </w:p>
    <w:p>
      <w:pPr>
        <w:spacing w:after="0" w:line="94" w:lineRule="exact"/>
        <w:rPr>
          <w:sz w:val="20"/>
          <w:szCs w:val="20"/>
          <w:color w:val="auto"/>
        </w:rPr>
      </w:pPr>
    </w:p>
    <w:p>
      <w:pPr>
        <w:ind w:left="1080" w:right="419" w:hanging="334"/>
        <w:spacing w:after="0" w:line="248" w:lineRule="auto"/>
        <w:tabs>
          <w:tab w:leader="none" w:pos="1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net tangible assets” means the total assets (less applicable reserves and other properly deductible items) less current liabilities (excluding the amount of those which are by their terms extendable or renewable at the option of the obligor to a date more than 12 months after the date as of which the amount is being determined) and all goodwill, tradenames, trademarks, patents, unamortized debt discount and expense and other like intangible assets, all as set forth on our most recent consolidated balance sheet determined in accordance with generally accepted accounting principles.</w:t>
      </w:r>
    </w:p>
    <w:p>
      <w:pPr>
        <w:spacing w:after="0" w:line="77" w:lineRule="exact"/>
        <w:rPr>
          <w:rFonts w:ascii="Times New Roman" w:cs="Times New Roman" w:eastAsia="Times New Roman" w:hAnsi="Times New Roman"/>
          <w:sz w:val="14"/>
          <w:szCs w:val="14"/>
          <w:color w:val="auto"/>
        </w:rPr>
      </w:pPr>
    </w:p>
    <w:p>
      <w:pPr>
        <w:ind w:left="1080" w:right="439" w:hanging="334"/>
        <w:spacing w:after="0" w:line="254" w:lineRule="auto"/>
        <w:tabs>
          <w:tab w:leader="none" w:pos="1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“funded debt” means our indebtedness or the indebtedness of a subsidiary owning restricted property maturing by its terms more than one year after its creation and indebtedness classified as long-term debt under generally accepted accounting principles and in each case ranking at least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debt securities.</w:t>
      </w:r>
    </w:p>
    <w:p>
      <w:pPr>
        <w:spacing w:after="0" w:line="70" w:lineRule="exact"/>
        <w:rPr>
          <w:rFonts w:ascii="Times New Roman" w:cs="Times New Roman" w:eastAsia="Times New Roman" w:hAnsi="Times New Roman"/>
          <w:sz w:val="14"/>
          <w:szCs w:val="14"/>
          <w:color w:val="auto"/>
        </w:rPr>
      </w:pPr>
    </w:p>
    <w:p>
      <w:pPr>
        <w:ind w:left="1080" w:right="499" w:hanging="334"/>
        <w:spacing w:after="0" w:line="264" w:lineRule="auto"/>
        <w:tabs>
          <w:tab w:leader="none" w:pos="1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issue discount security” means any debt security which provides for an amount less than the principal amount thereof to be due and payable upon a declaration of acceleration of maturity thereof pursuant to the indenture.</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property” means</w:t>
      </w:r>
    </w:p>
    <w:p>
      <w:pPr>
        <w:spacing w:after="0" w:line="94" w:lineRule="exact"/>
        <w:rPr>
          <w:rFonts w:ascii="Times New Roman" w:cs="Times New Roman" w:eastAsia="Times New Roman" w:hAnsi="Times New Roman"/>
          <w:sz w:val="14"/>
          <w:szCs w:val="14"/>
          <w:color w:val="auto"/>
        </w:rPr>
      </w:pPr>
    </w:p>
    <w:p>
      <w:pPr>
        <w:ind w:left="1400" w:right="399" w:hanging="235"/>
        <w:spacing w:after="0" w:line="248" w:lineRule="auto"/>
        <w:tabs>
          <w:tab w:leader="none" w:pos="140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manufacturing facility (or portion thereof) owned or leased by us or any of our subsidiaries and located within the continental United States which, in the opinion of our board of directors (or a committee thereof), is of material importance to our business and the business of our subsidiaries taken as a whole, but no such manufacturing facility (or portion thereof) shall be deemed of material importance if its gross book value, before deducting accumulated depreciation, is less than 2% of our consolidated net tangible assets; or</w:t>
      </w:r>
    </w:p>
    <w:p>
      <w:pPr>
        <w:spacing w:after="0" w:line="77" w:lineRule="exact"/>
        <w:rPr>
          <w:rFonts w:ascii="Times New Roman" w:cs="Times New Roman" w:eastAsia="Times New Roman" w:hAnsi="Times New Roman"/>
          <w:sz w:val="14"/>
          <w:szCs w:val="14"/>
          <w:color w:val="auto"/>
        </w:rPr>
      </w:pPr>
    </w:p>
    <w:p>
      <w:pPr>
        <w:ind w:left="1400" w:hanging="235"/>
        <w:spacing w:after="0"/>
        <w:tabs>
          <w:tab w:leader="none" w:pos="140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capital stock or indebtedness of any subsidiary owning any such manufacturing facility.</w:t>
      </w:r>
    </w:p>
    <w:p>
      <w:pPr>
        <w:spacing w:after="0" w:line="94" w:lineRule="exact"/>
        <w:rPr>
          <w:rFonts w:ascii="Times New Roman" w:cs="Times New Roman" w:eastAsia="Times New Roman" w:hAnsi="Times New Roman"/>
          <w:sz w:val="14"/>
          <w:szCs w:val="14"/>
          <w:color w:val="auto"/>
        </w:rPr>
      </w:pPr>
    </w:p>
    <w:p>
      <w:pPr>
        <w:ind w:left="1080" w:right="359" w:hanging="334"/>
        <w:spacing w:after="0" w:line="291" w:lineRule="auto"/>
        <w:tabs>
          <w:tab w:leader="none" w:pos="10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 and leaseback transaction” means any arrangement with any person providing for the leasing by us or any subsidiary of any restricted property which has been or is to be sold or transferred by us or such subsidiary to such person, excluding (1) temporary leases for a term, including renewals at the option of the lessee, of not more than three years, (2) leases between us and a subsidiary or between subsidiaries,</w:t>
      </w:r>
    </w:p>
    <w:p>
      <w:pPr>
        <w:ind w:left="1080" w:right="479"/>
        <w:spacing w:after="0" w:line="30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 leases of a restricted property executed by the time of, or within 12 months after the latest of, the acquisition, the completion of construction or improvement, or the commencement of commercial operation of the restricted property, and (4) arrangements pursuant to any provision of law with an effect similar to the former Section 168(f)(8) of the Internal Revenue Code of 1954, as amended.</w:t>
      </w:r>
    </w:p>
    <w:p>
      <w:pPr>
        <w:spacing w:after="0" w:line="42" w:lineRule="exact"/>
        <w:rPr>
          <w:rFonts w:ascii="Times New Roman" w:cs="Times New Roman" w:eastAsia="Times New Roman" w:hAnsi="Times New Roman"/>
          <w:sz w:val="12"/>
          <w:szCs w:val="12"/>
          <w:color w:val="auto"/>
        </w:rPr>
      </w:pPr>
    </w:p>
    <w:p>
      <w:pPr>
        <w:ind w:left="1080" w:right="379" w:hanging="334"/>
        <w:spacing w:after="0" w:line="248" w:lineRule="auto"/>
        <w:tabs>
          <w:tab w:leader="none" w:pos="10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“subsidiary” means any corporation more than 50% of the voting stock of which shall at the time be owned by us or by one or more subsidiaries or by us and one or more subsidiaries, but shall not include any corporation of which we and/or one or more subsidiaries owns directly or indirectly, less than 50% of the outstanding stock of all classes having ordinary voting power for the election of directors but more than 50% of the outstanding shares of stock of a class having by its terms ordinary voting power as a class to elect a majority of the board of directors of such corporation.</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9" w:right="1440" w:bottom="1440" w:gutter="0" w:footer="0" w:header="0"/>
        </w:sectPr>
      </w:pPr>
    </w:p>
    <w:bookmarkStart w:id="67" w:name="page68"/>
    <w:bookmarkEnd w:id="67"/>
    <w:p>
      <w:pPr>
        <w:ind w:left="1080" w:right="479" w:hanging="334"/>
        <w:spacing w:after="0" w:line="248" w:lineRule="auto"/>
        <w:tabs>
          <w:tab w:leader="none" w:pos="10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204075" cy="32385"/>
                    </a:xfrm>
                    <a:prstGeom prst="rect">
                      <a:avLst/>
                    </a:prstGeom>
                    <a:noFill/>
                  </pic:spPr>
                </pic:pic>
              </a:graphicData>
            </a:graphic>
          </wp:anchor>
        </w:drawing>
        <w:t>“value” means, with respect to a sale and leaseback transaction, an amount equal to the net present value of the lease payments with respect to the term of the lease remaining on the date as of which the amount is being determined, without regard to any renewal or extension options contained in the lease, discounted at the weighted average interest rate on the debt securities of all series (including the yield to maturity on any original issue discount securities) which are outstanding on the effective date of such sale and leaseback transaction.</w:t>
      </w:r>
    </w:p>
    <w:p>
      <w:pPr>
        <w:spacing w:after="0" w:line="149" w:lineRule="exact"/>
        <w:rPr>
          <w:sz w:val="20"/>
          <w:szCs w:val="20"/>
          <w:color w:val="auto"/>
        </w:rPr>
      </w:pPr>
    </w:p>
    <w:p>
      <w:pPr>
        <w:ind w:left="340" w:right="399" w:firstLine="333"/>
        <w:spacing w:after="0" w:line="264" w:lineRule="auto"/>
        <w:rPr>
          <w:sz w:val="20"/>
          <w:szCs w:val="20"/>
          <w:color w:val="auto"/>
        </w:rPr>
      </w:pPr>
      <w:r>
        <w:rPr>
          <w:rFonts w:ascii="Times New Roman" w:cs="Times New Roman" w:eastAsia="Times New Roman" w:hAnsi="Times New Roman"/>
          <w:sz w:val="14"/>
          <w:szCs w:val="14"/>
          <w:color w:val="auto"/>
        </w:rPr>
        <w:t>Because the covenants described above cover only manufacturing facilities in the continental United States, our manufacturing facilities in Puerto Rico and elsewhere in the world are excluded from the operation of the covenants described above.</w:t>
      </w:r>
    </w:p>
    <w:p>
      <w:pPr>
        <w:spacing w:after="0" w:line="136" w:lineRule="exact"/>
        <w:rPr>
          <w:sz w:val="20"/>
          <w:szCs w:val="20"/>
          <w:color w:val="auto"/>
        </w:rPr>
      </w:pPr>
    </w:p>
    <w:p>
      <w:pPr>
        <w:ind w:left="340" w:right="439" w:firstLine="333"/>
        <w:spacing w:after="0" w:line="247" w:lineRule="auto"/>
        <w:rPr>
          <w:sz w:val="20"/>
          <w:szCs w:val="20"/>
          <w:color w:val="auto"/>
        </w:rPr>
      </w:pPr>
      <w:r>
        <w:rPr>
          <w:rFonts w:ascii="Times New Roman" w:cs="Times New Roman" w:eastAsia="Times New Roman" w:hAnsi="Times New Roman"/>
          <w:sz w:val="14"/>
          <w:szCs w:val="14"/>
          <w:color w:val="auto"/>
        </w:rPr>
        <w:t>Except as described in “Merger or Consolidation” below, there are no other restrictive covenants contained in the indenture. The indenture does not contain any provision which restricts us from incurring, assuming or becoming liable with respect to any indebtedness or other obligations, whether secured or unsecured, or from paying dividends or making other distributions on our capital stock or purchasing or redeeming our capital stock. The indenture does not contain any financial ratios, or specified levels of net worth or liquidity to which we must adhere. In addition, the indenture does not contain any provision which would require that we repurchase or redeem or otherwise modify the terms of any of our debt securities upon a change in control or other events involving us which may adversely affect the creditworthiness of the debt securities.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The indenture provides that, with respect to any series of debt securities, an event of default consists of:</w:t>
      </w:r>
    </w:p>
    <w:p>
      <w:pPr>
        <w:spacing w:after="0" w:line="94" w:lineRule="exact"/>
        <w:rPr>
          <w:sz w:val="20"/>
          <w:szCs w:val="20"/>
          <w:color w:val="auto"/>
        </w:rPr>
      </w:pPr>
    </w:p>
    <w:p>
      <w:pPr>
        <w:ind w:left="1080" w:hanging="334"/>
        <w:spacing w:after="0"/>
        <w:tabs>
          <w:tab w:leader="none" w:pos="10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interest when due on any debt securities of such series that continues for 30 days;</w:t>
      </w:r>
    </w:p>
    <w:p>
      <w:pPr>
        <w:spacing w:after="0" w:line="94" w:lineRule="exact"/>
        <w:rPr>
          <w:rFonts w:ascii="Times New Roman" w:cs="Times New Roman" w:eastAsia="Times New Roman" w:hAnsi="Times New Roman"/>
          <w:sz w:val="14"/>
          <w:szCs w:val="14"/>
          <w:color w:val="auto"/>
        </w:rPr>
      </w:pPr>
    </w:p>
    <w:p>
      <w:pPr>
        <w:ind w:left="1080" w:right="659" w:hanging="334"/>
        <w:spacing w:after="0" w:line="264" w:lineRule="auto"/>
        <w:tabs>
          <w:tab w:leader="none" w:pos="10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principal or premium, if any, when due (whether at maturity, upon redemption, by declaration or otherwise) on any debt securities of such series;</w:t>
      </w:r>
    </w:p>
    <w:p>
      <w:pPr>
        <w:spacing w:after="0" w:line="64" w:lineRule="exact"/>
        <w:rPr>
          <w:rFonts w:ascii="Times New Roman" w:cs="Times New Roman" w:eastAsia="Times New Roman" w:hAnsi="Times New Roman"/>
          <w:sz w:val="14"/>
          <w:szCs w:val="14"/>
          <w:color w:val="auto"/>
        </w:rPr>
      </w:pPr>
    </w:p>
    <w:p>
      <w:pPr>
        <w:ind w:left="1080" w:right="419" w:hanging="334"/>
        <w:spacing w:after="0" w:line="264" w:lineRule="auto"/>
        <w:tabs>
          <w:tab w:leader="none" w:pos="10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observe or perform the covenant in the indenture described below under “Merger or Consolidation” after written notice from the trustee or holders of 25% or more in aggregate principal amount of debt securities of such series outstanding thereunder;</w:t>
      </w:r>
    </w:p>
    <w:p>
      <w:pPr>
        <w:spacing w:after="0" w:line="64" w:lineRule="exact"/>
        <w:rPr>
          <w:rFonts w:ascii="Times New Roman" w:cs="Times New Roman" w:eastAsia="Times New Roman" w:hAnsi="Times New Roman"/>
          <w:sz w:val="14"/>
          <w:szCs w:val="14"/>
          <w:color w:val="auto"/>
        </w:rPr>
      </w:pPr>
    </w:p>
    <w:p>
      <w:pPr>
        <w:ind w:left="1080" w:right="419" w:hanging="334"/>
        <w:spacing w:after="0" w:line="250" w:lineRule="auto"/>
        <w:tabs>
          <w:tab w:leader="none" w:pos="10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observe or perform any of our covenants in the indenture or the debt securities of such series (other than a covenant included in the indenture or the debt securities solely for the benefit of a series of debt securities other than such series), continued for 60 days (except in the case of a violation of the covenant described below under “Merger or Consolidation”) after written notice from the trustee or the holders of 25% or more in aggregate principal amount, of debt securities of such series outstanding thereunder;</w:t>
      </w:r>
    </w:p>
    <w:p>
      <w:pPr>
        <w:spacing w:after="0" w:line="7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our bankruptcy, insolvency or reorganization; and</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as may be specified for such series.</w:t>
      </w:r>
    </w:p>
    <w:p>
      <w:pPr>
        <w:spacing w:after="0" w:line="166" w:lineRule="exact"/>
        <w:rPr>
          <w:sz w:val="20"/>
          <w:szCs w:val="20"/>
          <w:color w:val="auto"/>
        </w:rPr>
      </w:pPr>
    </w:p>
    <w:p>
      <w:pPr>
        <w:ind w:left="340" w:right="459" w:firstLine="333"/>
        <w:spacing w:after="0" w:line="247" w:lineRule="auto"/>
        <w:rPr>
          <w:sz w:val="20"/>
          <w:szCs w:val="20"/>
          <w:color w:val="auto"/>
        </w:rPr>
      </w:pPr>
      <w:r>
        <w:rPr>
          <w:rFonts w:ascii="Times New Roman" w:cs="Times New Roman" w:eastAsia="Times New Roman" w:hAnsi="Times New Roman"/>
          <w:sz w:val="14"/>
          <w:szCs w:val="14"/>
          <w:color w:val="auto"/>
        </w:rPr>
        <w:t>The indenture provides that if an event of default with respect to any series of debt securities at the time outstanding occurs and is continuing, either the trustee or the holders of 25% or more in aggregate principal amount (or, if the debt securities of that series are original issue discount securities, such portion of the principal amount as may be specified in the terms of that series) of debt securities of such series outstanding may declare the principal amount of all debt securities of such series to be due and payable immediately. At any time after a declaration of acceleration with respect to the debt securities of any series has been made and before there has been a sale of property under a judgment or decree for the payment of moneys due, the holders of a majority in aggregate principal amount of the debt securities of such series outstanding may waive the default and rescind the declaration and its consequences if:</w:t>
      </w:r>
    </w:p>
    <w:p>
      <w:pPr>
        <w:spacing w:after="0" w:line="76" w:lineRule="exact"/>
        <w:rPr>
          <w:sz w:val="20"/>
          <w:szCs w:val="20"/>
          <w:color w:val="auto"/>
        </w:rPr>
      </w:pPr>
    </w:p>
    <w:p>
      <w:pPr>
        <w:ind w:left="1080" w:hanging="416"/>
        <w:spacing w:after="0"/>
        <w:tabs>
          <w:tab w:leader="none" w:pos="10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deposited with the trustee a sum sufficient to pay:</w:t>
      </w:r>
    </w:p>
    <w:p>
      <w:pPr>
        <w:spacing w:after="0" w:line="94" w:lineRule="exact"/>
        <w:rPr>
          <w:rFonts w:ascii="Times New Roman" w:cs="Times New Roman" w:eastAsia="Times New Roman" w:hAnsi="Times New Roman"/>
          <w:sz w:val="14"/>
          <w:szCs w:val="14"/>
          <w:color w:val="auto"/>
        </w:rPr>
      </w:pPr>
    </w:p>
    <w:p>
      <w:pPr>
        <w:ind w:left="4440" w:right="3419" w:hanging="3353"/>
        <w:spacing w:after="0" w:line="43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all matured installments of interest upon all the debt securities of such series; 24</w:t>
      </w:r>
    </w:p>
    <w:p>
      <w:pPr>
        <w:sectPr>
          <w:pgSz w:w="11900" w:h="16838" w:orient="portrait"/>
          <w:cols w:equalWidth="0" w:num="1">
            <w:col w:w="9019"/>
          </w:cols>
          <w:pgMar w:left="1440" w:top="239" w:right="1440" w:bottom="1440" w:gutter="0" w:footer="0" w:header="0"/>
        </w:sectPr>
      </w:pPr>
    </w:p>
    <w:bookmarkStart w:id="68" w:name="page69"/>
    <w:bookmarkEnd w:id="68"/>
    <w:p>
      <w:pPr>
        <w:ind w:left="1400" w:hanging="317"/>
        <w:spacing w:after="0"/>
        <w:tabs>
          <w:tab w:leader="none" w:pos="1400"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principal of and premium, if any, on any and all debt securities of such series which have become due other than by declaration;</w:t>
      </w:r>
    </w:p>
    <w:p>
      <w:pPr>
        <w:spacing w:after="0" w:line="117" w:lineRule="exact"/>
        <w:rPr>
          <w:rFonts w:ascii="Times New Roman" w:cs="Times New Roman" w:eastAsia="Times New Roman" w:hAnsi="Times New Roman"/>
          <w:sz w:val="12"/>
          <w:szCs w:val="12"/>
          <w:color w:val="auto"/>
        </w:rPr>
      </w:pPr>
    </w:p>
    <w:p>
      <w:pPr>
        <w:ind w:left="1400" w:right="399" w:hanging="317"/>
        <w:spacing w:after="0" w:line="254" w:lineRule="auto"/>
        <w:tabs>
          <w:tab w:leader="none" w:pos="140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on overdue installments of interest, to the extent legally enforceable under applicable law, and on such principal of and premium, if any, on each debt security of such series at the rate borne by such debt security to the date of such payment or deposit or yield to maturity (in the case of an original issue discount security); and</w:t>
      </w:r>
    </w:p>
    <w:p>
      <w:pPr>
        <w:spacing w:after="0" w:line="70" w:lineRule="exact"/>
        <w:rPr>
          <w:rFonts w:ascii="Times New Roman" w:cs="Times New Roman" w:eastAsia="Times New Roman" w:hAnsi="Times New Roman"/>
          <w:sz w:val="14"/>
          <w:szCs w:val="14"/>
          <w:color w:val="auto"/>
        </w:rPr>
      </w:pPr>
    </w:p>
    <w:p>
      <w:pPr>
        <w:ind w:left="1400" w:hanging="317"/>
        <w:spacing w:after="0"/>
        <w:tabs>
          <w:tab w:leader="none" w:pos="140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expenses of the trustee, and reasonable compensation to the trustee, agents, attorneys and counsel; and</w:t>
      </w:r>
    </w:p>
    <w:p>
      <w:pPr>
        <w:spacing w:after="0" w:line="94" w:lineRule="exact"/>
        <w:rPr>
          <w:rFonts w:ascii="Times New Roman" w:cs="Times New Roman" w:eastAsia="Times New Roman" w:hAnsi="Times New Roman"/>
          <w:sz w:val="14"/>
          <w:szCs w:val="14"/>
          <w:color w:val="auto"/>
        </w:rPr>
      </w:pPr>
    </w:p>
    <w:p>
      <w:pPr>
        <w:ind w:left="1080" w:right="719" w:hanging="416"/>
        <w:spacing w:after="0" w:line="264" w:lineRule="auto"/>
        <w:tabs>
          <w:tab w:leader="none" w:pos="10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defaults under the indenture, other than the nonpayment of principal on the debt securities of such series which may have become due by declaration, have been remedied.</w:t>
      </w:r>
    </w:p>
    <w:p>
      <w:pPr>
        <w:spacing w:after="0" w:line="136" w:lineRule="exact"/>
        <w:rPr>
          <w:sz w:val="20"/>
          <w:szCs w:val="20"/>
          <w:color w:val="auto"/>
        </w:rPr>
      </w:pPr>
    </w:p>
    <w:p>
      <w:pPr>
        <w:ind w:left="340" w:right="439" w:firstLine="333"/>
        <w:spacing w:after="0" w:line="247" w:lineRule="auto"/>
        <w:rPr>
          <w:sz w:val="20"/>
          <w:szCs w:val="20"/>
          <w:color w:val="auto"/>
        </w:rPr>
      </w:pPr>
      <w:r>
        <w:rPr>
          <w:rFonts w:ascii="Times New Roman" w:cs="Times New Roman" w:eastAsia="Times New Roman" w:hAnsi="Times New Roman"/>
          <w:sz w:val="14"/>
          <w:szCs w:val="14"/>
          <w:color w:val="auto"/>
        </w:rPr>
        <w:t>The indenture provides that the holders of a majority in aggregate principal amount of the debt securities of any series outstanding under the indenture may, subject to certain exceptions, direct the trustee as to the time, method and place of conducting any proceeding for any remedy available to the trustee, or exercising any power or trust conferred upon the trustee. The holders of a majority in aggregate principal amount of the debt securities of any series outstanding may on behalf of all holders of debt securities of such series waive any past default and its consequences with respect to debt securities of such series, except a default in the payment of the principal of, premium, if any, or interest, if any, on any of the debt securities of such series.</w:t>
      </w:r>
    </w:p>
    <w:p>
      <w:pPr>
        <w:spacing w:after="0" w:line="150" w:lineRule="exact"/>
        <w:rPr>
          <w:sz w:val="20"/>
          <w:szCs w:val="20"/>
          <w:color w:val="auto"/>
        </w:rPr>
      </w:pPr>
    </w:p>
    <w:p>
      <w:pPr>
        <w:ind w:left="340" w:right="419" w:firstLine="333"/>
        <w:spacing w:after="0" w:line="250" w:lineRule="auto"/>
        <w:rPr>
          <w:sz w:val="20"/>
          <w:szCs w:val="20"/>
          <w:color w:val="auto"/>
        </w:rPr>
      </w:pPr>
      <w:r>
        <w:rPr>
          <w:rFonts w:ascii="Times New Roman" w:cs="Times New Roman" w:eastAsia="Times New Roman" w:hAnsi="Times New Roman"/>
          <w:sz w:val="14"/>
          <w:szCs w:val="14"/>
          <w:color w:val="auto"/>
        </w:rPr>
        <w:t>Holders of any debt securities of any series may not institute any proceeding to enforce the indenture or any remedy thereunder unless the trustee shall have failed to act for 60 days after a request and offer of reasonable indemnity by the holders of 25% or more in aggregate principal amount of the debt securities of such series outstanding. However, the right of any holder of any security of any series to enforce payment of the principal of or premium, if any, or interest, if any, on its debt securities when due shall not be impaired without the consent of such holder.</w:t>
      </w:r>
    </w:p>
    <w:p>
      <w:pPr>
        <w:spacing w:after="0" w:line="146" w:lineRule="exact"/>
        <w:rPr>
          <w:sz w:val="20"/>
          <w:szCs w:val="20"/>
          <w:color w:val="auto"/>
        </w:rPr>
      </w:pPr>
    </w:p>
    <w:p>
      <w:pPr>
        <w:ind w:left="340" w:right="379" w:firstLine="333"/>
        <w:spacing w:after="0" w:line="250" w:lineRule="auto"/>
        <w:rPr>
          <w:sz w:val="20"/>
          <w:szCs w:val="20"/>
          <w:color w:val="auto"/>
        </w:rPr>
      </w:pPr>
      <w:r>
        <w:rPr>
          <w:rFonts w:ascii="Times New Roman" w:cs="Times New Roman" w:eastAsia="Times New Roman" w:hAnsi="Times New Roman"/>
          <w:sz w:val="14"/>
          <w:szCs w:val="14"/>
          <w:color w:val="auto"/>
        </w:rPr>
        <w:t>The trustee is required to give the holders of any debt security of any series notice of default with respect to such series known to it within 90 days after the happening of the default, unless cured before the giving of such notice. However, except for defaults in payments of the principal of or premium, if any, or interest, if any, on the debt securities of such series, the trustee may withhold notice if and so long as it determines in good faith that the withholding of such notice is in the interests of the holders of the debt securities of such series.</w:t>
      </w:r>
    </w:p>
    <w:p>
      <w:pPr>
        <w:spacing w:after="0" w:line="146" w:lineRule="exact"/>
        <w:rPr>
          <w:sz w:val="20"/>
          <w:szCs w:val="20"/>
          <w:color w:val="auto"/>
        </w:rPr>
      </w:pPr>
    </w:p>
    <w:p>
      <w:pPr>
        <w:ind w:left="340" w:right="419" w:firstLine="333"/>
        <w:spacing w:after="0" w:line="264" w:lineRule="auto"/>
        <w:rPr>
          <w:sz w:val="20"/>
          <w:szCs w:val="20"/>
          <w:color w:val="auto"/>
        </w:rPr>
      </w:pPr>
      <w:r>
        <w:rPr>
          <w:rFonts w:ascii="Times New Roman" w:cs="Times New Roman" w:eastAsia="Times New Roman" w:hAnsi="Times New Roman"/>
          <w:sz w:val="14"/>
          <w:szCs w:val="14"/>
          <w:color w:val="auto"/>
        </w:rPr>
        <w:t>We are required to deliver to the trustee each year an officers’ certificate stating whether such officers have obtained knowledge of any default by our company in the performance of all covenants and, if so, specifying the nature of such default.</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Merger or Consolidation</w:t>
      </w:r>
    </w:p>
    <w:p>
      <w:pPr>
        <w:spacing w:after="0" w:line="88" w:lineRule="exact"/>
        <w:rPr>
          <w:sz w:val="20"/>
          <w:szCs w:val="20"/>
          <w:color w:val="auto"/>
        </w:rPr>
      </w:pPr>
    </w:p>
    <w:p>
      <w:pPr>
        <w:ind w:left="340" w:right="379" w:firstLine="333"/>
        <w:spacing w:after="0" w:line="254" w:lineRule="auto"/>
        <w:rPr>
          <w:sz w:val="20"/>
          <w:szCs w:val="20"/>
          <w:color w:val="auto"/>
        </w:rPr>
      </w:pPr>
      <w:r>
        <w:rPr>
          <w:rFonts w:ascii="Times New Roman" w:cs="Times New Roman" w:eastAsia="Times New Roman" w:hAnsi="Times New Roman"/>
          <w:sz w:val="14"/>
          <w:szCs w:val="14"/>
          <w:color w:val="auto"/>
        </w:rPr>
        <w:t>The indenture provides that without the consent of the holders of any of the outstanding debt securities under the indenture, we may consolidate with or merge into, or transfer or lease substantially all of our assets to, any domestic corporation, association, company or business trust (as used in this subsection, a “corporation”), provided:</w:t>
      </w:r>
    </w:p>
    <w:p>
      <w:pPr>
        <w:spacing w:after="0" w:line="71" w:lineRule="exact"/>
        <w:rPr>
          <w:sz w:val="20"/>
          <w:szCs w:val="20"/>
          <w:color w:val="auto"/>
        </w:rPr>
      </w:pPr>
    </w:p>
    <w:p>
      <w:pPr>
        <w:ind w:left="1080" w:right="899" w:hanging="334"/>
        <w:spacing w:after="0" w:line="264" w:lineRule="auto"/>
        <w:tabs>
          <w:tab w:leader="none" w:pos="10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corporation assumes all of our payment obligations under the debt securities and the performance of all of our other covenants under the indenture; and</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other conditions described in the indenture are met.</w:t>
      </w:r>
    </w:p>
    <w:p>
      <w:pPr>
        <w:spacing w:after="0" w:line="166" w:lineRule="exact"/>
        <w:rPr>
          <w:sz w:val="20"/>
          <w:szCs w:val="20"/>
          <w:color w:val="auto"/>
        </w:rPr>
      </w:pPr>
    </w:p>
    <w:p>
      <w:pPr>
        <w:ind w:left="340" w:right="679" w:firstLine="333"/>
        <w:spacing w:after="0" w:line="264" w:lineRule="auto"/>
        <w:rPr>
          <w:sz w:val="20"/>
          <w:szCs w:val="20"/>
          <w:color w:val="auto"/>
        </w:rPr>
      </w:pPr>
      <w:r>
        <w:rPr>
          <w:rFonts w:ascii="Times New Roman" w:cs="Times New Roman" w:eastAsia="Times New Roman" w:hAnsi="Times New Roman"/>
          <w:sz w:val="14"/>
          <w:szCs w:val="14"/>
          <w:color w:val="auto"/>
        </w:rPr>
        <w:t>Although there is a limited body of case law interpreting the phrase “substantially all,” there is no precise established definition of the phrase under applicable law. As a result of this uncertainty:</w:t>
      </w:r>
    </w:p>
    <w:p>
      <w:pPr>
        <w:spacing w:after="0" w:line="65" w:lineRule="exact"/>
        <w:rPr>
          <w:sz w:val="20"/>
          <w:szCs w:val="20"/>
          <w:color w:val="auto"/>
        </w:rPr>
      </w:pPr>
    </w:p>
    <w:p>
      <w:pPr>
        <w:ind w:left="1080" w:right="399" w:hanging="416"/>
        <w:spacing w:after="0" w:line="264" w:lineRule="auto"/>
        <w:tabs>
          <w:tab w:leader="none" w:pos="10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could be a disagreement between us and the holders of debt securities over whether, as a condition to a transfer or lease of our assets, the successor entity is required to assume our obligations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9" w:right="1440" w:bottom="1440" w:gutter="0" w:footer="0" w:header="0"/>
        </w:sectPr>
      </w:pPr>
    </w:p>
    <w:bookmarkStart w:id="69" w:name="page70"/>
    <w:bookmarkEnd w:id="69"/>
    <w:p>
      <w:pPr>
        <w:ind w:left="108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204075" cy="32385"/>
                    </a:xfrm>
                    <a:prstGeom prst="rect">
                      <a:avLst/>
                    </a:prstGeom>
                    <a:noFill/>
                  </pic:spPr>
                </pic:pic>
              </a:graphicData>
            </a:graphic>
          </wp:anchor>
        </w:drawing>
        <w:t>under the indenture and, consequently, whether a failure to assume such obligations would result in an event of default under the indenture;</w:t>
      </w:r>
    </w:p>
    <w:p>
      <w:pPr>
        <w:spacing w:after="0" w:line="117" w:lineRule="exact"/>
        <w:rPr>
          <w:sz w:val="20"/>
          <w:szCs w:val="20"/>
          <w:color w:val="auto"/>
        </w:rPr>
      </w:pPr>
    </w:p>
    <w:p>
      <w:pPr>
        <w:ind w:left="1080" w:right="419" w:hanging="416"/>
        <w:spacing w:after="0" w:line="254" w:lineRule="auto"/>
        <w:tabs>
          <w:tab w:leader="none" w:pos="10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the holders of debt securities attempt to declare an event of default and exercise their acceleration rights under the indenture in such circumstances and we contest such action, there can be no assurance as to how a court interpreting applicable law would interpret the phrase “substantially all”; and</w:t>
      </w:r>
    </w:p>
    <w:p>
      <w:pPr>
        <w:spacing w:after="0" w:line="70" w:lineRule="exact"/>
        <w:rPr>
          <w:rFonts w:ascii="Times New Roman" w:cs="Times New Roman" w:eastAsia="Times New Roman" w:hAnsi="Times New Roman"/>
          <w:sz w:val="14"/>
          <w:szCs w:val="14"/>
          <w:color w:val="auto"/>
        </w:rPr>
      </w:pPr>
    </w:p>
    <w:p>
      <w:pPr>
        <w:ind w:left="1080" w:hanging="416"/>
        <w:spacing w:after="0"/>
        <w:tabs>
          <w:tab w:leader="none" w:pos="10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may be difficult for holders to debt securities to declare an event of default and exercise their acceleration rights.</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Discharge, Legal Defeasance and Covenant Defeasance</w:t>
      </w:r>
    </w:p>
    <w:p>
      <w:pPr>
        <w:spacing w:after="0" w:line="88" w:lineRule="exact"/>
        <w:rPr>
          <w:sz w:val="20"/>
          <w:szCs w:val="20"/>
          <w:color w:val="auto"/>
        </w:rPr>
      </w:pPr>
    </w:p>
    <w:p>
      <w:pPr>
        <w:ind w:left="340" w:right="359" w:firstLine="333"/>
        <w:spacing w:after="0" w:line="300" w:lineRule="auto"/>
        <w:rPr>
          <w:sz w:val="20"/>
          <w:szCs w:val="20"/>
          <w:color w:val="auto"/>
        </w:rPr>
      </w:pPr>
      <w:r>
        <w:rPr>
          <w:rFonts w:ascii="Times New Roman" w:cs="Times New Roman" w:eastAsia="Times New Roman" w:hAnsi="Times New Roman"/>
          <w:sz w:val="12"/>
          <w:szCs w:val="12"/>
          <w:color w:val="auto"/>
        </w:rPr>
        <w:t>We may discharge certain obligations to holders of any series of debt securities that have not already been delivered to the trustee for cancellation and that either have become due and payable or will become due and payable within one year (or are to be called for redemption within one year under arrangements satisfactory to the trustee for the giving of notice) by irrevocably depositing with the trustee, in trust, funds in the currency or currencies in which those debt securities are payable in an amount sufficient to pay the entire indebtedness on those debt securities in respect of principal, premium, if any, and interest, if any, to the date of that deposit (if those debt securities have become due and payable) or to the maturity date, as the case may be.</w:t>
      </w:r>
    </w:p>
    <w:p>
      <w:pPr>
        <w:spacing w:after="0" w:line="118" w:lineRule="exact"/>
        <w:rPr>
          <w:sz w:val="20"/>
          <w:szCs w:val="20"/>
          <w:color w:val="auto"/>
        </w:rPr>
      </w:pPr>
    </w:p>
    <w:p>
      <w:pPr>
        <w:ind w:left="340" w:right="459" w:firstLine="333"/>
        <w:spacing w:after="0" w:line="316" w:lineRule="auto"/>
        <w:rPr>
          <w:sz w:val="20"/>
          <w:szCs w:val="20"/>
          <w:color w:val="auto"/>
        </w:rPr>
      </w:pPr>
      <w:r>
        <w:rPr>
          <w:rFonts w:ascii="Times New Roman" w:cs="Times New Roman" w:eastAsia="Times New Roman" w:hAnsi="Times New Roman"/>
          <w:sz w:val="12"/>
          <w:szCs w:val="12"/>
          <w:color w:val="auto"/>
        </w:rPr>
        <w:t>At our option, we may be discharged, subject to certain terms and conditions, from any and all obligations in respect of the debt securities of any series (except for certain obligations to register the transfer and exchange of debt securities, replace, stolen, lost or mutilated debt securities and coupons, maintain paying agencies and hold moneys for payment in trust) or need not comply with certain restrictive covenants of the indenture if:</w:t>
      </w:r>
    </w:p>
    <w:p>
      <w:pPr>
        <w:spacing w:after="0" w:line="37" w:lineRule="exact"/>
        <w:rPr>
          <w:sz w:val="20"/>
          <w:szCs w:val="20"/>
          <w:color w:val="auto"/>
        </w:rPr>
      </w:pPr>
    </w:p>
    <w:p>
      <w:pPr>
        <w:ind w:left="1080" w:right="399" w:hanging="416"/>
        <w:spacing w:after="0" w:line="247" w:lineRule="auto"/>
        <w:tabs>
          <w:tab w:leader="none" w:pos="10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deposited with the trustee, in trust, money, and in the case of debt securities and coupons denominated in U.S. dollars, U.S. government obligations or, in the case of debt securities and coupons denominated in a foreign currency, foreign currency government securities, which through the payment of interest thereon and principal thereof in accordance with their terms will provide money or a combination of money, and either U.S. government securities or foreign currency government securities, as the case may be, in an amount sufficient to pay in the currency in which the debt securities are payable all the principal of and premium, if any, and interest, if any, on the debt securities on the date such payments are due in accordance with the debt securities;</w:t>
      </w:r>
    </w:p>
    <w:p>
      <w:pPr>
        <w:spacing w:after="0" w:line="78" w:lineRule="exact"/>
        <w:rPr>
          <w:rFonts w:ascii="Times New Roman" w:cs="Times New Roman" w:eastAsia="Times New Roman" w:hAnsi="Times New Roman"/>
          <w:sz w:val="14"/>
          <w:szCs w:val="14"/>
          <w:color w:val="auto"/>
        </w:rPr>
      </w:pPr>
    </w:p>
    <w:p>
      <w:pPr>
        <w:ind w:left="1080" w:right="399" w:hanging="416"/>
        <w:spacing w:after="0" w:line="291" w:lineRule="auto"/>
        <w:tabs>
          <w:tab w:leader="none" w:pos="10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no event of default or event which with notice or lapse of time would become an event of default shall have occurred and be continuing on the date of such deposit, (ii) no event of default relating to our bankruptcy, insolvency or reorganization, or event which with notice or lapse of time or both would become such an event of default, shall have occurred within 90 days after the date of such deposit, and</w:t>
      </w:r>
    </w:p>
    <w:p>
      <w:pPr>
        <w:ind w:left="1080" w:right="939"/>
        <w:spacing w:after="0" w:line="24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(iii) such deposit and discharge will not result in any default or event of default under any material indenture, agreement or other instrument binding upon us or any of our properties;</w:t>
      </w:r>
    </w:p>
    <w:p>
      <w:pPr>
        <w:spacing w:after="0" w:line="75" w:lineRule="exact"/>
        <w:rPr>
          <w:rFonts w:ascii="Times New Roman" w:cs="Times New Roman" w:eastAsia="Times New Roman" w:hAnsi="Times New Roman"/>
          <w:sz w:val="12"/>
          <w:szCs w:val="12"/>
          <w:color w:val="auto"/>
        </w:rPr>
      </w:pPr>
    </w:p>
    <w:p>
      <w:pPr>
        <w:ind w:left="1080" w:right="499" w:hanging="416"/>
        <w:spacing w:after="0" w:line="254" w:lineRule="auto"/>
        <w:tabs>
          <w:tab w:leader="none" w:pos="10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opinion of counsel to the effect that such deposit and discharge will not cause the holders of the debt securities of such series to recognize income, gain or loss for federal income tax purposes and that such holders will be subject to federal income tax in the same amounts, manner and time had such deposit and discharge not occurred; and</w:t>
      </w:r>
    </w:p>
    <w:p>
      <w:pPr>
        <w:spacing w:after="0" w:line="70" w:lineRule="exact"/>
        <w:rPr>
          <w:rFonts w:ascii="Times New Roman" w:cs="Times New Roman" w:eastAsia="Times New Roman" w:hAnsi="Times New Roman"/>
          <w:sz w:val="14"/>
          <w:szCs w:val="14"/>
          <w:color w:val="auto"/>
        </w:rPr>
      </w:pPr>
    </w:p>
    <w:p>
      <w:pPr>
        <w:jc w:val="both"/>
        <w:ind w:left="1080" w:right="479" w:hanging="416"/>
        <w:spacing w:after="0" w:line="254" w:lineRule="auto"/>
        <w:tabs>
          <w:tab w:leader="none" w:pos="10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an officers’ certificate and an opinion from our counsel stating that we have complied with all conditions precedent set forth in the indenture or the applicable supplemental indenture relating to the satisfaction and discharge of the indebtedness of the series of debt securities.</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The indenture and the debt securities for all purposes will be governed by and construed in accordance with the laws of the State of New York.</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9" w:right="1440"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204075" cy="32385"/>
                    </a:xfrm>
                    <a:prstGeom prst="rect">
                      <a:avLst/>
                    </a:prstGeom>
                    <a:noFill/>
                  </pic:spPr>
                </pic:pic>
              </a:graphicData>
            </a:graphic>
          </wp:anchor>
        </w:drawing>
        <w:t>DESCRIPTION OF WARRANTS</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We may issue debt warrants for the purchase of debt securities or stock warrants for the purchase of preferred stock or common stock.</w:t>
      </w:r>
    </w:p>
    <w:p>
      <w:pPr>
        <w:spacing w:after="0" w:line="166" w:lineRule="exact"/>
        <w:rPr>
          <w:sz w:val="20"/>
          <w:szCs w:val="20"/>
          <w:color w:val="auto"/>
        </w:rPr>
      </w:pPr>
    </w:p>
    <w:p>
      <w:pPr>
        <w:ind w:left="340" w:right="399" w:firstLine="333"/>
        <w:spacing w:after="0" w:line="248" w:lineRule="auto"/>
        <w:rPr>
          <w:sz w:val="20"/>
          <w:szCs w:val="20"/>
          <w:color w:val="auto"/>
        </w:rPr>
      </w:pPr>
      <w:r>
        <w:rPr>
          <w:rFonts w:ascii="Times New Roman" w:cs="Times New Roman" w:eastAsia="Times New Roman" w:hAnsi="Times New Roman"/>
          <w:sz w:val="14"/>
          <w:szCs w:val="14"/>
          <w:color w:val="auto"/>
        </w:rPr>
        <w:t>The warrants will be issued under warrant agreements to be entered into between us and a bank or trust company, as warrant agent, all to be set forth in the applicable prospectus supplement relating to any or all warrants in respect of which this prospectus is being delivered. Copies of the form of agreement for each warrant, including the forms of certificates representing the warrants reflecting the provisions to be included in such agreements that will be entered into with respect to the particular offerings of each type of warrant, will be filed as exhibits to the registration statement of which this prospectus forms a part.</w:t>
      </w:r>
    </w:p>
    <w:p>
      <w:pPr>
        <w:spacing w:after="0" w:line="149" w:lineRule="exact"/>
        <w:rPr>
          <w:sz w:val="20"/>
          <w:szCs w:val="20"/>
          <w:color w:val="auto"/>
        </w:rPr>
      </w:pPr>
    </w:p>
    <w:p>
      <w:pPr>
        <w:ind w:left="340" w:right="379" w:firstLine="333"/>
        <w:spacing w:after="0" w:line="248" w:lineRule="auto"/>
        <w:rPr>
          <w:sz w:val="20"/>
          <w:szCs w:val="20"/>
          <w:color w:val="auto"/>
        </w:rPr>
      </w:pPr>
      <w:r>
        <w:rPr>
          <w:rFonts w:ascii="Times New Roman" w:cs="Times New Roman" w:eastAsia="Times New Roman" w:hAnsi="Times New Roman"/>
          <w:sz w:val="14"/>
          <w:szCs w:val="14"/>
          <w:color w:val="auto"/>
        </w:rPr>
        <w:t>The following description sets forth certain general terms and provisions of the warrants to which any prospectus supplement may relate. The particular terms of the warrants to which any prospectus supplement may relate and the extent, if any, to which such general provisions may apply to the warrants so offered will be described in the applicable prospectus supplement. The following summary of certain provisions of the warrants, warrant agreements and warrant certificates does not purport to be complete and is subject to, and is qualified in its entirety by reference to, all the provisions of the warrant agreements and warrant certificates, including the definitions therein of certain terms.</w:t>
      </w: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Debt Warrants</w:t>
      </w:r>
    </w:p>
    <w:p>
      <w:pPr>
        <w:spacing w:after="0" w:line="86" w:lineRule="exact"/>
        <w:rPr>
          <w:sz w:val="20"/>
          <w:szCs w:val="20"/>
          <w:color w:val="auto"/>
        </w:rPr>
      </w:pPr>
    </w:p>
    <w:p>
      <w:pPr>
        <w:ind w:left="340" w:right="579" w:firstLine="333"/>
        <w:spacing w:after="0" w:line="255" w:lineRule="auto"/>
        <w:rPr>
          <w:sz w:val="20"/>
          <w:szCs w:val="20"/>
          <w:color w:val="auto"/>
        </w:rPr>
      </w:pPr>
      <w:r>
        <w:rPr>
          <w:rFonts w:ascii="Times New Roman" w:cs="Times New Roman" w:eastAsia="Times New Roman" w:hAnsi="Times New Roman"/>
          <w:sz w:val="14"/>
          <w:szCs w:val="14"/>
          <w:i w:val="1"/>
          <w:iCs w:val="1"/>
          <w:color w:val="auto"/>
        </w:rPr>
        <w:t>General</w:t>
      </w:r>
      <w:r>
        <w:rPr>
          <w:rFonts w:ascii="Times New Roman" w:cs="Times New Roman" w:eastAsia="Times New Roman" w:hAnsi="Times New Roman"/>
          <w:sz w:val="14"/>
          <w:szCs w:val="14"/>
          <w:color w:val="auto"/>
        </w:rPr>
        <w:t>. Reference is made to the applicable prospectus supplement for the terms of debt warrants in respect of which this prospectus is being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delivered, the debt securities warrant agreement relating to such debt warrants and the debt warrant certificates representing such debt warrants, including the following:</w:t>
      </w:r>
    </w:p>
    <w:p>
      <w:pPr>
        <w:spacing w:after="0" w:line="71" w:lineRule="exact"/>
        <w:rPr>
          <w:sz w:val="20"/>
          <w:szCs w:val="20"/>
          <w:color w:val="auto"/>
        </w:rPr>
      </w:pPr>
    </w:p>
    <w:p>
      <w:pPr>
        <w:ind w:left="1080" w:right="719" w:hanging="334"/>
        <w:spacing w:after="0" w:line="264" w:lineRule="auto"/>
        <w:tabs>
          <w:tab w:leader="none" w:pos="10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aggregate principal amount and terms of the debt securities purchasable upon exercise of such debt warrants and the procedures and conditions relating to the exercise of such debt warrants;</w:t>
      </w:r>
    </w:p>
    <w:p>
      <w:pPr>
        <w:spacing w:after="0" w:line="64" w:lineRule="exact"/>
        <w:rPr>
          <w:rFonts w:ascii="Times New Roman" w:cs="Times New Roman" w:eastAsia="Times New Roman" w:hAnsi="Times New Roman"/>
          <w:sz w:val="14"/>
          <w:szCs w:val="14"/>
          <w:color w:val="auto"/>
        </w:rPr>
      </w:pPr>
    </w:p>
    <w:p>
      <w:pPr>
        <w:ind w:left="1080" w:right="599" w:hanging="334"/>
        <w:spacing w:after="0" w:line="264" w:lineRule="auto"/>
        <w:tabs>
          <w:tab w:leader="none" w:pos="10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any related debt securities with which such debt warrants are issued and the number of such debt warrants issued with each such debt security;</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such debt warrants and any related debt securities will be separately transferable;</w:t>
      </w:r>
    </w:p>
    <w:p>
      <w:pPr>
        <w:spacing w:after="0" w:line="94" w:lineRule="exact"/>
        <w:rPr>
          <w:rFonts w:ascii="Times New Roman" w:cs="Times New Roman" w:eastAsia="Times New Roman" w:hAnsi="Times New Roman"/>
          <w:sz w:val="14"/>
          <w:szCs w:val="14"/>
          <w:color w:val="auto"/>
        </w:rPr>
      </w:pPr>
    </w:p>
    <w:p>
      <w:pPr>
        <w:ind w:left="1080" w:right="619" w:hanging="334"/>
        <w:spacing w:after="0" w:line="264" w:lineRule="auto"/>
        <w:tabs>
          <w:tab w:leader="none" w:pos="10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debt securities purchasable upon exercise of each debt warrant and the price at which such principal amount of debt securities may be purchased upon such exercise;</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of such debt warrants, if any;</w:t>
      </w:r>
    </w:p>
    <w:p>
      <w:pPr>
        <w:spacing w:after="0" w:line="94" w:lineRule="exact"/>
        <w:rPr>
          <w:rFonts w:ascii="Times New Roman" w:cs="Times New Roman" w:eastAsia="Times New Roman" w:hAnsi="Times New Roman"/>
          <w:sz w:val="14"/>
          <w:szCs w:val="14"/>
          <w:color w:val="auto"/>
        </w:rPr>
      </w:pPr>
    </w:p>
    <w:p>
      <w:pPr>
        <w:ind w:left="1080" w:right="759" w:hanging="334"/>
        <w:spacing w:after="0" w:line="264" w:lineRule="auto"/>
        <w:tabs>
          <w:tab w:leader="none" w:pos="10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price at which such debt securities may be purchased upon exercise of debt warrants and any provision with respect to the adjustment thereof;</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of such debt warrants;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debt warrants shall commence and the date on which such right shall expire;</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the material U.S. federal income tax considerations applicable to the ownership or exercise of debt warrants;</w:t>
      </w:r>
    </w:p>
    <w:p>
      <w:pPr>
        <w:spacing w:after="0" w:line="94" w:lineRule="exact"/>
        <w:rPr>
          <w:rFonts w:ascii="Times New Roman" w:cs="Times New Roman" w:eastAsia="Times New Roman" w:hAnsi="Times New Roman"/>
          <w:sz w:val="14"/>
          <w:szCs w:val="14"/>
          <w:color w:val="auto"/>
        </w:rPr>
      </w:pPr>
    </w:p>
    <w:p>
      <w:pPr>
        <w:ind w:left="1080" w:right="459" w:hanging="334"/>
        <w:spacing w:after="0" w:line="264" w:lineRule="auto"/>
        <w:tabs>
          <w:tab w:leader="none" w:pos="10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warrants represented by the debt warrant certificates will be issued in registered or bearer form, and, if registered, where they may be transferred and registered;</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provisions of such debt warrants, if any; and</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warrants.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5" w:right="1440" w:bottom="1440" w:gutter="0" w:footer="0" w:header="0"/>
        </w:sectPr>
      </w:pPr>
    </w:p>
    <w:bookmarkStart w:id="71" w:name="page72"/>
    <w:bookmarkEnd w:id="71"/>
    <w:p>
      <w:pPr>
        <w:ind w:left="340" w:right="419" w:firstLine="333"/>
        <w:spacing w:after="0" w:line="30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204075" cy="32385"/>
                    </a:xfrm>
                    <a:prstGeom prst="rect">
                      <a:avLst/>
                    </a:prstGeom>
                    <a:noFill/>
                  </pic:spPr>
                </pic:pic>
              </a:graphicData>
            </a:graphic>
          </wp:anchor>
        </w:drawing>
        <w:t>The debt warrant certificates will be exchangeable for new debt warrant certificates of different denominations and debt warrants may be exercised at the corporate trust office of the warrant agent or any other office indicated in the applicable prospectus supplement. Prior to the exercise of their debt warrants, holders of debt warrants will not have any of the rights of holders of the debt securities purchasable upon such exercise and will not be entitled to any payments of principal and premium, if any, and interest, if any, on the debt securities purchasable upon such exercise.</w:t>
      </w:r>
    </w:p>
    <w:p>
      <w:pPr>
        <w:spacing w:after="0" w:line="114" w:lineRule="exact"/>
        <w:rPr>
          <w:sz w:val="20"/>
          <w:szCs w:val="20"/>
          <w:color w:val="auto"/>
        </w:rPr>
      </w:pPr>
    </w:p>
    <w:p>
      <w:pPr>
        <w:ind w:left="340" w:right="359" w:firstLine="333"/>
        <w:spacing w:after="0" w:line="249" w:lineRule="auto"/>
        <w:rPr>
          <w:sz w:val="20"/>
          <w:szCs w:val="20"/>
          <w:color w:val="auto"/>
        </w:rPr>
      </w:pPr>
      <w:r>
        <w:rPr>
          <w:rFonts w:ascii="Times New Roman" w:cs="Times New Roman" w:eastAsia="Times New Roman" w:hAnsi="Times New Roman"/>
          <w:sz w:val="14"/>
          <w:szCs w:val="14"/>
          <w:i w:val="1"/>
          <w:iCs w:val="1"/>
          <w:color w:val="auto"/>
        </w:rPr>
        <w:t>Exercise of Debt Warrants</w:t>
      </w:r>
      <w:r>
        <w:rPr>
          <w:rFonts w:ascii="Times New Roman" w:cs="Times New Roman" w:eastAsia="Times New Roman" w:hAnsi="Times New Roman"/>
          <w:sz w:val="14"/>
          <w:szCs w:val="14"/>
          <w:color w:val="auto"/>
        </w:rPr>
        <w:t>. Each debt warrant will entitle the holder to purchase for cash such principal amount of debt securities at such exercise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price as shall in each case be set forth in, or be determinable as set forth in, the applicable prospectus supplement relating to the debt warrants offered thereby. Unless otherwise specified in the applicable prospectus supplement, debt warrants may be exercised at any time up to 5:00 p.m., New York City time, on the expiration date set forth in the applicable prospectus supplement. After 5:00 p.m., New York City time, on the expiration date, unexercised debt warrants will become void.</w:t>
      </w:r>
    </w:p>
    <w:p>
      <w:pPr>
        <w:spacing w:after="0" w:line="147" w:lineRule="exact"/>
        <w:rPr>
          <w:sz w:val="20"/>
          <w:szCs w:val="20"/>
          <w:color w:val="auto"/>
        </w:rPr>
      </w:pPr>
    </w:p>
    <w:p>
      <w:pPr>
        <w:ind w:left="340" w:right="399" w:firstLine="333"/>
        <w:spacing w:after="0" w:line="248" w:lineRule="auto"/>
        <w:rPr>
          <w:sz w:val="20"/>
          <w:szCs w:val="20"/>
          <w:color w:val="auto"/>
        </w:rPr>
      </w:pPr>
      <w:r>
        <w:rPr>
          <w:rFonts w:ascii="Times New Roman" w:cs="Times New Roman" w:eastAsia="Times New Roman" w:hAnsi="Times New Roman"/>
          <w:sz w:val="14"/>
          <w:szCs w:val="14"/>
          <w:color w:val="auto"/>
        </w:rPr>
        <w:t>Debt warrants may be exercised as set forth in the applicable prospectus supplement relating to the debt warrants. Upon receipt of payment and the debt warrant certificate properly completed and duly executed at the corporate trust office of the warrant agent or any other office indicated in the applicable prospectus supplement, we will, as soon as practicable, forward the debt securities purchasable upon such exercise. If less than all of the debt warrants represented by such debt warrant certificate are exercised, a new debt warrant certificate will be issued for the remaining amount of debt warrants.</w:t>
      </w: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Stock Warrants</w:t>
      </w:r>
    </w:p>
    <w:p>
      <w:pPr>
        <w:spacing w:after="0" w:line="86" w:lineRule="exact"/>
        <w:rPr>
          <w:sz w:val="20"/>
          <w:szCs w:val="20"/>
          <w:color w:val="auto"/>
        </w:rPr>
      </w:pPr>
    </w:p>
    <w:p>
      <w:pPr>
        <w:ind w:left="340" w:right="439" w:firstLine="333"/>
        <w:spacing w:after="0" w:line="255" w:lineRule="auto"/>
        <w:rPr>
          <w:sz w:val="20"/>
          <w:szCs w:val="20"/>
          <w:color w:val="auto"/>
        </w:rPr>
      </w:pPr>
      <w:r>
        <w:rPr>
          <w:rFonts w:ascii="Times New Roman" w:cs="Times New Roman" w:eastAsia="Times New Roman" w:hAnsi="Times New Roman"/>
          <w:sz w:val="14"/>
          <w:szCs w:val="14"/>
          <w:i w:val="1"/>
          <w:iCs w:val="1"/>
          <w:color w:val="auto"/>
        </w:rPr>
        <w:t>General</w:t>
      </w:r>
      <w:r>
        <w:rPr>
          <w:rFonts w:ascii="Times New Roman" w:cs="Times New Roman" w:eastAsia="Times New Roman" w:hAnsi="Times New Roman"/>
          <w:sz w:val="14"/>
          <w:szCs w:val="14"/>
          <w:color w:val="auto"/>
        </w:rPr>
        <w:t>. Reference is made to the applicable prospectus supplement for the terms of stock warrants in respect of which this prospectus is being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delivered, the stock warrant agreement relating to such stock warrants and the stock warrant certificates representing such stock warrants, including the following:</w:t>
      </w:r>
    </w:p>
    <w:p>
      <w:pPr>
        <w:spacing w:after="0" w:line="71" w:lineRule="exact"/>
        <w:rPr>
          <w:sz w:val="20"/>
          <w:szCs w:val="20"/>
          <w:color w:val="auto"/>
        </w:rPr>
      </w:pPr>
    </w:p>
    <w:p>
      <w:pPr>
        <w:ind w:left="1080" w:right="539" w:hanging="334"/>
        <w:spacing w:after="0" w:line="264" w:lineRule="auto"/>
        <w:tabs>
          <w:tab w:leader="none" w:pos="10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type and number of shares of preferred stock or common stock purchasable upon exercise of such stock warrants and the procedures and conditions relating to the exercise of such stock warrants;</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such stock warrants and related preferred stock or common stock will be separately tradeable;</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of such stock warrants, if any;</w:t>
      </w:r>
    </w:p>
    <w:p>
      <w:pPr>
        <w:spacing w:after="0" w:line="94" w:lineRule="exact"/>
        <w:rPr>
          <w:rFonts w:ascii="Times New Roman" w:cs="Times New Roman" w:eastAsia="Times New Roman" w:hAnsi="Times New Roman"/>
          <w:sz w:val="14"/>
          <w:szCs w:val="14"/>
          <w:color w:val="auto"/>
        </w:rPr>
      </w:pPr>
    </w:p>
    <w:p>
      <w:pPr>
        <w:ind w:left="1080" w:right="519" w:hanging="334"/>
        <w:spacing w:after="0" w:line="264" w:lineRule="auto"/>
        <w:tabs>
          <w:tab w:leader="none" w:pos="10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price at which such shares may be purchased upon exercise of stock warrants and any provision with respect to the adjustment thereof;</w:t>
      </w:r>
    </w:p>
    <w:p>
      <w:pPr>
        <w:spacing w:after="0" w:line="6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of such stock warrants;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stock warrants shall commence and the date on which such right shall expire;</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the material U.S. federal income tax considerations applicable to the ownership or exercise of stock warrants;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provisions of such stock warrants, if any;</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stock warrants;</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anti-dilution provisions of the stock warrants, if any; and</w:t>
      </w:r>
    </w:p>
    <w:p>
      <w:pPr>
        <w:spacing w:after="0" w:line="94" w:lineRule="exact"/>
        <w:rPr>
          <w:rFonts w:ascii="Times New Roman" w:cs="Times New Roman" w:eastAsia="Times New Roman" w:hAnsi="Times New Roman"/>
          <w:sz w:val="14"/>
          <w:szCs w:val="14"/>
          <w:color w:val="auto"/>
        </w:rPr>
      </w:pPr>
    </w:p>
    <w:p>
      <w:pPr>
        <w:ind w:left="1080" w:hanging="334"/>
        <w:spacing w:after="0"/>
        <w:tabs>
          <w:tab w:leader="none" w:pos="10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information relating to any capital stock purchasable upon exercise of such stock warrants.</w:t>
      </w:r>
    </w:p>
    <w:p>
      <w:pPr>
        <w:spacing w:after="0" w:line="166" w:lineRule="exact"/>
        <w:rPr>
          <w:sz w:val="20"/>
          <w:szCs w:val="20"/>
          <w:color w:val="auto"/>
        </w:rPr>
      </w:pPr>
    </w:p>
    <w:p>
      <w:pPr>
        <w:ind w:left="340" w:right="439" w:firstLine="333"/>
        <w:spacing w:after="0" w:line="254" w:lineRule="auto"/>
        <w:rPr>
          <w:sz w:val="20"/>
          <w:szCs w:val="20"/>
          <w:color w:val="auto"/>
        </w:rPr>
      </w:pPr>
      <w:r>
        <w:rPr>
          <w:rFonts w:ascii="Times New Roman" w:cs="Times New Roman" w:eastAsia="Times New Roman" w:hAnsi="Times New Roman"/>
          <w:sz w:val="14"/>
          <w:szCs w:val="14"/>
          <w:color w:val="auto"/>
        </w:rPr>
        <w:t>The stock warrant certificates will be exchangeable for new stock warrant certificates of different denominations and stock warrants may be exercised at the corporate trust office of the warrant agent or any other office indicated in the applicable prospectus supplement. Prior to the exercise of their stock warrants, holders of</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9" w:right="1440" w:bottom="1440" w:gutter="0" w:footer="0" w:header="0"/>
        </w:sectPr>
      </w:pPr>
    </w:p>
    <w:bookmarkStart w:id="72" w:name="page73"/>
    <w:bookmarkEnd w:id="72"/>
    <w:p>
      <w:pPr>
        <w:ind w:left="340" w:right="83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204075" cy="32385"/>
                    </a:xfrm>
                    <a:prstGeom prst="rect">
                      <a:avLst/>
                    </a:prstGeom>
                    <a:noFill/>
                  </pic:spPr>
                </pic:pic>
              </a:graphicData>
            </a:graphic>
          </wp:anchor>
        </w:drawing>
        <w:t>stock warrants will not have any of the rights of holders of shares of capital stock purchasable upon such exercise and will not be entitled to any dividend or other distribution payments on such capital stock purchasable upon such exercise.</w:t>
      </w:r>
    </w:p>
    <w:p>
      <w:pPr>
        <w:spacing w:after="0" w:line="134" w:lineRule="exact"/>
        <w:rPr>
          <w:sz w:val="20"/>
          <w:szCs w:val="20"/>
          <w:color w:val="auto"/>
        </w:rPr>
      </w:pPr>
    </w:p>
    <w:p>
      <w:pPr>
        <w:ind w:left="340" w:right="519" w:firstLine="333"/>
        <w:spacing w:after="0" w:line="249" w:lineRule="auto"/>
        <w:rPr>
          <w:sz w:val="20"/>
          <w:szCs w:val="20"/>
          <w:color w:val="auto"/>
        </w:rPr>
      </w:pPr>
      <w:r>
        <w:rPr>
          <w:rFonts w:ascii="Times New Roman" w:cs="Times New Roman" w:eastAsia="Times New Roman" w:hAnsi="Times New Roman"/>
          <w:sz w:val="14"/>
          <w:szCs w:val="14"/>
          <w:i w:val="1"/>
          <w:iCs w:val="1"/>
          <w:color w:val="auto"/>
        </w:rPr>
        <w:t>Exercise of Stock Warrants</w:t>
      </w:r>
      <w:r>
        <w:rPr>
          <w:rFonts w:ascii="Times New Roman" w:cs="Times New Roman" w:eastAsia="Times New Roman" w:hAnsi="Times New Roman"/>
          <w:sz w:val="14"/>
          <w:szCs w:val="14"/>
          <w:color w:val="auto"/>
        </w:rPr>
        <w:t>. Each stock warrant will entitle the holder to purchase for cash such number of shares of preferred stock or common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 as the case may be, at such exercise price as shall in each case be set forth in, or be determinable as set forth in, the applicable prospectus supplement relating to the stock warrants offered thereby. Unless otherwise specified in the applicable prospectus supplement, stock warrants may be exercised at any time up to 5:00 p.m., New York City time, on the expiration date set forth in the applicable prospectus supplement. After 5:00 p.m., New York City time, on the expiration date, unexercised stock warrants will become void.</w:t>
      </w:r>
    </w:p>
    <w:p>
      <w:pPr>
        <w:spacing w:after="0" w:line="147" w:lineRule="exact"/>
        <w:rPr>
          <w:sz w:val="20"/>
          <w:szCs w:val="20"/>
          <w:color w:val="auto"/>
        </w:rPr>
      </w:pPr>
    </w:p>
    <w:p>
      <w:pPr>
        <w:ind w:left="340" w:right="379" w:firstLine="333"/>
        <w:spacing w:after="0" w:line="248" w:lineRule="auto"/>
        <w:rPr>
          <w:sz w:val="20"/>
          <w:szCs w:val="20"/>
          <w:color w:val="auto"/>
        </w:rPr>
      </w:pPr>
      <w:r>
        <w:rPr>
          <w:rFonts w:ascii="Times New Roman" w:cs="Times New Roman" w:eastAsia="Times New Roman" w:hAnsi="Times New Roman"/>
          <w:sz w:val="14"/>
          <w:szCs w:val="14"/>
          <w:color w:val="auto"/>
        </w:rPr>
        <w:t>Stock warrants may be exercised as set forth in the applicable prospectus supplement relating thereto. Upon receipt of payment and the stock warrant certificates properly completed and duly executed at the corporate trust office of the warrant agent or any other office indicated in the applicable prospectus supplement, we will, as soon as practicable, forward a certificate representing the number of shares of capital stock purchasable upon such exercise. If less than all of the stock warrants represented by such stock warrant certificate are exercised, a new stock warrant certificate will be issued for the remaining amount of stock warrants.</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DESCRIPTION OF STOCK PURCHASE CONTRACTS AND STOCK PURCHASE UNITS</w:t>
      </w:r>
    </w:p>
    <w:p>
      <w:pPr>
        <w:spacing w:after="0" w:line="170" w:lineRule="exact"/>
        <w:rPr>
          <w:sz w:val="20"/>
          <w:szCs w:val="20"/>
          <w:color w:val="auto"/>
        </w:rPr>
      </w:pPr>
    </w:p>
    <w:p>
      <w:pPr>
        <w:ind w:left="340" w:right="359" w:firstLine="333"/>
        <w:spacing w:after="0" w:line="245" w:lineRule="auto"/>
        <w:rPr>
          <w:sz w:val="20"/>
          <w:szCs w:val="20"/>
          <w:color w:val="auto"/>
        </w:rPr>
      </w:pPr>
      <w:r>
        <w:rPr>
          <w:rFonts w:ascii="Times New Roman" w:cs="Times New Roman" w:eastAsia="Times New Roman" w:hAnsi="Times New Roman"/>
          <w:sz w:val="14"/>
          <w:szCs w:val="14"/>
          <w:color w:val="auto"/>
        </w:rPr>
        <w:t>We may issue stock purchase contracts, representing contracts obligating holders to purchase from us, and requiring us to sell to the holders, a specified number of shares of common stock at a future date or dates. The price per share of common stock may be fixed at the time the stock purchase contracts are issued or may be determined by reference to a specific formula set forth in the stock purchase contracts. The stock purchase contracts may be issued separately or as a part of units, or stock purchase units, consisting of a stock purchase contract and either (x) senior debt securities, senior subordinated debt securities, subordinated debt securities or junior subordinated debt securities, or (y) debt obligations of third parties, including U.S. Treasury securities, in each case, securing the holder’s obligations to purchase the common stock under the stock purchase contracts. The stock purchase contracts may require us to make periodic payments to the holders of the stock purchase contracts or vice versa, and such payments may be unsecured or prefunded on some basis. The stock purchase contracts may require holders to secure their obligations thereunder in a specified manner and in certain circumstances we may deliver newly issued prepaid stock purchase contracts, or prepaid securities, upon release to a holder of any collateral securing such holder’s obligations under the original stock purchase contract.</w:t>
      </w:r>
    </w:p>
    <w:p>
      <w:pPr>
        <w:spacing w:after="0" w:line="154" w:lineRule="exact"/>
        <w:rPr>
          <w:sz w:val="20"/>
          <w:szCs w:val="20"/>
          <w:color w:val="auto"/>
        </w:rPr>
      </w:pPr>
    </w:p>
    <w:p>
      <w:pPr>
        <w:ind w:left="340" w:right="519" w:firstLine="333"/>
        <w:spacing w:after="0" w:line="250" w:lineRule="auto"/>
        <w:rPr>
          <w:sz w:val="20"/>
          <w:szCs w:val="20"/>
          <w:color w:val="auto"/>
        </w:rPr>
      </w:pPr>
      <w:r>
        <w:rPr>
          <w:rFonts w:ascii="Times New Roman" w:cs="Times New Roman" w:eastAsia="Times New Roman" w:hAnsi="Times New Roman"/>
          <w:sz w:val="14"/>
          <w:szCs w:val="14"/>
          <w:color w:val="auto"/>
        </w:rPr>
        <w:t>The applicable prospectus supplement will describe the terms of any stock purchase contracts or stock purchase units and, if applicable, prepaid securities. The description in the prospectus supplement will not purport to be complete and will be qualified in its entirety by reference to the stock purchase contracts, the collateral arrangements and depositary arrangements, if applicable, relating to such stock purchase contracts or stock purchase units and, if applicable, the prepaid securities and the document pursuant to which such prepaid securities will be issued.</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39" w:right="1440"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204075" cy="32385"/>
                    </a:xfrm>
                    <a:prstGeom prst="rect">
                      <a:avLst/>
                    </a:prstGeom>
                    <a:noFill/>
                  </pic:spPr>
                </pic:pic>
              </a:graphicData>
            </a:graphic>
          </wp:anchor>
        </w:drawing>
        <w:t>PLAN OF DISTRIBUTION</w:t>
      </w:r>
    </w:p>
    <w:p>
      <w:pPr>
        <w:spacing w:after="0" w:line="170" w:lineRule="exact"/>
        <w:rPr>
          <w:sz w:val="20"/>
          <w:szCs w:val="20"/>
          <w:color w:val="auto"/>
        </w:rPr>
      </w:pPr>
    </w:p>
    <w:p>
      <w:pPr>
        <w:ind w:left="340" w:right="359" w:firstLine="333"/>
        <w:spacing w:after="0" w:line="264" w:lineRule="auto"/>
        <w:rPr>
          <w:sz w:val="20"/>
          <w:szCs w:val="20"/>
          <w:color w:val="auto"/>
        </w:rPr>
      </w:pPr>
      <w:r>
        <w:rPr>
          <w:rFonts w:ascii="Times New Roman" w:cs="Times New Roman" w:eastAsia="Times New Roman" w:hAnsi="Times New Roman"/>
          <w:sz w:val="14"/>
          <w:szCs w:val="14"/>
          <w:color w:val="auto"/>
        </w:rPr>
        <w:t>We may sell the offered securities in five ways: (1) to or through underwriters; (2) to or through dealers; (3) through agents; (4) directly or through our subsidiaries to purchasers; and (5) through a combination of the foregoing methods.</w:t>
      </w:r>
    </w:p>
    <w:p>
      <w:pPr>
        <w:spacing w:after="0" w:line="136" w:lineRule="exact"/>
        <w:rPr>
          <w:sz w:val="20"/>
          <w:szCs w:val="20"/>
          <w:color w:val="auto"/>
        </w:rPr>
      </w:pPr>
    </w:p>
    <w:p>
      <w:pPr>
        <w:ind w:left="340" w:right="459" w:firstLine="333"/>
        <w:spacing w:after="0" w:line="264" w:lineRule="auto"/>
        <w:rPr>
          <w:sz w:val="20"/>
          <w:szCs w:val="20"/>
          <w:color w:val="auto"/>
        </w:rPr>
      </w:pPr>
      <w:r>
        <w:rPr>
          <w:rFonts w:ascii="Times New Roman" w:cs="Times New Roman" w:eastAsia="Times New Roman" w:hAnsi="Times New Roman"/>
          <w:sz w:val="14"/>
          <w:szCs w:val="14"/>
          <w:color w:val="auto"/>
        </w:rPr>
        <w:t>We may distribute the offered securities from time to time in one or more transactions at (1) a fixed price or prices, which may be changed, (2) at market prices prevailing at the time of sale, (3) at prices related to such market prices, or (4) at negotiated prices.</w:t>
      </w:r>
    </w:p>
    <w:p>
      <w:pPr>
        <w:spacing w:after="0" w:line="136" w:lineRule="exact"/>
        <w:rPr>
          <w:sz w:val="20"/>
          <w:szCs w:val="20"/>
          <w:color w:val="auto"/>
        </w:rPr>
      </w:pPr>
    </w:p>
    <w:p>
      <w:pPr>
        <w:ind w:left="340" w:right="359" w:firstLine="333"/>
        <w:spacing w:after="0" w:line="246" w:lineRule="auto"/>
        <w:rPr>
          <w:sz w:val="20"/>
          <w:szCs w:val="20"/>
          <w:color w:val="auto"/>
        </w:rPr>
      </w:pPr>
      <w:r>
        <w:rPr>
          <w:rFonts w:ascii="Times New Roman" w:cs="Times New Roman" w:eastAsia="Times New Roman" w:hAnsi="Times New Roman"/>
          <w:sz w:val="14"/>
          <w:szCs w:val="14"/>
          <w:color w:val="auto"/>
        </w:rPr>
        <w:t>If underwriters are used in the offering of the offered securities, the names of the managing underwriter or underwriters and any other underwriters and certain terms of the offering, including compensation of the underwriters and dealers, if any, will be set forth in the applicable prospectus supplement. Only underwriters named in the applicable prospectus supplement will be deemed to be underwriters in connection with the offered securities described in that prospectus supplement. Firms not so named will have no direct or indirect participation in the underwriting of such securities, although such a firm may participate in the distribution of those securities under circumstances entitling that firm to a dealer’s commission. It is anticipated that any underwriting agreement pertaining to any offered securities will (i) entitle the underwriters to indemnification by us against certain civil liabilities, including liabilities under the Securities Act, or to contribution for payments which the underwriters may be required to make in respect thereof, (ii) provide that the obligations of the underwriters will be subject to certain conditions precedent and (iii) provide that the underwriters generally will be obligated to purchase all of the offered securities if any are purchased.</w:t>
      </w:r>
    </w:p>
    <w:p>
      <w:pPr>
        <w:spacing w:after="0" w:line="149" w:lineRule="exact"/>
        <w:rPr>
          <w:sz w:val="20"/>
          <w:szCs w:val="20"/>
          <w:color w:val="auto"/>
        </w:rPr>
      </w:pPr>
    </w:p>
    <w:p>
      <w:pPr>
        <w:ind w:left="340" w:right="419" w:firstLine="333"/>
        <w:spacing w:after="0" w:line="254" w:lineRule="auto"/>
        <w:rPr>
          <w:sz w:val="20"/>
          <w:szCs w:val="20"/>
          <w:color w:val="auto"/>
        </w:rPr>
      </w:pPr>
      <w:r>
        <w:rPr>
          <w:rFonts w:ascii="Times New Roman" w:cs="Times New Roman" w:eastAsia="Times New Roman" w:hAnsi="Times New Roman"/>
          <w:sz w:val="14"/>
          <w:szCs w:val="14"/>
          <w:color w:val="auto"/>
        </w:rPr>
        <w:t>We also may sell the offered securities to a dealer as principal. If we sell the offered securities to a dealer as a principal, then the dealer may resell those securities to the public at varying prices to be determined by such dealer at the time of resale. The name of the dealer and the terms of the transactions will be set forth in the applicable prospectus supplement.</w:t>
      </w:r>
    </w:p>
    <w:p>
      <w:pPr>
        <w:spacing w:after="0" w:line="142" w:lineRule="exact"/>
        <w:rPr>
          <w:sz w:val="20"/>
          <w:szCs w:val="20"/>
          <w:color w:val="auto"/>
        </w:rPr>
      </w:pPr>
    </w:p>
    <w:p>
      <w:pPr>
        <w:ind w:left="340" w:right="379" w:firstLine="333"/>
        <w:spacing w:after="0" w:line="254" w:lineRule="auto"/>
        <w:rPr>
          <w:sz w:val="20"/>
          <w:szCs w:val="20"/>
          <w:color w:val="auto"/>
        </w:rPr>
      </w:pPr>
      <w:r>
        <w:rPr>
          <w:rFonts w:ascii="Times New Roman" w:cs="Times New Roman" w:eastAsia="Times New Roman" w:hAnsi="Times New Roman"/>
          <w:sz w:val="14"/>
          <w:szCs w:val="14"/>
          <w:color w:val="auto"/>
        </w:rPr>
        <w:t>The offered securities also may be offered through agents we may designate from time to time. The applicable prospectus supplement will contain the name of any such agent and the terms of its agency. Unless otherwise indicated in the prospectus supplement, any such agent will act on a best efforts basis for the period of its appointment.</w:t>
      </w:r>
    </w:p>
    <w:p>
      <w:pPr>
        <w:spacing w:after="0" w:line="142" w:lineRule="exact"/>
        <w:rPr>
          <w:sz w:val="20"/>
          <w:szCs w:val="20"/>
          <w:color w:val="auto"/>
        </w:rPr>
      </w:pPr>
    </w:p>
    <w:p>
      <w:pPr>
        <w:jc w:val="both"/>
        <w:ind w:left="340" w:right="459" w:firstLine="333"/>
        <w:spacing w:after="0" w:line="254" w:lineRule="auto"/>
        <w:rPr>
          <w:sz w:val="20"/>
          <w:szCs w:val="20"/>
          <w:color w:val="auto"/>
        </w:rPr>
      </w:pPr>
      <w:r>
        <w:rPr>
          <w:rFonts w:ascii="Times New Roman" w:cs="Times New Roman" w:eastAsia="Times New Roman" w:hAnsi="Times New Roman"/>
          <w:sz w:val="14"/>
          <w:szCs w:val="14"/>
          <w:color w:val="auto"/>
        </w:rPr>
        <w:t>As one of the means of direct issuance of the offered securities, we may utilize the services of any available electronic auction system to conduct an electronic “Dutch auction” of the offered securities among potential purchasers who are eligible to participate in the auction of such securities, if so described in the prospectus supplement.</w:t>
      </w:r>
    </w:p>
    <w:p>
      <w:pPr>
        <w:spacing w:after="0" w:line="142" w:lineRule="exact"/>
        <w:rPr>
          <w:sz w:val="20"/>
          <w:szCs w:val="20"/>
          <w:color w:val="auto"/>
        </w:rPr>
      </w:pPr>
    </w:p>
    <w:p>
      <w:pPr>
        <w:ind w:left="340" w:right="559" w:firstLine="333"/>
        <w:spacing w:after="0" w:line="250" w:lineRule="auto"/>
        <w:rPr>
          <w:sz w:val="20"/>
          <w:szCs w:val="20"/>
          <w:color w:val="auto"/>
        </w:rPr>
      </w:pPr>
      <w:r>
        <w:rPr>
          <w:rFonts w:ascii="Times New Roman" w:cs="Times New Roman" w:eastAsia="Times New Roman" w:hAnsi="Times New Roman"/>
          <w:sz w:val="14"/>
          <w:szCs w:val="14"/>
          <w:color w:val="auto"/>
        </w:rPr>
        <w:t>Dealers and agents named in a prospectus supplement may be deemed to be underwriters (within the meaning of the Securities Act) of the securities described in the prospectus supplement and, under agreements which may be entered into with us, may be entitled to indemnification by us against certain civil liabilities, including liabilities under the Securities Act, or to contribution for payments which they may be required to make in respect of those liabilities.</w:t>
      </w:r>
    </w:p>
    <w:p>
      <w:pPr>
        <w:spacing w:after="0" w:line="14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Underwriters, dealers and agents may engage in transactions with us or perform services for us in the ordinary course of business.</w:t>
      </w:r>
    </w:p>
    <w:p>
      <w:pPr>
        <w:spacing w:after="0" w:line="166" w:lineRule="exact"/>
        <w:rPr>
          <w:sz w:val="20"/>
          <w:szCs w:val="20"/>
          <w:color w:val="auto"/>
        </w:rPr>
      </w:pPr>
    </w:p>
    <w:p>
      <w:pPr>
        <w:ind w:left="340" w:right="359" w:firstLine="333"/>
        <w:spacing w:after="0" w:line="264" w:lineRule="auto"/>
        <w:rPr>
          <w:sz w:val="20"/>
          <w:szCs w:val="20"/>
          <w:color w:val="auto"/>
        </w:rPr>
      </w:pPr>
      <w:r>
        <w:rPr>
          <w:rFonts w:ascii="Times New Roman" w:cs="Times New Roman" w:eastAsia="Times New Roman" w:hAnsi="Times New Roman"/>
          <w:sz w:val="14"/>
          <w:szCs w:val="14"/>
          <w:color w:val="auto"/>
        </w:rPr>
        <w:t>Offers to purchase the offered securities may be solicited directly by us or through our subsidiaries and sales thereof may be made by us directly to institutional investors or others. The terms of any such sales will be described in the applicable prospectus supplement.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35" w:right="1440"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204075" cy="32385"/>
                    </a:xfrm>
                    <a:prstGeom prst="rect">
                      <a:avLst/>
                    </a:prstGeom>
                    <a:noFill/>
                  </pic:spPr>
                </pic:pic>
              </a:graphicData>
            </a:graphic>
          </wp:anchor>
        </w:drawing>
        <w:t>LEGAL MATTERS</w:t>
      </w:r>
    </w:p>
    <w:p>
      <w:pPr>
        <w:spacing w:after="0" w:line="170" w:lineRule="exact"/>
        <w:rPr>
          <w:sz w:val="20"/>
          <w:szCs w:val="20"/>
          <w:color w:val="auto"/>
        </w:rPr>
      </w:pPr>
    </w:p>
    <w:p>
      <w:pPr>
        <w:ind w:left="340" w:right="999" w:firstLine="333"/>
        <w:spacing w:after="0" w:line="349" w:lineRule="auto"/>
        <w:rPr>
          <w:sz w:val="20"/>
          <w:szCs w:val="20"/>
          <w:color w:val="auto"/>
        </w:rPr>
      </w:pPr>
      <w:r>
        <w:rPr>
          <w:rFonts w:ascii="Times New Roman" w:cs="Times New Roman" w:eastAsia="Times New Roman" w:hAnsi="Times New Roman"/>
          <w:sz w:val="12"/>
          <w:szCs w:val="12"/>
          <w:color w:val="auto"/>
        </w:rPr>
        <w:t>The legality of the securities will be passed upon for us by Kirkland &amp; Ellis LLP, New York, New York, and Barnes &amp; Thornburg LLP, Indianapolis, Indiana, and for any underwriters, dealers or agents by counsel as may be specified in the applicable prospectus supplement.</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0" w:lineRule="exact"/>
        <w:rPr>
          <w:sz w:val="20"/>
          <w:szCs w:val="20"/>
          <w:color w:val="auto"/>
        </w:rPr>
      </w:pPr>
    </w:p>
    <w:p>
      <w:pPr>
        <w:ind w:left="340" w:right="519" w:firstLine="333"/>
        <w:spacing w:after="0" w:line="305" w:lineRule="auto"/>
        <w:rPr>
          <w:sz w:val="20"/>
          <w:szCs w:val="20"/>
          <w:color w:val="auto"/>
        </w:rPr>
      </w:pPr>
      <w:r>
        <w:rPr>
          <w:rFonts w:ascii="Times New Roman" w:cs="Times New Roman" w:eastAsia="Times New Roman" w:hAnsi="Times New Roman"/>
          <w:sz w:val="12"/>
          <w:szCs w:val="12"/>
          <w:color w:val="auto"/>
        </w:rPr>
        <w:t>Ernst &amp; Young LLP, independent registered public accounting firm, has audited our consolidated financial statements included in our Annual Report on Form 10-K for the year ended December 31, 2024, and the effectiveness of our internal control over financial reporting as of December 31, 2024,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35" w:right="1440"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179070</wp:posOffset>
            </wp:positionH>
            <wp:positionV relativeFrom="page">
              <wp:posOffset>88900</wp:posOffset>
            </wp:positionV>
            <wp:extent cx="7204075"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204075" cy="32385"/>
                    </a:xfrm>
                    <a:prstGeom prst="rect">
                      <a:avLst/>
                    </a:prstGeom>
                    <a:noFill/>
                  </pic:spPr>
                </pic:pic>
              </a:graphicData>
            </a:graphic>
          </wp:anchor>
        </w:drawing>
        <w:drawing>
          <wp:anchor simplePos="0" relativeHeight="251657728" behindDoc="1" locked="0" layoutInCell="0" allowOverlap="1">
            <wp:simplePos x="0" y="0"/>
            <wp:positionH relativeFrom="page">
              <wp:posOffset>1131570</wp:posOffset>
            </wp:positionH>
            <wp:positionV relativeFrom="page">
              <wp:posOffset>179705</wp:posOffset>
            </wp:positionV>
            <wp:extent cx="529145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5291455" cy="12700"/>
                    </a:xfrm>
                    <a:prstGeom prst="rect">
                      <a:avLst/>
                    </a:prstGeom>
                    <a:noFill/>
                  </pic:spPr>
                </pic:pic>
              </a:graphicData>
            </a:graphic>
          </wp:anchor>
        </w:drawing>
        <w:drawing>
          <wp:anchor simplePos="0" relativeHeight="251657728" behindDoc="1" locked="0" layoutInCell="0" allowOverlap="1">
            <wp:simplePos x="0" y="0"/>
            <wp:positionH relativeFrom="page">
              <wp:posOffset>1131570</wp:posOffset>
            </wp:positionH>
            <wp:positionV relativeFrom="page">
              <wp:posOffset>218440</wp:posOffset>
            </wp:positionV>
            <wp:extent cx="529145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5291455" cy="6350"/>
                    </a:xfrm>
                    <a:prstGeom prst="rect">
                      <a:avLst/>
                    </a:prstGeom>
                    <a:noFill/>
                  </pic:spPr>
                </pic:pic>
              </a:graphicData>
            </a:graphic>
          </wp:anchor>
        </w:drawing>
        <w:t>$9,000,000,000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133350</wp:posOffset>
            </wp:positionV>
            <wp:extent cx="758825" cy="415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58825" cy="415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$750,000,000 Floating Rate Notes Due 2028</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$500,000,000 Floating Rate Notes Due 2029</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$750,000,000 4.150% Notes Due 2029</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$1,500,000,000 4.375% Notes Due 2031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$1,250,000,000 4.650% Notes Due 2033</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$1,500,000,000 4.850% Notes Due 2036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$1,750,000,000 5.600% Notes Due 2056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$1,000,000,000 5.700% Notes Due 2066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170180</wp:posOffset>
            </wp:positionV>
            <wp:extent cx="110871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Joint Book-Running Managers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Morgan Stanley</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Citigroup</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Deutsche Bank Securities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Goldman Sachs &amp; Co. LLC</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BNP PARIBAS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J.P. Morgan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BofA Securities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Barclays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Mizuho</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Co-Managers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Loop Capital Markets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Penserra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245745</wp:posOffset>
            </wp:positionV>
            <wp:extent cx="110871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342900</wp:posOffset>
            </wp:positionV>
            <wp:extent cx="529145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5291455" cy="635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394970</wp:posOffset>
            </wp:positionV>
            <wp:extent cx="529145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5291455" cy="12700"/>
                    </a:xfrm>
                    <a:prstGeom prst="rect">
                      <a:avLst/>
                    </a:prstGeom>
                    <a:noFill/>
                  </pic:spPr>
                </pic:pic>
              </a:graphicData>
            </a:graphic>
          </wp:anchor>
        </w:drawing>
      </w:r>
    </w:p>
    <w:p>
      <w:pPr>
        <w:sectPr>
          <w:pgSz w:w="11900" w:h="16838" w:orient="portrait"/>
          <w:cols w:equalWidth="0" w:num="1">
            <w:col w:w="9019"/>
          </w:cols>
          <w:pgMar w:left="1440" w:top="497" w:right="1440" w:bottom="1440" w:gutter="0" w:footer="0" w:header="0"/>
        </w:sectPr>
      </w:pPr>
    </w:p>
    <w:bookmarkStart w:id="76" w:name="page77"/>
    <w:bookmarkEnd w:id="76"/>
    <w:p>
      <w:pPr>
        <w:spacing w:after="0" w:line="15" w:lineRule="exact"/>
        <w:rPr>
          <w:sz w:val="20"/>
          <w:szCs w:val="20"/>
          <w:color w:val="auto"/>
        </w:rPr>
      </w:pPr>
    </w:p>
    <w:p>
      <w:pPr>
        <w:ind w:left="3560"/>
        <w:spacing w:after="0"/>
        <w:rPr>
          <w:sz w:val="20"/>
          <w:szCs w:val="20"/>
          <w:color w:val="auto"/>
        </w:rPr>
      </w:pPr>
      <w:r>
        <w:rPr>
          <w:rFonts w:ascii="Arial" w:cs="Arial" w:eastAsia="Arial" w:hAnsi="Arial"/>
          <w:sz w:val="27"/>
          <w:szCs w:val="27"/>
          <w:b w:val="1"/>
          <w:bCs w:val="1"/>
          <w:color w:val="auto"/>
        </w:rPr>
        <w:t>Calculation of Filing Fee Tables</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8"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ELI LILLY &amp; Co</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40" w:type="dxa"/>
            <w:vAlign w:val="bottom"/>
            <w:tcBorders>
              <w:bottom w:val="single" w:sz="8" w:color="auto"/>
            </w:tcBorders>
          </w:tcPr>
          <w:p>
            <w:pPr>
              <w:spacing w:after="0"/>
              <w:rPr>
                <w:sz w:val="23"/>
                <w:szCs w:val="23"/>
                <w:color w:val="auto"/>
              </w:rPr>
            </w:pPr>
          </w:p>
        </w:tc>
        <w:tc>
          <w:tcPr>
            <w:tcW w:w="4340" w:type="dxa"/>
            <w:vAlign w:val="bottom"/>
            <w:tcBorders>
              <w:bottom w:val="single" w:sz="8" w:color="auto"/>
            </w:tcBorders>
            <w:gridSpan w:val="12"/>
          </w:tcPr>
          <w:p>
            <w:pPr>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ind w:left="2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10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ind w:left="2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680" w:type="dxa"/>
            <w:vAlign w:val="bottom"/>
            <w:shd w:val="clear" w:color="auto" w:fill="9ADAF6"/>
          </w:tcPr>
          <w:p>
            <w:pPr>
              <w:ind w:left="2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Calculation</w:t>
            </w:r>
          </w:p>
        </w:tc>
        <w:tc>
          <w:tcPr>
            <w:tcW w:w="20" w:type="dxa"/>
            <w:vAlign w:val="bottom"/>
          </w:tcPr>
          <w:p>
            <w:pPr>
              <w:spacing w:after="0"/>
              <w:rPr>
                <w:sz w:val="15"/>
                <w:szCs w:val="15"/>
                <w:color w:val="auto"/>
              </w:rPr>
            </w:pPr>
          </w:p>
        </w:tc>
        <w:tc>
          <w:tcPr>
            <w:tcW w:w="1080" w:type="dxa"/>
            <w:vAlign w:val="bottom"/>
            <w:shd w:val="clear" w:color="auto" w:fill="9ADAF6"/>
          </w:tcPr>
          <w:p>
            <w:pPr>
              <w:jc w:val="right"/>
              <w:ind w:right="158"/>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5"/>
                <w:szCs w:val="15"/>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5"/>
                <w:szCs w:val="15"/>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restart"/>
            <w:shd w:val="clear" w:color="auto" w:fill="9ADAF6"/>
          </w:tcPr>
          <w:p>
            <w:pPr>
              <w:ind w:left="16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9"/>
                <w:szCs w:val="9"/>
                <w:color w:val="auto"/>
              </w:rPr>
            </w:pPr>
          </w:p>
        </w:tc>
        <w:tc>
          <w:tcPr>
            <w:tcW w:w="680" w:type="dxa"/>
            <w:vAlign w:val="bottom"/>
            <w:shd w:val="clear" w:color="auto" w:fill="9ADAF6"/>
          </w:tcPr>
          <w:p>
            <w:pPr>
              <w:ind w:left="120"/>
              <w:spacing w:after="0" w:line="112" w:lineRule="exact"/>
              <w:rPr>
                <w:sz w:val="20"/>
                <w:szCs w:val="20"/>
                <w:color w:val="auto"/>
              </w:rPr>
            </w:pPr>
            <w:r>
              <w:rPr>
                <w:rFonts w:ascii="Arial" w:cs="Arial" w:eastAsia="Arial" w:hAnsi="Arial"/>
                <w:sz w:val="12"/>
                <w:szCs w:val="12"/>
                <w:b w:val="1"/>
                <w:bCs w:val="1"/>
                <w:color w:val="auto"/>
              </w:rPr>
              <w:t>Class</w:t>
            </w: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or Carry</w:t>
            </w:r>
          </w:p>
        </w:tc>
        <w:tc>
          <w:tcPr>
            <w:tcW w:w="20" w:type="dxa"/>
            <w:vAlign w:val="bottom"/>
          </w:tcPr>
          <w:p>
            <w:pPr>
              <w:spacing w:after="0"/>
              <w:rPr>
                <w:sz w:val="9"/>
                <w:szCs w:val="9"/>
                <w:color w:val="auto"/>
              </w:rPr>
            </w:pPr>
          </w:p>
        </w:tc>
        <w:tc>
          <w:tcPr>
            <w:tcW w:w="1080" w:type="dxa"/>
            <w:vAlign w:val="bottom"/>
            <w:vMerge w:val="restart"/>
            <w:shd w:val="clear" w:color="auto" w:fill="9ADAF6"/>
          </w:tcPr>
          <w:p>
            <w:pPr>
              <w:jc w:val="right"/>
              <w:ind w:right="38"/>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9"/>
                <w:szCs w:val="9"/>
                <w:color w:val="auto"/>
              </w:rPr>
            </w:pPr>
          </w:p>
        </w:tc>
        <w:tc>
          <w:tcPr>
            <w:tcW w:w="76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Offering</w:t>
            </w:r>
          </w:p>
        </w:tc>
        <w:tc>
          <w:tcPr>
            <w:tcW w:w="20" w:type="dxa"/>
            <w:vAlign w:val="bottom"/>
          </w:tcPr>
          <w:p>
            <w:pPr>
              <w:spacing w:after="0"/>
              <w:rPr>
                <w:sz w:val="9"/>
                <w:szCs w:val="9"/>
                <w:color w:val="auto"/>
              </w:rPr>
            </w:pPr>
          </w:p>
        </w:tc>
        <w:tc>
          <w:tcPr>
            <w:tcW w:w="13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Aggregate</w:t>
            </w:r>
          </w:p>
        </w:tc>
        <w:tc>
          <w:tcPr>
            <w:tcW w:w="20" w:type="dxa"/>
            <w:vAlign w:val="bottom"/>
          </w:tcPr>
          <w:p>
            <w:pPr>
              <w:spacing w:after="0"/>
              <w:rPr>
                <w:sz w:val="9"/>
                <w:szCs w:val="9"/>
                <w:color w:val="auto"/>
              </w:rPr>
            </w:pPr>
          </w:p>
        </w:tc>
        <w:tc>
          <w:tcPr>
            <w:tcW w:w="8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Registration</w:t>
            </w:r>
          </w:p>
        </w:tc>
        <w:tc>
          <w:tcPr>
            <w:tcW w:w="20" w:type="dxa"/>
            <w:vAlign w:val="bottom"/>
          </w:tcPr>
          <w:p>
            <w:pPr>
              <w:spacing w:after="0"/>
              <w:rPr>
                <w:sz w:val="9"/>
                <w:szCs w:val="9"/>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9"/>
                <w:szCs w:val="9"/>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9"/>
                <w:szCs w:val="9"/>
                <w:color w:val="auto"/>
              </w:rPr>
            </w:pPr>
          </w:p>
        </w:tc>
        <w:tc>
          <w:tcPr>
            <w:tcW w:w="7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Initial</w:t>
            </w:r>
          </w:p>
        </w:tc>
        <w:tc>
          <w:tcPr>
            <w:tcW w:w="20" w:type="dxa"/>
            <w:vAlign w:val="bottom"/>
          </w:tcPr>
          <w:p>
            <w:pPr>
              <w:spacing w:after="0"/>
              <w:rPr>
                <w:sz w:val="9"/>
                <w:szCs w:val="9"/>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160"/>
              <w:spacing w:after="0" w:line="164"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4"/>
                <w:szCs w:val="14"/>
                <w:color w:val="auto"/>
              </w:rPr>
            </w:pPr>
          </w:p>
        </w:tc>
        <w:tc>
          <w:tcPr>
            <w:tcW w:w="10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4"/>
                <w:szCs w:val="14"/>
                <w:color w:val="auto"/>
              </w:rPr>
            </w:pPr>
          </w:p>
        </w:tc>
        <w:tc>
          <w:tcPr>
            <w:tcW w:w="130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4"/>
                <w:szCs w:val="14"/>
                <w:color w:val="auto"/>
              </w:rPr>
            </w:pPr>
          </w:p>
        </w:tc>
        <w:tc>
          <w:tcPr>
            <w:tcW w:w="94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9"/>
                <w:szCs w:val="9"/>
                <w:color w:val="auto"/>
              </w:rPr>
            </w:pPr>
          </w:p>
        </w:tc>
        <w:tc>
          <w:tcPr>
            <w:tcW w:w="10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9"/>
                <w:szCs w:val="9"/>
                <w:color w:val="auto"/>
              </w:rPr>
            </w:pPr>
          </w:p>
        </w:tc>
        <w:tc>
          <w:tcPr>
            <w:tcW w:w="1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9"/>
                <w:szCs w:val="9"/>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Securities</w:t>
            </w: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52"/>
        </w:trPr>
        <w:tc>
          <w:tcPr>
            <w:tcW w:w="40" w:type="dxa"/>
            <w:vAlign w:val="bottom"/>
            <w:tcBorders>
              <w:left w:val="single" w:sz="8" w:color="auto"/>
            </w:tcBorders>
          </w:tcPr>
          <w:p>
            <w:pPr>
              <w:spacing w:after="0"/>
              <w:rPr>
                <w:sz w:val="4"/>
                <w:szCs w:val="4"/>
                <w:color w:val="auto"/>
              </w:rPr>
            </w:pPr>
          </w:p>
        </w:tc>
        <w:tc>
          <w:tcPr>
            <w:tcW w:w="7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3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Carried</w:t>
            </w: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gridSpan w:val="5"/>
          </w:tcPr>
          <w:p>
            <w:pPr>
              <w:jc w:val="center"/>
              <w:ind w:right="198"/>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line="179" w:lineRule="exact"/>
              <w:rPr>
                <w:sz w:val="20"/>
                <w:szCs w:val="20"/>
                <w:color w:val="auto"/>
              </w:rPr>
            </w:pPr>
            <w:r>
              <w:rPr>
                <w:rFonts w:ascii="Arial" w:cs="Arial" w:eastAsia="Arial" w:hAnsi="Arial"/>
                <w:sz w:val="16"/>
                <w:szCs w:val="16"/>
                <w:color w:val="auto"/>
              </w:rPr>
              <w:t>Floating</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Rate</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7"/>
                <w:szCs w:val="7"/>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Notes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7"/>
                <w:szCs w:val="7"/>
                <w:color w:val="auto"/>
              </w:rPr>
            </w:pPr>
          </w:p>
        </w:tc>
        <w:tc>
          <w:tcPr>
            <w:tcW w:w="10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750,000,000</w:t>
            </w:r>
          </w:p>
        </w:tc>
        <w:tc>
          <w:tcPr>
            <w:tcW w:w="20" w:type="dxa"/>
            <w:vAlign w:val="bottom"/>
          </w:tcPr>
          <w:p>
            <w:pPr>
              <w:spacing w:after="0"/>
              <w:rPr>
                <w:sz w:val="7"/>
                <w:szCs w:val="7"/>
                <w:color w:val="auto"/>
              </w:rPr>
            </w:pPr>
          </w:p>
        </w:tc>
        <w:tc>
          <w:tcPr>
            <w:tcW w:w="7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$ 1.00</w:t>
            </w:r>
          </w:p>
        </w:tc>
        <w:tc>
          <w:tcPr>
            <w:tcW w:w="20" w:type="dxa"/>
            <w:vAlign w:val="bottom"/>
          </w:tcPr>
          <w:p>
            <w:pPr>
              <w:spacing w:after="0"/>
              <w:rPr>
                <w:sz w:val="7"/>
                <w:szCs w:val="7"/>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$ 750,000,000.00</w:t>
            </w:r>
          </w:p>
        </w:tc>
        <w:tc>
          <w:tcPr>
            <w:tcW w:w="20" w:type="dxa"/>
            <w:vAlign w:val="bottom"/>
          </w:tcPr>
          <w:p>
            <w:pPr>
              <w:spacing w:after="0"/>
              <w:rPr>
                <w:sz w:val="7"/>
                <w:szCs w:val="7"/>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$ 103,575.00</w:t>
            </w: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7"/>
                <w:szCs w:val="7"/>
                <w:color w:val="auto"/>
              </w:rPr>
            </w:pPr>
          </w:p>
        </w:tc>
        <w:tc>
          <w:tcPr>
            <w:tcW w:w="1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due</w:t>
            </w: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 w:type="dxa"/>
            <w:vAlign w:val="bottom"/>
            <w:tcBorders>
              <w:left w:val="single" w:sz="8" w:color="auto"/>
            </w:tcBorders>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2028</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Floating</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Rate</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7"/>
                <w:szCs w:val="7"/>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Notes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7"/>
                <w:szCs w:val="7"/>
                <w:color w:val="auto"/>
              </w:rPr>
            </w:pPr>
          </w:p>
        </w:tc>
        <w:tc>
          <w:tcPr>
            <w:tcW w:w="10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500,000,000</w:t>
            </w:r>
          </w:p>
        </w:tc>
        <w:tc>
          <w:tcPr>
            <w:tcW w:w="20" w:type="dxa"/>
            <w:vAlign w:val="bottom"/>
          </w:tcPr>
          <w:p>
            <w:pPr>
              <w:spacing w:after="0"/>
              <w:rPr>
                <w:sz w:val="7"/>
                <w:szCs w:val="7"/>
                <w:color w:val="auto"/>
              </w:rPr>
            </w:pPr>
          </w:p>
        </w:tc>
        <w:tc>
          <w:tcPr>
            <w:tcW w:w="7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$ 1.00</w:t>
            </w:r>
          </w:p>
        </w:tc>
        <w:tc>
          <w:tcPr>
            <w:tcW w:w="20" w:type="dxa"/>
            <w:vAlign w:val="bottom"/>
          </w:tcPr>
          <w:p>
            <w:pPr>
              <w:spacing w:after="0"/>
              <w:rPr>
                <w:sz w:val="7"/>
                <w:szCs w:val="7"/>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$ 500,000,000.00</w:t>
            </w:r>
          </w:p>
        </w:tc>
        <w:tc>
          <w:tcPr>
            <w:tcW w:w="20" w:type="dxa"/>
            <w:vAlign w:val="bottom"/>
          </w:tcPr>
          <w:p>
            <w:pPr>
              <w:spacing w:after="0"/>
              <w:rPr>
                <w:sz w:val="7"/>
                <w:szCs w:val="7"/>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$ 69,050.00</w:t>
            </w: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7"/>
                <w:szCs w:val="7"/>
                <w:color w:val="auto"/>
              </w:rPr>
            </w:pPr>
          </w:p>
        </w:tc>
        <w:tc>
          <w:tcPr>
            <w:tcW w:w="1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due</w:t>
            </w: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 w:type="dxa"/>
            <w:vAlign w:val="bottom"/>
            <w:tcBorders>
              <w:left w:val="single" w:sz="8" w:color="auto"/>
            </w:tcBorders>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2029</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4.150%</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notes</w:t>
            </w:r>
          </w:p>
        </w:tc>
        <w:tc>
          <w:tcPr>
            <w:tcW w:w="20" w:type="dxa"/>
            <w:vAlign w:val="bottom"/>
          </w:tcPr>
          <w:p>
            <w:pPr>
              <w:spacing w:after="0"/>
              <w:rPr>
                <w:sz w:val="15"/>
                <w:szCs w:val="15"/>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15"/>
                <w:szCs w:val="15"/>
                <w:color w:val="auto"/>
              </w:rPr>
            </w:pPr>
          </w:p>
        </w:tc>
        <w:tc>
          <w:tcPr>
            <w:tcW w:w="10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750,000,000</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$ 0.99941</w:t>
            </w:r>
          </w:p>
        </w:tc>
        <w:tc>
          <w:tcPr>
            <w:tcW w:w="20" w:type="dxa"/>
            <w:vAlign w:val="bottom"/>
          </w:tcPr>
          <w:p>
            <w:pPr>
              <w:spacing w:after="0"/>
              <w:rPr>
                <w:sz w:val="15"/>
                <w:szCs w:val="15"/>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$ 749,557,500.00</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$ 103,513.89</w:t>
            </w: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due</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 w:type="dxa"/>
            <w:vAlign w:val="bottom"/>
            <w:tcBorders>
              <w:left w:val="single" w:sz="8" w:color="auto"/>
            </w:tcBorders>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2029</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4.375%</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notes</w:t>
            </w:r>
          </w:p>
        </w:tc>
        <w:tc>
          <w:tcPr>
            <w:tcW w:w="20" w:type="dxa"/>
            <w:vAlign w:val="bottom"/>
          </w:tcPr>
          <w:p>
            <w:pPr>
              <w:spacing w:after="0"/>
              <w:rPr>
                <w:sz w:val="15"/>
                <w:szCs w:val="15"/>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15"/>
                <w:szCs w:val="15"/>
                <w:color w:val="auto"/>
              </w:rPr>
            </w:pPr>
          </w:p>
        </w:tc>
        <w:tc>
          <w:tcPr>
            <w:tcW w:w="10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1,500,000,000</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$ 0.99893</w:t>
            </w:r>
          </w:p>
        </w:tc>
        <w:tc>
          <w:tcPr>
            <w:tcW w:w="20" w:type="dxa"/>
            <w:vAlign w:val="bottom"/>
          </w:tcPr>
          <w:p>
            <w:pPr>
              <w:spacing w:after="0"/>
              <w:rPr>
                <w:sz w:val="15"/>
                <w:szCs w:val="15"/>
                <w:color w:val="auto"/>
              </w:rPr>
            </w:pPr>
          </w:p>
        </w:tc>
        <w:tc>
          <w:tcPr>
            <w:tcW w:w="1300" w:type="dxa"/>
            <w:vAlign w:val="bottom"/>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$ 206,928.35</w:t>
            </w: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5"/>
                <w:szCs w:val="15"/>
                <w:color w:val="auto"/>
              </w:rPr>
            </w:pPr>
          </w:p>
        </w:tc>
        <w:tc>
          <w:tcPr>
            <w:tcW w:w="12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due</w:t>
            </w:r>
          </w:p>
        </w:tc>
        <w:tc>
          <w:tcPr>
            <w:tcW w:w="20" w:type="dxa"/>
            <w:vAlign w:val="bottom"/>
          </w:tcPr>
          <w:p>
            <w:pPr>
              <w:spacing w:after="0"/>
              <w:rPr>
                <w:sz w:val="15"/>
                <w:szCs w:val="15"/>
                <w:color w:val="auto"/>
              </w:rPr>
            </w:pPr>
          </w:p>
        </w:tc>
        <w:tc>
          <w:tcPr>
            <w:tcW w:w="90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jc w:val="right"/>
              <w:spacing w:after="0"/>
              <w:rPr>
                <w:sz w:val="20"/>
                <w:szCs w:val="20"/>
                <w:color w:val="auto"/>
              </w:rPr>
            </w:pPr>
            <w:r>
              <w:rPr>
                <w:rFonts w:ascii="Arial" w:cs="Arial" w:eastAsia="Arial" w:hAnsi="Arial"/>
                <w:sz w:val="16"/>
                <w:szCs w:val="16"/>
                <w:color w:val="auto"/>
              </w:rPr>
              <w:t>1,498,395,000.00</w:t>
            </w:r>
          </w:p>
        </w:tc>
        <w:tc>
          <w:tcPr>
            <w:tcW w:w="20" w:type="dxa"/>
            <w:vAlign w:val="bottom"/>
          </w:tcPr>
          <w:p>
            <w:pPr>
              <w:spacing w:after="0"/>
              <w:rPr>
                <w:sz w:val="15"/>
                <w:szCs w:val="15"/>
                <w:color w:val="auto"/>
              </w:rPr>
            </w:pPr>
          </w:p>
        </w:tc>
        <w:tc>
          <w:tcPr>
            <w:tcW w:w="80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2031</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4.650%</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notes</w:t>
            </w:r>
          </w:p>
        </w:tc>
        <w:tc>
          <w:tcPr>
            <w:tcW w:w="20" w:type="dxa"/>
            <w:vAlign w:val="bottom"/>
          </w:tcPr>
          <w:p>
            <w:pPr>
              <w:spacing w:after="0"/>
              <w:rPr>
                <w:sz w:val="15"/>
                <w:szCs w:val="15"/>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15"/>
                <w:szCs w:val="15"/>
                <w:color w:val="auto"/>
              </w:rPr>
            </w:pPr>
          </w:p>
        </w:tc>
        <w:tc>
          <w:tcPr>
            <w:tcW w:w="10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1,250,000,000</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$ 0.99982</w:t>
            </w:r>
          </w:p>
        </w:tc>
        <w:tc>
          <w:tcPr>
            <w:tcW w:w="20" w:type="dxa"/>
            <w:vAlign w:val="bottom"/>
          </w:tcPr>
          <w:p>
            <w:pPr>
              <w:spacing w:after="0"/>
              <w:rPr>
                <w:sz w:val="15"/>
                <w:szCs w:val="15"/>
                <w:color w:val="auto"/>
              </w:rPr>
            </w:pPr>
          </w:p>
        </w:tc>
        <w:tc>
          <w:tcPr>
            <w:tcW w:w="1300" w:type="dxa"/>
            <w:vAlign w:val="bottom"/>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$ 172,593.93</w:t>
            </w: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5"/>
                <w:szCs w:val="15"/>
                <w:color w:val="auto"/>
              </w:rPr>
            </w:pPr>
          </w:p>
        </w:tc>
        <w:tc>
          <w:tcPr>
            <w:tcW w:w="12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due</w:t>
            </w:r>
          </w:p>
        </w:tc>
        <w:tc>
          <w:tcPr>
            <w:tcW w:w="20" w:type="dxa"/>
            <w:vAlign w:val="bottom"/>
          </w:tcPr>
          <w:p>
            <w:pPr>
              <w:spacing w:after="0"/>
              <w:rPr>
                <w:sz w:val="15"/>
                <w:szCs w:val="15"/>
                <w:color w:val="auto"/>
              </w:rPr>
            </w:pPr>
          </w:p>
        </w:tc>
        <w:tc>
          <w:tcPr>
            <w:tcW w:w="90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jc w:val="right"/>
              <w:spacing w:after="0"/>
              <w:rPr>
                <w:sz w:val="20"/>
                <w:szCs w:val="20"/>
                <w:color w:val="auto"/>
              </w:rPr>
            </w:pPr>
            <w:r>
              <w:rPr>
                <w:rFonts w:ascii="Arial" w:cs="Arial" w:eastAsia="Arial" w:hAnsi="Arial"/>
                <w:sz w:val="16"/>
                <w:szCs w:val="16"/>
                <w:color w:val="auto"/>
              </w:rPr>
              <w:t>1,249,775,000.00</w:t>
            </w:r>
          </w:p>
        </w:tc>
        <w:tc>
          <w:tcPr>
            <w:tcW w:w="20" w:type="dxa"/>
            <w:vAlign w:val="bottom"/>
          </w:tcPr>
          <w:p>
            <w:pPr>
              <w:spacing w:after="0"/>
              <w:rPr>
                <w:sz w:val="15"/>
                <w:szCs w:val="15"/>
                <w:color w:val="auto"/>
              </w:rPr>
            </w:pPr>
          </w:p>
        </w:tc>
        <w:tc>
          <w:tcPr>
            <w:tcW w:w="80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2033</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4.850%</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0" w:type="dxa"/>
            <w:vAlign w:val="bottom"/>
            <w:tcBorders>
              <w:left w:val="single" w:sz="8" w:color="auto"/>
            </w:tcBorders>
          </w:tcPr>
          <w:p>
            <w:pPr>
              <w:spacing w:after="0"/>
              <w:rPr>
                <w:sz w:val="22"/>
                <w:szCs w:val="22"/>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22"/>
                <w:szCs w:val="22"/>
                <w:color w:val="auto"/>
              </w:rPr>
            </w:pPr>
          </w:p>
        </w:tc>
        <w:tc>
          <w:tcPr>
            <w:tcW w:w="120" w:type="dxa"/>
            <w:vAlign w:val="bottom"/>
            <w:shd w:val="clear" w:color="auto" w:fill="E7E7E2"/>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22"/>
                <w:szCs w:val="22"/>
                <w:color w:val="auto"/>
              </w:rPr>
            </w:pPr>
          </w:p>
        </w:tc>
        <w:tc>
          <w:tcPr>
            <w:tcW w:w="680" w:type="dxa"/>
            <w:vAlign w:val="bottom"/>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22"/>
                <w:szCs w:val="22"/>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notes</w:t>
            </w:r>
          </w:p>
        </w:tc>
        <w:tc>
          <w:tcPr>
            <w:tcW w:w="20" w:type="dxa"/>
            <w:vAlign w:val="bottom"/>
          </w:tcPr>
          <w:p>
            <w:pPr>
              <w:spacing w:after="0"/>
              <w:rPr>
                <w:sz w:val="22"/>
                <w:szCs w:val="22"/>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22"/>
                <w:szCs w:val="22"/>
                <w:color w:val="auto"/>
              </w:rPr>
            </w:pPr>
          </w:p>
        </w:tc>
        <w:tc>
          <w:tcPr>
            <w:tcW w:w="1080" w:type="dxa"/>
            <w:vAlign w:val="bottom"/>
            <w:shd w:val="clear" w:color="auto" w:fill="E7E7E2"/>
          </w:tcPr>
          <w:p>
            <w:pPr>
              <w:jc w:val="right"/>
              <w:spacing w:after="0"/>
              <w:rPr>
                <w:sz w:val="20"/>
                <w:szCs w:val="20"/>
                <w:color w:val="auto"/>
              </w:rPr>
            </w:pPr>
            <w:r>
              <w:rPr>
                <w:rFonts w:ascii="Arial" w:cs="Arial" w:eastAsia="Arial" w:hAnsi="Arial"/>
                <w:sz w:val="16"/>
                <w:szCs w:val="16"/>
                <w:color w:val="auto"/>
              </w:rPr>
              <w:t>1,500,000,000</w:t>
            </w:r>
          </w:p>
        </w:tc>
        <w:tc>
          <w:tcPr>
            <w:tcW w:w="20" w:type="dxa"/>
            <w:vAlign w:val="bottom"/>
          </w:tcPr>
          <w:p>
            <w:pPr>
              <w:spacing w:after="0"/>
              <w:rPr>
                <w:sz w:val="22"/>
                <w:szCs w:val="22"/>
                <w:color w:val="auto"/>
              </w:rPr>
            </w:pPr>
          </w:p>
        </w:tc>
        <w:tc>
          <w:tcPr>
            <w:tcW w:w="760" w:type="dxa"/>
            <w:vAlign w:val="bottom"/>
            <w:shd w:val="clear" w:color="auto" w:fill="E7E7E2"/>
          </w:tcPr>
          <w:p>
            <w:pPr>
              <w:jc w:val="right"/>
              <w:spacing w:after="0"/>
              <w:rPr>
                <w:sz w:val="20"/>
                <w:szCs w:val="20"/>
                <w:color w:val="auto"/>
              </w:rPr>
            </w:pPr>
            <w:r>
              <w:rPr>
                <w:rFonts w:ascii="Arial" w:cs="Arial" w:eastAsia="Arial" w:hAnsi="Arial"/>
                <w:sz w:val="16"/>
                <w:szCs w:val="16"/>
                <w:color w:val="auto"/>
              </w:rPr>
              <w:t>$ 0.9964</w:t>
            </w:r>
          </w:p>
        </w:tc>
        <w:tc>
          <w:tcPr>
            <w:tcW w:w="20" w:type="dxa"/>
            <w:vAlign w:val="bottom"/>
          </w:tcPr>
          <w:p>
            <w:pPr>
              <w:spacing w:after="0"/>
              <w:rPr>
                <w:sz w:val="22"/>
                <w:szCs w:val="22"/>
                <w:color w:val="auto"/>
              </w:rPr>
            </w:pPr>
          </w:p>
        </w:tc>
        <w:tc>
          <w:tcPr>
            <w:tcW w:w="1300" w:type="dxa"/>
            <w:vAlign w:val="bottom"/>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80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22"/>
                <w:szCs w:val="22"/>
                <w:color w:val="auto"/>
              </w:rPr>
            </w:pPr>
          </w:p>
        </w:tc>
        <w:tc>
          <w:tcPr>
            <w:tcW w:w="980" w:type="dxa"/>
            <w:vAlign w:val="bottom"/>
            <w:shd w:val="clear" w:color="auto" w:fill="E7E7E2"/>
          </w:tcPr>
          <w:p>
            <w:pPr>
              <w:jc w:val="right"/>
              <w:spacing w:after="0"/>
              <w:rPr>
                <w:sz w:val="20"/>
                <w:szCs w:val="20"/>
                <w:color w:val="auto"/>
              </w:rPr>
            </w:pPr>
            <w:r>
              <w:rPr>
                <w:rFonts w:ascii="Arial" w:cs="Arial" w:eastAsia="Arial" w:hAnsi="Arial"/>
                <w:sz w:val="16"/>
                <w:szCs w:val="16"/>
                <w:color w:val="auto"/>
              </w:rPr>
              <w:t>$ 206,404.26</w:t>
            </w:r>
          </w:p>
        </w:tc>
        <w:tc>
          <w:tcPr>
            <w:tcW w:w="20" w:type="dxa"/>
            <w:vAlign w:val="bottom"/>
          </w:tcPr>
          <w:p>
            <w:pPr>
              <w:spacing w:after="0"/>
              <w:rPr>
                <w:sz w:val="22"/>
                <w:szCs w:val="22"/>
                <w:color w:val="auto"/>
              </w:rPr>
            </w:pPr>
          </w:p>
        </w:tc>
        <w:tc>
          <w:tcPr>
            <w:tcW w:w="68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Borders>
              <w:right w:val="single" w:sz="8" w:color="auto"/>
            </w:tcBorders>
            <w:shd w:val="clear" w:color="auto" w:fill="E7E7E2"/>
          </w:tcPr>
          <w:p>
            <w:pPr>
              <w:spacing w:after="0"/>
              <w:rPr>
                <w:sz w:val="22"/>
                <w:szCs w:val="22"/>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E7E7E2"/>
          </w:tcPr>
          <w:p>
            <w:pPr>
              <w:spacing w:after="0" w:line="112" w:lineRule="exact"/>
              <w:rPr>
                <w:sz w:val="20"/>
                <w:szCs w:val="20"/>
                <w:color w:val="auto"/>
              </w:rPr>
            </w:pPr>
            <w:r>
              <w:rPr>
                <w:rFonts w:ascii="Arial" w:cs="Arial" w:eastAsia="Arial" w:hAnsi="Arial"/>
                <w:sz w:val="12"/>
                <w:szCs w:val="12"/>
                <w:color w:val="auto"/>
              </w:rPr>
              <w:t>be Paid</w:t>
            </w: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line="112" w:lineRule="exact"/>
              <w:rPr>
                <w:sz w:val="20"/>
                <w:szCs w:val="20"/>
                <w:color w:val="auto"/>
              </w:rPr>
            </w:pPr>
            <w:r>
              <w:rPr>
                <w:rFonts w:ascii="Arial" w:cs="Arial" w:eastAsia="Arial" w:hAnsi="Arial"/>
                <w:sz w:val="12"/>
                <w:szCs w:val="12"/>
                <w:color w:val="auto"/>
              </w:rPr>
              <w:t>due</w:t>
            </w: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shd w:val="clear" w:color="auto" w:fill="E7E7E2"/>
          </w:tcPr>
          <w:p>
            <w:pPr>
              <w:jc w:val="right"/>
              <w:spacing w:after="0" w:line="112" w:lineRule="exact"/>
              <w:rPr>
                <w:sz w:val="20"/>
                <w:szCs w:val="20"/>
                <w:color w:val="auto"/>
              </w:rPr>
            </w:pPr>
            <w:r>
              <w:rPr>
                <w:rFonts w:ascii="Arial" w:cs="Arial" w:eastAsia="Arial" w:hAnsi="Arial"/>
                <w:sz w:val="12"/>
                <w:szCs w:val="12"/>
                <w:color w:val="auto"/>
              </w:rPr>
              <w:t>1,494,600,000.00</w:t>
            </w: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2036</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5.600%</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notes</w:t>
            </w:r>
          </w:p>
        </w:tc>
        <w:tc>
          <w:tcPr>
            <w:tcW w:w="20" w:type="dxa"/>
            <w:vAlign w:val="bottom"/>
          </w:tcPr>
          <w:p>
            <w:pPr>
              <w:spacing w:after="0"/>
              <w:rPr>
                <w:sz w:val="15"/>
                <w:szCs w:val="15"/>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15"/>
                <w:szCs w:val="15"/>
                <w:color w:val="auto"/>
              </w:rPr>
            </w:pPr>
          </w:p>
        </w:tc>
        <w:tc>
          <w:tcPr>
            <w:tcW w:w="10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1,750,000,000</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$ 0.99726</w:t>
            </w:r>
          </w:p>
        </w:tc>
        <w:tc>
          <w:tcPr>
            <w:tcW w:w="20" w:type="dxa"/>
            <w:vAlign w:val="bottom"/>
          </w:tcPr>
          <w:p>
            <w:pPr>
              <w:spacing w:after="0"/>
              <w:rPr>
                <w:sz w:val="15"/>
                <w:szCs w:val="15"/>
                <w:color w:val="auto"/>
              </w:rPr>
            </w:pPr>
          </w:p>
        </w:tc>
        <w:tc>
          <w:tcPr>
            <w:tcW w:w="1300" w:type="dxa"/>
            <w:vAlign w:val="bottom"/>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$ 241,012.81</w:t>
            </w: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5"/>
                <w:szCs w:val="15"/>
                <w:color w:val="auto"/>
              </w:rPr>
            </w:pPr>
          </w:p>
        </w:tc>
        <w:tc>
          <w:tcPr>
            <w:tcW w:w="12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due</w:t>
            </w:r>
          </w:p>
        </w:tc>
        <w:tc>
          <w:tcPr>
            <w:tcW w:w="20" w:type="dxa"/>
            <w:vAlign w:val="bottom"/>
          </w:tcPr>
          <w:p>
            <w:pPr>
              <w:spacing w:after="0"/>
              <w:rPr>
                <w:sz w:val="15"/>
                <w:szCs w:val="15"/>
                <w:color w:val="auto"/>
              </w:rPr>
            </w:pPr>
          </w:p>
        </w:tc>
        <w:tc>
          <w:tcPr>
            <w:tcW w:w="90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jc w:val="right"/>
              <w:spacing w:after="0"/>
              <w:rPr>
                <w:sz w:val="20"/>
                <w:szCs w:val="20"/>
                <w:color w:val="auto"/>
              </w:rPr>
            </w:pPr>
            <w:r>
              <w:rPr>
                <w:rFonts w:ascii="Arial" w:cs="Arial" w:eastAsia="Arial" w:hAnsi="Arial"/>
                <w:sz w:val="16"/>
                <w:szCs w:val="16"/>
                <w:color w:val="auto"/>
              </w:rPr>
              <w:t>1,745,205,000.00</w:t>
            </w:r>
          </w:p>
        </w:tc>
        <w:tc>
          <w:tcPr>
            <w:tcW w:w="20" w:type="dxa"/>
            <w:vAlign w:val="bottom"/>
          </w:tcPr>
          <w:p>
            <w:pPr>
              <w:spacing w:after="0"/>
              <w:rPr>
                <w:sz w:val="15"/>
                <w:szCs w:val="15"/>
                <w:color w:val="auto"/>
              </w:rPr>
            </w:pPr>
          </w:p>
        </w:tc>
        <w:tc>
          <w:tcPr>
            <w:tcW w:w="80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2056</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5.700%</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5"/>
                <w:szCs w:val="15"/>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notes</w:t>
            </w:r>
          </w:p>
        </w:tc>
        <w:tc>
          <w:tcPr>
            <w:tcW w:w="20" w:type="dxa"/>
            <w:vAlign w:val="bottom"/>
          </w:tcPr>
          <w:p>
            <w:pPr>
              <w:spacing w:after="0"/>
              <w:rPr>
                <w:sz w:val="15"/>
                <w:szCs w:val="15"/>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20" w:type="dxa"/>
            <w:vAlign w:val="bottom"/>
          </w:tcPr>
          <w:p>
            <w:pPr>
              <w:spacing w:after="0"/>
              <w:rPr>
                <w:sz w:val="15"/>
                <w:szCs w:val="15"/>
                <w:color w:val="auto"/>
              </w:rPr>
            </w:pPr>
          </w:p>
        </w:tc>
        <w:tc>
          <w:tcPr>
            <w:tcW w:w="10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1,000,000,000</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$ 0.99391</w:t>
            </w:r>
          </w:p>
        </w:tc>
        <w:tc>
          <w:tcPr>
            <w:tcW w:w="20" w:type="dxa"/>
            <w:vAlign w:val="bottom"/>
          </w:tcPr>
          <w:p>
            <w:pPr>
              <w:spacing w:after="0"/>
              <w:rPr>
                <w:sz w:val="15"/>
                <w:szCs w:val="15"/>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$ 993,910,000.00</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$ 137,258.97</w:t>
            </w: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due</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 w:type="dxa"/>
            <w:vAlign w:val="bottom"/>
            <w:tcBorders>
              <w:left w:val="single" w:sz="8" w:color="auto"/>
            </w:tcBorders>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6"/>
                <w:szCs w:val="16"/>
                <w:color w:val="auto"/>
              </w:rPr>
              <w:t>2066</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3"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00" w:type="dxa"/>
            <w:vAlign w:val="bottom"/>
            <w:gridSpan w:val="5"/>
          </w:tcPr>
          <w:p>
            <w:pPr>
              <w:jc w:val="center"/>
              <w:ind w:right="19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9"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4"/>
          </w:tcPr>
          <w:p>
            <w:pPr>
              <w:jc w:val="right"/>
              <w:ind w:right="40"/>
              <w:spacing w:after="0"/>
              <w:rPr>
                <w:sz w:val="20"/>
                <w:szCs w:val="20"/>
                <w:color w:val="auto"/>
              </w:rPr>
            </w:pPr>
            <w:r>
              <w:rPr>
                <w:rFonts w:ascii="Arial" w:cs="Arial" w:eastAsia="Arial" w:hAnsi="Arial"/>
                <w:sz w:val="16"/>
                <w:szCs w:val="16"/>
                <w:color w:val="auto"/>
              </w:rPr>
              <w:t>Total Offering Amounts:</w:t>
            </w:r>
          </w:p>
        </w:tc>
        <w:tc>
          <w:tcPr>
            <w:tcW w:w="76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8,981,442,500.00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1,240,337.21</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gridSpan w:val="4"/>
          </w:tcPr>
          <w:p>
            <w:pPr>
              <w:jc w:val="right"/>
              <w:ind w:right="40"/>
              <w:spacing w:after="0"/>
              <w:rPr>
                <w:sz w:val="20"/>
                <w:szCs w:val="20"/>
                <w:color w:val="auto"/>
              </w:rPr>
            </w:pPr>
            <w:r>
              <w:rPr>
                <w:rFonts w:ascii="Arial" w:cs="Arial" w:eastAsia="Arial" w:hAnsi="Arial"/>
                <w:sz w:val="16"/>
                <w:szCs w:val="16"/>
                <w:color w:val="auto"/>
              </w:rPr>
              <w:t>Total Fees Previously Paid:</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gridSpan w:val="4"/>
          </w:tcPr>
          <w:p>
            <w:pPr>
              <w:jc w:val="right"/>
              <w:ind w:right="40"/>
              <w:spacing w:after="0"/>
              <w:rPr>
                <w:sz w:val="20"/>
                <w:szCs w:val="20"/>
                <w:color w:val="auto"/>
              </w:rPr>
            </w:pPr>
            <w:r>
              <w:rPr>
                <w:rFonts w:ascii="Arial" w:cs="Arial" w:eastAsia="Arial" w:hAnsi="Arial"/>
                <w:sz w:val="16"/>
                <w:szCs w:val="16"/>
                <w:color w:val="auto"/>
              </w:rPr>
              <w:t>Total Fee Offsets:</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Net Fee Due:</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1,240,337.21</w:t>
            </w: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2" w:lineRule="exact"/>
        <w:rPr>
          <w:sz w:val="20"/>
          <w:szCs w:val="20"/>
          <w:color w:val="auto"/>
        </w:rPr>
      </w:pPr>
    </w:p>
    <w:p>
      <w:pPr>
        <w:ind w:left="200" w:right="300" w:hanging="168"/>
        <w:spacing w:after="0" w:line="234" w:lineRule="auto"/>
        <w:tabs>
          <w:tab w:leader="none" w:pos="200" w:val="left"/>
        </w:tabs>
        <w:numPr>
          <w:ilvl w:val="0"/>
          <w:numId w:val="51"/>
        </w:numPr>
        <w:rPr>
          <w:rFonts w:ascii="Arial" w:cs="Arial" w:eastAsia="Arial" w:hAnsi="Arial"/>
          <w:sz w:val="20"/>
          <w:szCs w:val="20"/>
          <w:color w:val="auto"/>
          <w:vertAlign w:val="superscript"/>
        </w:rPr>
      </w:pPr>
      <w:r>
        <w:rPr>
          <w:rFonts w:ascii="Arial" w:cs="Arial" w:eastAsia="Arial" w:hAnsi="Arial"/>
          <w:sz w:val="16"/>
          <w:szCs w:val="16"/>
          <w:color w:val="auto"/>
        </w:rPr>
        <w:t>These "Calculation of Filing Fee Tables" shall be deemed to update the "Calculation of Filing Fee Tables" in Eli Lilly and Company's Registration Statement on Form S-3 (File No. 333-285052), which was filed on February 19, 2025, in accordance with Rules 456(b) and 457(r) under the Securities Act of 1933, as amended. The prospectus supplement to which this exhibit is attached is a final prospectus for the related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715200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52005" cy="38100"/>
                    </a:xfrm>
                    <a:prstGeom prst="rect">
                      <a:avLst/>
                    </a:prstGeom>
                    <a:noFill/>
                  </pic:spPr>
                </pic:pic>
              </a:graphicData>
            </a:graphic>
          </wp:anchor>
        </w:drawing>
      </w:r>
    </w:p>
    <w:p>
      <w:pPr>
        <w:spacing w:after="0" w:line="214" w:lineRule="exact"/>
        <w:rPr>
          <w:sz w:val="20"/>
          <w:szCs w:val="20"/>
          <w:color w:val="auto"/>
        </w:rPr>
      </w:pPr>
    </w:p>
    <w:p>
      <w:pPr>
        <w:ind w:left="200" w:right="300" w:hanging="168"/>
        <w:spacing w:after="0" w:line="234" w:lineRule="auto"/>
        <w:tabs>
          <w:tab w:leader="none" w:pos="200" w:val="left"/>
        </w:tabs>
        <w:numPr>
          <w:ilvl w:val="0"/>
          <w:numId w:val="52"/>
        </w:numPr>
        <w:rPr>
          <w:rFonts w:ascii="Arial" w:cs="Arial" w:eastAsia="Arial" w:hAnsi="Arial"/>
          <w:sz w:val="20"/>
          <w:szCs w:val="20"/>
          <w:color w:val="auto"/>
          <w:vertAlign w:val="superscript"/>
        </w:rPr>
      </w:pPr>
      <w:r>
        <w:rPr>
          <w:rFonts w:ascii="Arial" w:cs="Arial" w:eastAsia="Arial" w:hAnsi="Arial"/>
          <w:sz w:val="16"/>
          <w:szCs w:val="16"/>
          <w:color w:val="auto"/>
        </w:rPr>
        <w:t>These "Calculation of Filing Fee Tables" shall be deemed to update the "Calculation of Filing Fee Tables" in Eli Lilly and Company's Registration Statement on Form S-3 (File No. 333-285052), which was filed on February 19, 2025, in accordance with Rules 456(b) and 457(r) under the Securities Act of 1933, as amended. The prospectus supplement to which this exhibit is attached is a final prospectus for the related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715200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52005" cy="38100"/>
                    </a:xfrm>
                    <a:prstGeom prst="rect">
                      <a:avLst/>
                    </a:prstGeom>
                    <a:noFill/>
                  </pic:spPr>
                </pic:pic>
              </a:graphicData>
            </a:graphic>
          </wp:anchor>
        </w:drawing>
      </w:r>
    </w:p>
    <w:p>
      <w:pPr>
        <w:spacing w:after="0" w:line="214" w:lineRule="exact"/>
        <w:rPr>
          <w:sz w:val="20"/>
          <w:szCs w:val="20"/>
          <w:color w:val="auto"/>
        </w:rPr>
      </w:pPr>
    </w:p>
    <w:p>
      <w:pPr>
        <w:ind w:left="200" w:right="300" w:hanging="168"/>
        <w:spacing w:after="0" w:line="234" w:lineRule="auto"/>
        <w:tabs>
          <w:tab w:leader="none" w:pos="200" w:val="left"/>
        </w:tabs>
        <w:numPr>
          <w:ilvl w:val="0"/>
          <w:numId w:val="53"/>
        </w:numPr>
        <w:rPr>
          <w:rFonts w:ascii="Arial" w:cs="Arial" w:eastAsia="Arial" w:hAnsi="Arial"/>
          <w:sz w:val="20"/>
          <w:szCs w:val="20"/>
          <w:color w:val="auto"/>
          <w:vertAlign w:val="superscript"/>
        </w:rPr>
      </w:pPr>
      <w:r>
        <w:rPr>
          <w:rFonts w:ascii="Arial" w:cs="Arial" w:eastAsia="Arial" w:hAnsi="Arial"/>
          <w:sz w:val="16"/>
          <w:szCs w:val="16"/>
          <w:color w:val="auto"/>
        </w:rPr>
        <w:t>These "Calculation of Filing Fee Tables" shall be deemed to update the "Calculation of Filing Fee Tables" in Eli Lilly and Company's Registration Statement on Form S-3 (File No. 333-285052), which was filed on February 19, 2025, in accordance with Rules 456(b) and 457(r) under the Securities Act of 1933, as amended. The prospectus supplement to which this exhibit is attached is a final prospectus for the related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715200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52005" cy="38100"/>
                    </a:xfrm>
                    <a:prstGeom prst="rect">
                      <a:avLst/>
                    </a:prstGeom>
                    <a:noFill/>
                  </pic:spPr>
                </pic:pic>
              </a:graphicData>
            </a:graphic>
          </wp:anchor>
        </w:drawing>
      </w:r>
    </w:p>
    <w:p>
      <w:pPr>
        <w:spacing w:after="0" w:line="214" w:lineRule="exact"/>
        <w:rPr>
          <w:sz w:val="20"/>
          <w:szCs w:val="20"/>
          <w:color w:val="auto"/>
        </w:rPr>
      </w:pPr>
    </w:p>
    <w:p>
      <w:pPr>
        <w:ind w:left="200" w:right="300" w:hanging="168"/>
        <w:spacing w:after="0" w:line="234" w:lineRule="auto"/>
        <w:tabs>
          <w:tab w:leader="none" w:pos="200" w:val="left"/>
        </w:tabs>
        <w:numPr>
          <w:ilvl w:val="0"/>
          <w:numId w:val="54"/>
        </w:numPr>
        <w:rPr>
          <w:rFonts w:ascii="Arial" w:cs="Arial" w:eastAsia="Arial" w:hAnsi="Arial"/>
          <w:sz w:val="20"/>
          <w:szCs w:val="20"/>
          <w:color w:val="auto"/>
          <w:vertAlign w:val="superscript"/>
        </w:rPr>
      </w:pPr>
      <w:r>
        <w:rPr>
          <w:rFonts w:ascii="Arial" w:cs="Arial" w:eastAsia="Arial" w:hAnsi="Arial"/>
          <w:sz w:val="16"/>
          <w:szCs w:val="16"/>
          <w:color w:val="auto"/>
        </w:rPr>
        <w:t>These "Calculation of Filing Fee Tables" shall be deemed to update the "Calculation of Filing Fee Tables" in Eli Lilly and Company's Registration Statement on Form S-3 (File No. 333-285052), which was filed on February 19, 2025, in accordance with Rules 456(b) and 457(r) under the Securities Act of 1933, as amended. The prospectus supplement to which this exhibit is attached is a final prospectus for the related offering.</w:t>
      </w:r>
    </w:p>
    <w:p>
      <w:pPr>
        <w:sectPr>
          <w:pgSz w:w="11900" w:h="16854" w:orient="portrait"/>
          <w:cols w:equalWidth="0" w:num="1">
            <w:col w:w="11360"/>
          </w:cols>
          <w:pgMar w:left="300" w:top="141" w:right="239" w:bottom="0" w:gutter="0" w:footer="0" w:header="0"/>
        </w:sectPr>
      </w:pPr>
    </w:p>
    <w:bookmarkStart w:id="77" w:name="page78"/>
    <w:bookmarkEnd w:id="77"/>
    <w:p>
      <w:pPr>
        <w:ind w:left="200" w:right="240" w:hanging="168"/>
        <w:spacing w:after="0" w:line="234" w:lineRule="auto"/>
        <w:tabs>
          <w:tab w:leader="none" w:pos="200" w:val="left"/>
        </w:tabs>
        <w:numPr>
          <w:ilvl w:val="0"/>
          <w:numId w:val="55"/>
        </w:numPr>
        <w:rPr>
          <w:rFonts w:ascii="Arial" w:cs="Arial" w:eastAsia="Arial" w:hAnsi="Arial"/>
          <w:sz w:val="20"/>
          <w:szCs w:val="20"/>
          <w:color w:val="auto"/>
          <w:vertAlign w:val="superscript"/>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5200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52005" cy="25400"/>
                    </a:xfrm>
                    <a:prstGeom prst="rect">
                      <a:avLst/>
                    </a:prstGeom>
                    <a:noFill/>
                  </pic:spPr>
                </pic:pic>
              </a:graphicData>
            </a:graphic>
          </wp:anchor>
        </w:drawing>
        <w:t>These "Calculation of Filing Fee Tables" shall be deemed to update the "Calculation of Filing Fee Tables" in Eli Lilly and Company's Registration Statement on Form S-3 (File No. 333-285052), which was filed on February 19, 2025, in accordance with Rules 456(b) and 457(r) under the Securities Act of 1933, as amended. The prospectus supplement to which this exhibit is attached is a final prospectus for the related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715200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52005" cy="38100"/>
                    </a:xfrm>
                    <a:prstGeom prst="rect">
                      <a:avLst/>
                    </a:prstGeom>
                    <a:noFill/>
                  </pic:spPr>
                </pic:pic>
              </a:graphicData>
            </a:graphic>
          </wp:anchor>
        </w:drawing>
      </w:r>
    </w:p>
    <w:p>
      <w:pPr>
        <w:spacing w:after="0" w:line="214" w:lineRule="exact"/>
        <w:rPr>
          <w:sz w:val="20"/>
          <w:szCs w:val="20"/>
          <w:color w:val="auto"/>
        </w:rPr>
      </w:pPr>
    </w:p>
    <w:p>
      <w:pPr>
        <w:ind w:left="200" w:right="240" w:hanging="168"/>
        <w:spacing w:after="0" w:line="234" w:lineRule="auto"/>
        <w:tabs>
          <w:tab w:leader="none" w:pos="200" w:val="left"/>
        </w:tabs>
        <w:numPr>
          <w:ilvl w:val="0"/>
          <w:numId w:val="56"/>
        </w:numPr>
        <w:rPr>
          <w:rFonts w:ascii="Arial" w:cs="Arial" w:eastAsia="Arial" w:hAnsi="Arial"/>
          <w:sz w:val="20"/>
          <w:szCs w:val="20"/>
          <w:color w:val="auto"/>
          <w:vertAlign w:val="superscript"/>
        </w:rPr>
      </w:pPr>
      <w:r>
        <w:rPr>
          <w:rFonts w:ascii="Arial" w:cs="Arial" w:eastAsia="Arial" w:hAnsi="Arial"/>
          <w:sz w:val="16"/>
          <w:szCs w:val="16"/>
          <w:color w:val="auto"/>
        </w:rPr>
        <w:t>These "Calculation of Filing Fee Tables" shall be deemed to update the "Calculation of Filing Fee Tables" in Eli Lilly and Company's Registration Statement on Form S-3 (File No. 333-285052), which was filed on February 19, 2025, in accordance with Rules 456(b) and 457(r) under the Securities Act of 1933, as amended. The prospectus supplement to which this exhibit is attached is a final prospectus for the related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715200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52005" cy="38100"/>
                    </a:xfrm>
                    <a:prstGeom prst="rect">
                      <a:avLst/>
                    </a:prstGeom>
                    <a:noFill/>
                  </pic:spPr>
                </pic:pic>
              </a:graphicData>
            </a:graphic>
          </wp:anchor>
        </w:drawing>
      </w:r>
    </w:p>
    <w:p>
      <w:pPr>
        <w:spacing w:after="0" w:line="214" w:lineRule="exact"/>
        <w:rPr>
          <w:sz w:val="20"/>
          <w:szCs w:val="20"/>
          <w:color w:val="auto"/>
        </w:rPr>
      </w:pPr>
    </w:p>
    <w:p>
      <w:pPr>
        <w:ind w:left="200" w:right="240" w:hanging="168"/>
        <w:spacing w:after="0" w:line="234" w:lineRule="auto"/>
        <w:tabs>
          <w:tab w:leader="none" w:pos="200" w:val="left"/>
        </w:tabs>
        <w:numPr>
          <w:ilvl w:val="0"/>
          <w:numId w:val="57"/>
        </w:numPr>
        <w:rPr>
          <w:rFonts w:ascii="Arial" w:cs="Arial" w:eastAsia="Arial" w:hAnsi="Arial"/>
          <w:sz w:val="20"/>
          <w:szCs w:val="20"/>
          <w:color w:val="auto"/>
          <w:vertAlign w:val="superscript"/>
        </w:rPr>
      </w:pPr>
      <w:r>
        <w:rPr>
          <w:rFonts w:ascii="Arial" w:cs="Arial" w:eastAsia="Arial" w:hAnsi="Arial"/>
          <w:sz w:val="16"/>
          <w:szCs w:val="16"/>
          <w:color w:val="auto"/>
        </w:rPr>
        <w:t>These "Calculation of Filing Fee Tables" shall be deemed to update the "Calculation of Filing Fee Tables" in Eli Lilly and Company's Registration Statement on Form S-3 (File No. 333-285052), which was filed on February 19, 2025, in accordance with Rules 456(b) and 457(r) under the Securities Act of 1933, as amended. The prospectus supplement to which this exhibit is attached is a final prospectus for the related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715200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52005" cy="38100"/>
                    </a:xfrm>
                    <a:prstGeom prst="rect">
                      <a:avLst/>
                    </a:prstGeom>
                    <a:noFill/>
                  </pic:spPr>
                </pic:pic>
              </a:graphicData>
            </a:graphic>
          </wp:anchor>
        </w:drawing>
      </w:r>
    </w:p>
    <w:p>
      <w:pPr>
        <w:spacing w:after="0" w:line="214" w:lineRule="exact"/>
        <w:rPr>
          <w:sz w:val="20"/>
          <w:szCs w:val="20"/>
          <w:color w:val="auto"/>
        </w:rPr>
      </w:pPr>
    </w:p>
    <w:p>
      <w:pPr>
        <w:ind w:left="200" w:right="240" w:hanging="168"/>
        <w:spacing w:after="0" w:line="234" w:lineRule="auto"/>
        <w:tabs>
          <w:tab w:leader="none" w:pos="200" w:val="left"/>
        </w:tabs>
        <w:numPr>
          <w:ilvl w:val="0"/>
          <w:numId w:val="58"/>
        </w:numPr>
        <w:rPr>
          <w:rFonts w:ascii="Arial" w:cs="Arial" w:eastAsia="Arial" w:hAnsi="Arial"/>
          <w:sz w:val="20"/>
          <w:szCs w:val="20"/>
          <w:color w:val="auto"/>
          <w:vertAlign w:val="superscript"/>
        </w:rPr>
      </w:pPr>
      <w:r>
        <w:rPr>
          <w:rFonts w:ascii="Arial" w:cs="Arial" w:eastAsia="Arial" w:hAnsi="Arial"/>
          <w:sz w:val="16"/>
          <w:szCs w:val="16"/>
          <w:color w:val="auto"/>
        </w:rPr>
        <w:t>These "Calculation of Filing Fee Tables" shall be deemed to update the "Calculation of Filing Fee Tables" in Eli Lilly and Company's Registration Statement on Form S-3 (File No. 333-285052), which was filed on February 19, 2025, in accordance with Rules 456(b) and 457(r) under the Securities Act of 1933, as amended. The prospectus supplement to which this exhibit is attached is a final prospectus for the related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715200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52005" cy="3810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40" w:type="dxa"/>
            <w:vAlign w:val="bottom"/>
            <w:tcBorders>
              <w:bottom w:val="single" w:sz="8" w:color="auto"/>
            </w:tcBorders>
          </w:tcPr>
          <w:p>
            <w:pPr>
              <w:spacing w:after="0"/>
              <w:rPr>
                <w:sz w:val="23"/>
                <w:szCs w:val="23"/>
                <w:color w:val="auto"/>
              </w:rPr>
            </w:pPr>
          </w:p>
        </w:tc>
        <w:tc>
          <w:tcPr>
            <w:tcW w:w="338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4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4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7"/>
                <w:szCs w:val="7"/>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4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7"/>
                <w:szCs w:val="7"/>
                <w:color w:val="auto"/>
              </w:rPr>
            </w:pPr>
          </w:p>
        </w:tc>
        <w:tc>
          <w:tcPr>
            <w:tcW w:w="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40" w:type="dxa"/>
            <w:vAlign w:val="bottom"/>
            <w:tcBorders>
              <w:right w:val="single" w:sz="8" w:color="9ADAF6"/>
            </w:tcBorders>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40" w:type="dxa"/>
            <w:vAlign w:val="bottom"/>
            <w:shd w:val="clear" w:color="auto" w:fill="9ADAF6"/>
          </w:tcPr>
          <w:p>
            <w:pPr>
              <w:jc w:val="center"/>
              <w:ind w:right="198"/>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4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5"/>
                <w:szCs w:val="15"/>
                <w:color w:val="auto"/>
              </w:rPr>
            </w:pPr>
          </w:p>
        </w:tc>
        <w:tc>
          <w:tcPr>
            <w:tcW w:w="6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40" w:type="dxa"/>
            <w:vAlign w:val="bottom"/>
            <w:tcBorders>
              <w:right w:val="single" w:sz="8" w:color="9ADAF6"/>
            </w:tcBorders>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80" w:type="dxa"/>
            <w:vAlign w:val="bottom"/>
            <w:gridSpan w:val="3"/>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2" w:lineRule="exact"/>
              <w:rPr>
                <w:sz w:val="20"/>
                <w:szCs w:val="20"/>
                <w:color w:val="auto"/>
              </w:rPr>
            </w:pPr>
            <w:r>
              <w:rPr>
                <w:rFonts w:ascii="Arial" w:cs="Arial" w:eastAsia="Arial" w:hAnsi="Arial"/>
                <w:sz w:val="12"/>
                <w:szCs w:val="12"/>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4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Source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4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0"/>
          </w:tcPr>
          <w:p>
            <w:pPr>
              <w:ind w:left="520"/>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3"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4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3"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4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3"/>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vMerge w:val="restart"/>
            <w:shd w:val="clear" w:color="auto" w:fill="9ADAF6"/>
          </w:tcPr>
          <w:p>
            <w:pPr>
              <w:jc w:val="center"/>
              <w:ind w:right="141"/>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restart"/>
            <w:shd w:val="clear" w:color="auto" w:fill="9ADAF6"/>
          </w:tcPr>
          <w:p>
            <w:pPr>
              <w:ind w:left="400"/>
              <w:spacing w:after="0"/>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restart"/>
            <w:shd w:val="clear" w:color="auto" w:fill="9ADAF6"/>
          </w:tcPr>
          <w:p>
            <w:pPr>
              <w:jc w:val="center"/>
              <w:ind w:right="262"/>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540" w:type="dxa"/>
            <w:vAlign w:val="bottom"/>
            <w:gridSpan w:val="2"/>
            <w:vMerge w:val="restart"/>
            <w:shd w:val="clear" w:color="auto" w:fill="9ADAF6"/>
          </w:tcPr>
          <w:p>
            <w:pP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gridSpan w:val="4"/>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w w:val="99"/>
              </w:rPr>
              <w:t>Security Type</w:t>
            </w: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60" w:type="dxa"/>
            <w:vAlign w:val="bottom"/>
            <w:gridSpan w:val="5"/>
            <w:vMerge w:val="restart"/>
            <w:shd w:val="clear" w:color="auto" w:fill="9ADAF6"/>
          </w:tcPr>
          <w:p>
            <w:pPr>
              <w:ind w:left="640"/>
              <w:spacing w:after="0"/>
              <w:rPr>
                <w:sz w:val="20"/>
                <w:szCs w:val="20"/>
                <w:color w:val="auto"/>
              </w:rPr>
            </w:pPr>
            <w:r>
              <w:rPr>
                <w:rFonts w:ascii="Arial" w:cs="Arial" w:eastAsia="Arial" w:hAnsi="Arial"/>
                <w:sz w:val="16"/>
                <w:szCs w:val="16"/>
                <w:b w:val="1"/>
                <w:bCs w:val="1"/>
                <w:color w:val="auto"/>
              </w:rPr>
              <w:t>Security Class Title</w:t>
            </w:r>
          </w:p>
        </w:tc>
        <w:tc>
          <w:tcPr>
            <w:tcW w:w="4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gridSpan w:val="4"/>
            <w:vMerge w:val="continue"/>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60" w:type="dxa"/>
            <w:vAlign w:val="bottom"/>
            <w:gridSpan w:val="5"/>
            <w:vMerge w:val="continue"/>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540" w:type="dxa"/>
            <w:vAlign w:val="bottom"/>
            <w:gridSpan w:val="2"/>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3"/>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restart"/>
            <w:shd w:val="clear" w:color="auto" w:fill="9ADAF6"/>
          </w:tcPr>
          <w:p>
            <w:pPr>
              <w:jc w:val="center"/>
              <w:ind w:right="161"/>
              <w:spacing w:after="0"/>
              <w:rPr>
                <w:sz w:val="20"/>
                <w:szCs w:val="20"/>
                <w:color w:val="auto"/>
              </w:rPr>
            </w:pPr>
            <w:r>
              <w:rPr>
                <w:rFonts w:ascii="Arial" w:cs="Arial" w:eastAsia="Arial" w:hAnsi="Arial"/>
                <w:sz w:val="16"/>
                <w:szCs w:val="16"/>
                <w:b w:val="1"/>
                <w:bCs w:val="1"/>
                <w:color w:val="auto"/>
              </w:rPr>
              <w:t>Date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4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60" w:type="dxa"/>
            <w:vAlign w:val="bottom"/>
            <w:gridSpan w:val="3"/>
            <w:vMerge w:val="restart"/>
            <w:shd w:val="clear" w:color="auto" w:fill="9ADAF6"/>
          </w:tcPr>
          <w:p>
            <w:pPr>
              <w:jc w:val="center"/>
              <w:ind w:right="262"/>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Narrative Disclosure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maximum aggregate offering price of the securities to which the prospectus relates is $8,981,442,500.00. The prospectus is a final prospectus for the</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related offering.</w:t>
      </w:r>
    </w:p>
    <w:sectPr>
      <w:pgSz w:w="11900" w:h="16838" w:orient="portrait"/>
      <w:cols w:equalWidth="0" w:num="1">
        <w:col w:w="11300"/>
      </w:cols>
      <w:pgMar w:left="300" w:top="26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decimal"/>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1)"/>
      <w:numFmt w:val="lowerRoman"/>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lowerRoman"/>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1)"/>
      <w:numFmt w:val="lowerLetter"/>
      <w:start w:val="2"/>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lvl w:ilvl="1">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1)"/>
      <w:numFmt w:val="lowerRoman"/>
      <w:start w:val="1"/>
    </w:lvl>
    <w:lvl w:ilvl="1">
      <w:lvlJc w:val="left"/>
      <w:lvlText w:val="•"/>
      <w:numFmt w:val="bullet"/>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2"/>
    </w:lvl>
  </w:abstractNum>
  <w:abstractNum w:abstractNumId="38">
    <w:nsid w:val="32FFF902"/>
    <w:multiLevelType w:val="hybridMultilevel"/>
    <w:lvl w:ilvl="0">
      <w:lvlJc w:val="left"/>
      <w:lvlText w:val="•"/>
      <w:numFmt w:val="bullet"/>
      <w:start w:val="1"/>
    </w:lvl>
    <w:lvl w:ilvl="1">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1."/>
      <w:numFmt w:val="decimal"/>
      <w:start w:val="1"/>
    </w:lvl>
    <w:lvl w:ilvl="1">
      <w:lvlJc w:val="left"/>
      <w:lvlText w:val="%2"/>
      <w:numFmt w:val="lowerLetter"/>
      <w:start w:val="1"/>
    </w:lvl>
  </w:abstractNum>
  <w:abstractNum w:abstractNumId="42">
    <w:nsid w:val="3DC240FB"/>
    <w:multiLevelType w:val="hybridMultilevel"/>
    <w:lvl w:ilvl="0">
      <w:lvlJc w:val="left"/>
      <w:lvlText w:val="%1"/>
      <w:numFmt w:val="decimal"/>
      <w:start w:val="1"/>
    </w:lvl>
    <w:lvl w:ilvl="1">
      <w:lvlJc w:val="left"/>
      <w:lvlText w:val="%2."/>
      <w:numFmt w:val="lowerLetter"/>
      <w:start w:val="2"/>
    </w:lvl>
  </w:abstractNum>
  <w:abstractNum w:abstractNumId="43">
    <w:nsid w:val="1BA026FA"/>
    <w:multiLevelType w:val="hybridMultilevel"/>
    <w:lvl w:ilvl="0">
      <w:lvlJc w:val="left"/>
      <w:lvlText w:val="%1."/>
      <w:numFmt w:val="decimal"/>
      <w:start w:val="2"/>
    </w:lvl>
    <w:lvl w:ilvl="1">
      <w:lvlJc w:val="left"/>
      <w:lvlText w:val="%2"/>
      <w:numFmt w:val="lowerLetter"/>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1."/>
      <w:numFmt w:val="lowerRoman"/>
      <w:start w:val="1"/>
    </w:lvl>
  </w:abstractNum>
  <w:abstractNum w:abstractNumId="46">
    <w:nsid w:val="12E685FB"/>
    <w:multiLevelType w:val="hybridMultilevel"/>
    <w:lvl w:ilvl="0">
      <w:lvlJc w:val="left"/>
      <w:lvlText w:val="%1."/>
      <w:numFmt w:val="lowerRoman"/>
      <w:start w:val="2"/>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1"/>
      <w:numFmt w:val="bullet"/>
      <w:start w:val="1"/>
    </w:lvl>
  </w:abstractNum>
  <w:abstractNum w:abstractNumId="51">
    <w:nsid w:val="23F9C13C"/>
    <w:multiLevelType w:val="hybridMultilevel"/>
    <w:lvl w:ilvl="0">
      <w:lvlJc w:val="left"/>
      <w:lvlText w:val="2"/>
      <w:numFmt w:val="bullet"/>
      <w:start w:val="1"/>
    </w:lvl>
  </w:abstractNum>
  <w:abstractNum w:abstractNumId="52">
    <w:nsid w:val="649BB77C"/>
    <w:multiLevelType w:val="hybridMultilevel"/>
    <w:lvl w:ilvl="0">
      <w:lvlJc w:val="left"/>
      <w:lvlText w:val="3"/>
      <w:numFmt w:val="bullet"/>
      <w:start w:val="1"/>
    </w:lvl>
  </w:abstractNum>
  <w:abstractNum w:abstractNumId="53">
    <w:nsid w:val="275AC794"/>
    <w:multiLevelType w:val="hybridMultilevel"/>
    <w:lvl w:ilvl="0">
      <w:lvlJc w:val="left"/>
      <w:lvlText w:val="4"/>
      <w:numFmt w:val="bullet"/>
      <w:start w:val="1"/>
    </w:lvl>
  </w:abstractNum>
  <w:abstractNum w:abstractNumId="54">
    <w:nsid w:val="39386575"/>
    <w:multiLevelType w:val="hybridMultilevel"/>
    <w:lvl w:ilvl="0">
      <w:lvlJc w:val="left"/>
      <w:lvlText w:val="5"/>
      <w:numFmt w:val="bullet"/>
      <w:start w:val="1"/>
    </w:lvl>
  </w:abstractNum>
  <w:abstractNum w:abstractNumId="55">
    <w:nsid w:val="1CF10FD8"/>
    <w:multiLevelType w:val="hybridMultilevel"/>
    <w:lvl w:ilvl="0">
      <w:lvlJc w:val="left"/>
      <w:lvlText w:val="6"/>
      <w:numFmt w:val="bullet"/>
      <w:start w:val="1"/>
    </w:lvl>
  </w:abstractNum>
  <w:abstractNum w:abstractNumId="56">
    <w:nsid w:val="180115BE"/>
    <w:multiLevelType w:val="hybridMultilevel"/>
    <w:lvl w:ilvl="0">
      <w:lvlJc w:val="left"/>
      <w:lvlText w:val="7"/>
      <w:numFmt w:val="bullet"/>
      <w:start w:val="1"/>
    </w:lvl>
  </w:abstractNum>
  <w:abstractNum w:abstractNumId="57">
    <w:nsid w:val="235BA861"/>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jpe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jpe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56" Type="http://schemas.openxmlformats.org/officeDocument/2006/relationships/hyperlink" Target="http://www.sec.gov/ix?doc=/Archives/edgar/data/0000059478/000005947826000013/lly-20251231.htm" TargetMode="External"/><Relationship Id="rId57" Type="http://schemas.openxmlformats.org/officeDocument/2006/relationships/hyperlink" Target="http://www.sec.gov/ix?doc=/Archives/edgar/data/0000059478/000005947826000029/lly-20260317.htm" TargetMode="External"/><Relationship Id="rId58" Type="http://schemas.openxmlformats.org/officeDocument/2006/relationships/hyperlink" Target="http://www.sec.gov/ix?doc=/Archives/edgar/data/59478/000005947826000045/lly-20260331.htm" TargetMode="External"/><Relationship Id="rId66" Type="http://schemas.openxmlformats.org/officeDocument/2006/relationships/hyperlink" Target="http://www.sec.gov/ix?doc=/Archives/edgar/data/59478/000005947825000067/lly-20241231.htm" TargetMode="External"/><Relationship Id="rId67" Type="http://schemas.openxmlformats.org/officeDocument/2006/relationships/hyperlink" Target="http://www.sec.gov/ix?doc=/Archives/edgar/data/59478/000119312525025057/d868986d8k.htm" TargetMode="External"/><Relationship Id="rId68" Type="http://schemas.openxmlformats.org/officeDocument/2006/relationships/hyperlink" Target="http://www.sec.gov/Archives/edgar/data/59478/000005947824000065/lly-20231231x10kexhibit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2026-05-08T05:30:29Z</dcterms:created>
  <dcterms:modified xsi:type="dcterms:W3CDTF">2026-05-08T05:30:29Z</dcterms:modified>
</cp:coreProperties>
</file>