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9" w:lineRule="exact"/>
        <w:rPr>
          <w:sz w:val="24"/>
          <w:szCs w:val="24"/>
          <w:color w:val="auto"/>
        </w:rPr>
      </w:pPr>
    </w:p>
    <w:tbl>
      <w:tblPr>
        <w:tblLayout w:type="fixed"/>
        <w:tblInd w:w="1640" w:type="dxa"/>
        <w:tblCellMar>
          <w:top w:w="0" w:type="dxa"/>
          <w:left w:w="0" w:type="dxa"/>
          <w:bottom w:w="0" w:type="dxa"/>
          <w:right w:w="0" w:type="dxa"/>
        </w:tblCellMar>
      </w:tblPr>
      <w:tr>
        <w:trPr>
          <w:trHeight w:val="243"/>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4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9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66"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jc w:val="both"/>
        <w:ind w:right="28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85" w:lineRule="exact"/>
        <w:rPr>
          <w:sz w:val="24"/>
          <w:szCs w:val="24"/>
          <w:color w:val="auto"/>
        </w:rPr>
      </w:pPr>
    </w:p>
    <w:p>
      <w:pPr>
        <w:ind w:left="40"/>
        <w:spacing w:after="0" w:line="208"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370"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7"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5"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85"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July 18, 2016:</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7"/>
                <w:szCs w:val="17"/>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5"/>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1,103,843,444</w:t>
            </w:r>
          </w:p>
        </w:tc>
      </w:tr>
      <w:tr>
        <w:trPr>
          <w:trHeight w:val="145"/>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1" w:right="239" w:bottom="1440" w:gutter="0" w:footer="0" w:header="0"/>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June 30, 2016</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140" w:type="dxa"/>
            <w:vAlign w:val="bottom"/>
            <w:gridSpan w:val="1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5"/>
          </w:tcPr>
          <w:p>
            <w:pPr>
              <w:spacing w:after="0"/>
              <w:rPr>
                <w:sz w:val="21"/>
                <w:szCs w:val="21"/>
                <w:color w:val="auto"/>
              </w:rPr>
            </w:pPr>
          </w:p>
        </w:tc>
        <w:tc>
          <w:tcPr>
            <w:tcW w:w="1920" w:type="dxa"/>
            <w:vAlign w:val="bottom"/>
            <w:gridSpan w:val="2"/>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32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73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7"/>
        </w:trPr>
        <w:tc>
          <w:tcPr>
            <w:tcW w:w="5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720" w:type="dxa"/>
            <w:vAlign w:val="bottom"/>
            <w:gridSpan w:val="5"/>
            <w:shd w:val="clear" w:color="auto" w:fill="0000EE"/>
          </w:tcPr>
          <w:p>
            <w:pPr>
              <w:spacing w:after="0"/>
              <w:rPr>
                <w:sz w:val="2"/>
                <w:szCs w:val="2"/>
                <w:color w:val="auto"/>
              </w:rPr>
            </w:pPr>
          </w:p>
        </w:tc>
        <w:tc>
          <w:tcPr>
            <w:tcW w:w="2240" w:type="dxa"/>
            <w:vAlign w:val="bottom"/>
            <w:gridSpan w:val="2"/>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33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Revenue</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39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42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8"/>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Financial Expectations</w:t>
              </w:r>
            </w:hyperlink>
          </w:p>
        </w:tc>
        <w:tc>
          <w:tcPr>
            <w:tcW w:w="5500" w:type="dxa"/>
            <w:vAlign w:val="bottom"/>
            <w:gridSpan w:val="11"/>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43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Available Information on our Website</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436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w:t>
              </w:r>
            </w:hyperlink>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45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730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46</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860" w:type="dxa"/>
            <w:vAlign w:val="bottom"/>
            <w:gridSpan w:val="3"/>
          </w:tcPr>
          <w:p>
            <w:pPr>
              <w:spacing w:after="0"/>
              <w:rPr>
                <w:rFonts w:ascii="Arial" w:cs="Arial" w:eastAsia="Arial" w:hAnsi="Arial"/>
                <w:sz w:val="18"/>
                <w:szCs w:val="18"/>
                <w:color w:val="0000EE"/>
                <w:w w:val="97"/>
              </w:rPr>
            </w:pPr>
            <w:hyperlink w:anchor="page47">
              <w:r>
                <w:rPr>
                  <w:rFonts w:ascii="Arial" w:cs="Arial" w:eastAsia="Arial" w:hAnsi="Arial"/>
                  <w:sz w:val="18"/>
                  <w:szCs w:val="18"/>
                  <w:color w:val="0000EE"/>
                  <w:w w:val="97"/>
                </w:rPr>
                <w:t>Signatures</w:t>
              </w:r>
            </w:hyperlink>
          </w:p>
        </w:tc>
        <w:tc>
          <w:tcPr>
            <w:tcW w:w="24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47</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Index to Exhibits</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497"/>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4"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2015, particularly under the captions “Forward-Looking Statements” and “Risk Factors.”</w:t>
      </w:r>
    </w:p>
    <w:p>
      <w:pPr>
        <w:spacing w:after="0" w:line="55"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0"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2"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9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rPr>
              <w:t>June 30,</w:t>
            </w:r>
          </w:p>
        </w:tc>
      </w:tr>
      <w:tr>
        <w:trPr>
          <w:trHeight w:val="263"/>
        </w:trPr>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17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17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8)</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5,404.8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4,978.7</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10,269.9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9,623.4</w:t>
            </w:r>
          </w:p>
        </w:tc>
      </w:tr>
      <w:tr>
        <w:trPr>
          <w:trHeight w:val="540"/>
        </w:trPr>
        <w:tc>
          <w:tcPr>
            <w:tcW w:w="34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1,465.0</w:t>
            </w:r>
          </w:p>
        </w:tc>
        <w:tc>
          <w:tcPr>
            <w:tcW w:w="4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1,218.4</w:t>
            </w: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2,788.0</w:t>
            </w: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2,411.1</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1,335.9</w:t>
            </w:r>
          </w:p>
        </w:tc>
        <w:tc>
          <w:tcPr>
            <w:tcW w:w="4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1,169.5</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2,556.9</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2,208.8</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1,622.6</w:t>
            </w:r>
          </w:p>
        </w:tc>
        <w:tc>
          <w:tcPr>
            <w:tcW w:w="4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1,635.4</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3,096.5</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3,158.9</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0"/>
        </w:trPr>
        <w:tc>
          <w:tcPr>
            <w:tcW w:w="3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58.0</w:t>
            </w:r>
          </w:p>
        </w:tc>
        <w:tc>
          <w:tcPr>
            <w:tcW w:w="4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189.4</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180.4</w:t>
            </w:r>
          </w:p>
        </w:tc>
      </w:tr>
      <w:tr>
        <w:trPr>
          <w:trHeight w:val="271"/>
        </w:trPr>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(21.2)</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123.3</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127.8</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w:t>
            </w:r>
          </w:p>
        </w:tc>
      </w:tr>
      <w:tr>
        <w:trPr>
          <w:trHeight w:val="250"/>
        </w:trPr>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4,460.3</w:t>
            </w: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4,299.0</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8,758.6</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8,325.8</w:t>
            </w:r>
          </w:p>
        </w:tc>
      </w:tr>
      <w:tr>
        <w:trPr>
          <w:trHeight w:val="249"/>
        </w:trPr>
        <w:tc>
          <w:tcPr>
            <w:tcW w:w="3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944.5</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679.7</w:t>
            </w:r>
          </w:p>
        </w:tc>
        <w:tc>
          <w:tcPr>
            <w:tcW w:w="3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1,511.3</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1,297.6</w:t>
            </w:r>
          </w:p>
        </w:tc>
      </w:tr>
      <w:tr>
        <w:trPr>
          <w:trHeight w:val="271"/>
        </w:trPr>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196.8</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78.9</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323.5</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167.3</w:t>
            </w:r>
          </w:p>
        </w:tc>
      </w:tr>
      <w:tr>
        <w:trPr>
          <w:trHeight w:val="258"/>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747.7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1,187.8</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1,130.3</w:t>
            </w:r>
          </w:p>
        </w:tc>
      </w:tr>
    </w:tbl>
    <w:p>
      <w:pPr>
        <w:spacing w:after="0" w:line="200" w:lineRule="exact"/>
        <w:rPr>
          <w:sz w:val="20"/>
          <w:szCs w:val="20"/>
          <w:color w:val="auto"/>
        </w:rPr>
      </w:pPr>
    </w:p>
    <w:p>
      <w:pPr>
        <w:sectPr>
          <w:pgSz w:w="11900" w:h="16838" w:orient="portrait"/>
          <w:cols w:equalWidth="0" w:num="2">
            <w:col w:w="5520" w:space="500"/>
            <w:col w:w="5400"/>
          </w:cols>
          <w:pgMar w:left="240" w:top="557" w:right="2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2"/>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77"/>
        </w:trPr>
        <w:tc>
          <w:tcPr>
            <w:tcW w:w="5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0.71</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0"/>
        </w:trPr>
        <w:tc>
          <w:tcPr>
            <w:tcW w:w="5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8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518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1,057.7</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1,061.7</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1,058.8</w:t>
            </w:r>
          </w:p>
        </w:tc>
        <w:tc>
          <w:tcPr>
            <w:tcW w:w="4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1,063.0</w:t>
            </w:r>
          </w:p>
        </w:tc>
      </w:tr>
      <w:tr>
        <w:trPr>
          <w:trHeight w:val="271"/>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1,060.1</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1,065.6</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1,061.0</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r>
      <w:tr>
        <w:trPr>
          <w:trHeight w:val="324"/>
        </w:trPr>
        <w:tc>
          <w:tcPr>
            <w:tcW w:w="5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0"/>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share</w:t>
            </w:r>
          </w:p>
        </w:tc>
        <w:tc>
          <w:tcPr>
            <w:tcW w:w="1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369"/>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8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459"/>
        </w:trPr>
        <w:tc>
          <w:tcPr>
            <w:tcW w:w="518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57"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6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747.7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600.8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1,187.8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1,130.3</w:t>
            </w:r>
          </w:p>
        </w:tc>
      </w:tr>
      <w:tr>
        <w:trPr>
          <w:trHeight w:val="269"/>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11)</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(106.5)</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254.3</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209.5</w:t>
            </w:r>
          </w:p>
        </w:tc>
        <w:tc>
          <w:tcPr>
            <w:tcW w:w="4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r>
      <w:tr>
        <w:trPr>
          <w:trHeight w:val="258"/>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641.2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855.1</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1,397.3</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718.9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June 30, 2016</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2015</w:t>
            </w:r>
          </w:p>
        </w:tc>
      </w:tr>
      <w:tr>
        <w:trPr>
          <w:trHeight w:val="26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3,238.0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3,666.4</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696.8</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785.4</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$39.3 (2016)</w:t>
            </w:r>
            <w:r>
              <w:rPr>
                <w:rFonts w:ascii="Arial" w:cs="Arial" w:eastAsia="Arial" w:hAnsi="Arial"/>
                <w:sz w:val="18"/>
                <w:szCs w:val="18"/>
                <w:color w:val="auto"/>
              </w:rPr>
              <w:t xml:space="preserve"> and $44.3 (2015)</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3,947.9</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3,513.0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545.2</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558.6</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3,759.9</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3,445.8</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789.5</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604.4</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12,977.3</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12,573.6</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4,449.2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3,646.6</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4,026.5</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4,039.9</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 net</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4,806.3</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5,034.8</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Sundry</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2,149.9</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2,220.5</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15,431.9</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14,941.8</w:t>
            </w: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16,927.6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16,660.9</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(8,861.5)</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(8,607.4)</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8,066.1</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8,053.5</w:t>
            </w:r>
          </w:p>
        </w:tc>
      </w:tr>
      <w:tr>
        <w:trPr>
          <w:trHeight w:val="271"/>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36,475.3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645.8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1,207.8</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1,338.2</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622.5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3,098.8</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2,560.1</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537.5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88.0</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2,200.6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2,460.3</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8,401.0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8,229.6</w:t>
            </w: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8,685.5</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7,972.4</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retirement benefits (Note 9)</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2,020.4</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805.1</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868.9</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1,907.1</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1,747.4</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22"/>
                <w:szCs w:val="22"/>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13,418.1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12,749.0</w:t>
            </w:r>
          </w:p>
        </w:tc>
      </w:tr>
      <w:tr>
        <w:trPr>
          <w:trHeight w:val="27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10)</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 (Note 7)</w:t>
            </w:r>
          </w:p>
        </w:tc>
        <w:tc>
          <w:tcPr>
            <w:tcW w:w="2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690.3</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b w:val="1"/>
                <w:bCs w:val="1"/>
                <w:color w:val="auto"/>
              </w:rPr>
              <w:t>5,587.8</w:t>
            </w:r>
          </w:p>
        </w:tc>
        <w:tc>
          <w:tcPr>
            <w:tcW w:w="26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5,552.1</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15,824.1</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16,011.8</w:t>
            </w:r>
          </w:p>
        </w:tc>
      </w:tr>
      <w:tr>
        <w:trPr>
          <w:trHeight w:val="269"/>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280" w:type="dxa"/>
            <w:vAlign w:val="bottom"/>
          </w:tcPr>
          <w:p>
            <w:pPr>
              <w:spacing w:after="0"/>
              <w:rPr>
                <w:sz w:val="23"/>
                <w:szCs w:val="23"/>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r>
      <w:tr>
        <w:trPr>
          <w:trHeight w:val="271"/>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11)</w:t>
            </w:r>
          </w:p>
        </w:tc>
        <w:tc>
          <w:tcPr>
            <w:tcW w:w="28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(4,371.2)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(4,580.7)</w:t>
            </w:r>
          </w:p>
        </w:tc>
      </w:tr>
      <w:tr>
        <w:trPr>
          <w:trHeight w:val="269"/>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(80.5)</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14,637.3</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14,571.3</w:t>
            </w:r>
          </w:p>
        </w:tc>
      </w:tr>
      <w:tr>
        <w:trPr>
          <w:trHeight w:val="269"/>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18.9</w:t>
            </w:r>
          </w:p>
        </w:tc>
        <w:tc>
          <w:tcPr>
            <w:tcW w:w="2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14,656.2</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14,590.3</w:t>
            </w:r>
          </w:p>
        </w:tc>
      </w:tr>
      <w:tr>
        <w:trPr>
          <w:trHeight w:val="271"/>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36,475.3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35,568.9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4" w:right="239" w:bottom="5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4" w:right="239" w:bottom="565"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June 30,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65"/>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1,187.8</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1,130.3</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759.2</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726.0</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Change in deferred income taxes</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168.6</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(666.5)</w:t>
            </w: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127.0</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104.7</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Net payments for terminations of interest rate swaps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(3.4)</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(186.1)</w:t>
            </w:r>
          </w:p>
        </w:tc>
      </w:tr>
      <w:tr>
        <w:trPr>
          <w:trHeight w:val="271"/>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336.0</w:t>
            </w:r>
          </w:p>
        </w:tc>
      </w:tr>
      <w:tr>
        <w:trPr>
          <w:trHeight w:val="269"/>
        </w:trPr>
        <w:tc>
          <w:tcPr>
            <w:tcW w:w="7620" w:type="dxa"/>
            <w:vAlign w:val="bottom"/>
          </w:tcPr>
          <w:p>
            <w:pPr>
              <w:ind w:left="1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(1,399.9)</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(887.8)</w:t>
            </w:r>
          </w:p>
        </w:tc>
      </w:tr>
      <w:tr>
        <w:trPr>
          <w:trHeight w:val="27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non-cash operating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235.6</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307.2</w:t>
            </w:r>
          </w:p>
        </w:tc>
      </w:tr>
      <w:tr>
        <w:trPr>
          <w:trHeight w:val="26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Pr>
          <w:p>
            <w:pPr>
              <w:spacing w:after="0"/>
              <w:rPr>
                <w:sz w:val="22"/>
                <w:szCs w:val="22"/>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1,074.9</w:t>
            </w:r>
          </w:p>
        </w:tc>
        <w:tc>
          <w:tcPr>
            <w:tcW w:w="500" w:type="dxa"/>
            <w:vAlign w:val="bottom"/>
          </w:tcPr>
          <w:p>
            <w:pPr>
              <w:spacing w:after="0"/>
              <w:rPr>
                <w:sz w:val="22"/>
                <w:szCs w:val="22"/>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863.8</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Net purchases of property and equipment</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(399.7)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short-term investments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925.4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1,285.3</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(265.3)</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(588.5)</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 of noncurrent investments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919.3</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1,750.5</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noncurrent investments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(2,269.2)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(1,832.8)</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cash released for acquisition</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5,405.6</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Cash paid for acquisitions, net of cash acquired</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(45.0)</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(5,276.7)</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 of product rights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410.0</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Purchase of in-process research and development</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6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investing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(31.8)</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68"/>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(1,166.3)</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343.2</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(1,079.5)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(1,067.7)</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short-term borrowings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(2,679.3)</w:t>
            </w:r>
          </w:p>
        </w:tc>
      </w:tr>
      <w:tr>
        <w:trPr>
          <w:trHeight w:val="269"/>
        </w:trPr>
        <w:tc>
          <w:tcPr>
            <w:tcW w:w="7620" w:type="dxa"/>
            <w:vAlign w:val="bottom"/>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1,206.6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4,454.6</w:t>
            </w:r>
          </w:p>
        </w:tc>
      </w:tr>
      <w:tr>
        <w:trPr>
          <w:trHeight w:val="271"/>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w:t>
            </w:r>
          </w:p>
        </w:tc>
      </w:tr>
      <w:tr>
        <w:trPr>
          <w:trHeight w:val="265"/>
        </w:trPr>
        <w:tc>
          <w:tcPr>
            <w:tcW w:w="76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(300.1)</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(435.5)</w:t>
            </w:r>
          </w:p>
        </w:tc>
      </w:tr>
      <w:tr>
        <w:trPr>
          <w:trHeight w:val="274"/>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(62.5)</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r>
      <w:tr>
        <w:trPr>
          <w:trHeight w:val="264"/>
        </w:trPr>
        <w:tc>
          <w:tcPr>
            <w:tcW w:w="7620" w:type="dxa"/>
            <w:vAlign w:val="bottom"/>
          </w:tcPr>
          <w:p>
            <w:pPr>
              <w:ind w:left="40"/>
              <w:spacing w:after="0"/>
              <w:rPr>
                <w:sz w:val="20"/>
                <w:szCs w:val="20"/>
                <w:color w:val="auto"/>
              </w:rPr>
            </w:pPr>
            <w:r>
              <w:rPr>
                <w:rFonts w:ascii="Arial" w:cs="Arial" w:eastAsia="Arial" w:hAnsi="Arial"/>
                <w:sz w:val="18"/>
                <w:szCs w:val="18"/>
                <w:b w:val="1"/>
                <w:bCs w:val="1"/>
                <w:color w:val="auto"/>
              </w:rPr>
              <w:t>Net Cash Used for Financing Activities</w:t>
            </w:r>
          </w:p>
        </w:tc>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(237.0)</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(1,644.4)</w:t>
            </w: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5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78"/>
        </w:trPr>
        <w:tc>
          <w:tcPr>
            <w:tcW w:w="7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(428.4)</w:t>
            </w:r>
          </w:p>
        </w:tc>
        <w:tc>
          <w:tcPr>
            <w:tcW w:w="5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r>
      <w:tr>
        <w:trPr>
          <w:trHeight w:val="265"/>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January 1</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3,666.4</w:t>
            </w:r>
          </w:p>
        </w:tc>
        <w:tc>
          <w:tcPr>
            <w:tcW w:w="5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3,871.6</w:t>
            </w:r>
          </w:p>
        </w:tc>
      </w:tr>
      <w:tr>
        <w:trPr>
          <w:trHeight w:val="275"/>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June 30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3,238.0</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3,315.5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69"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2015. We issued our financial statements by filing with the Securities and Exchange Commission and have evaluated subsequent events up to the time of the filing.</w:t>
      </w:r>
    </w:p>
    <w:p>
      <w:pPr>
        <w:spacing w:after="0" w:line="5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3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7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following table provides a brief description of accounting standards that have not yet been adopted and could have a material effect on our financial statements: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36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203"/>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01"/>
        </w:trPr>
        <w:tc>
          <w:tcPr>
            <w:tcW w:w="22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6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This standard will replace existing revenue</w:t>
            </w:r>
          </w:p>
        </w:tc>
        <w:tc>
          <w:tcPr>
            <w:tcW w:w="2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 are in the process of evaluating the</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2014-09, </w:t>
            </w:r>
            <w:r>
              <w:rPr>
                <w:rFonts w:ascii="Arial" w:cs="Arial" w:eastAsia="Arial" w:hAnsi="Arial"/>
                <w:sz w:val="18"/>
                <w:szCs w:val="18"/>
                <w:i w:val="1"/>
                <w:iCs w:val="1"/>
                <w:color w:val="auto"/>
              </w:rPr>
              <w:t>Revenue</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recognition standards and will require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January 1, 2018, but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of the adoption of the standard,</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from Contracts with</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entities to recognize revenues to depict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are permitted to adopt</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but do not yet have enough information</w:t>
            </w:r>
          </w:p>
        </w:tc>
      </w:tr>
      <w:tr>
        <w:trPr>
          <w:trHeight w:val="203"/>
        </w:trPr>
        <w:tc>
          <w:tcPr>
            <w:tcW w:w="2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Customers</w:t>
            </w: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transfer of promised goods or services to</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this standard one year</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to estimate the anticipated impact on our</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customers in an amount that reflects the</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earlier if we choose. We</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consideration to which the entity expects to</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intend to adopt this</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be entitled in exchange for those goods or</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on January 1,</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services. An entity can apply the new</w:t>
            </w:r>
          </w:p>
        </w:tc>
        <w:tc>
          <w:tcPr>
            <w:tcW w:w="21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2018.</w:t>
            </w: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revenue standard retrospectively to each</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prior reporting period presented or with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cumulative effect of initially applying the</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240" w:type="dxa"/>
            <w:vAlign w:val="bottom"/>
            <w:shd w:val="clear" w:color="auto" w:fill="CCEEFF"/>
          </w:tcPr>
          <w:p>
            <w:pPr>
              <w:spacing w:after="0"/>
              <w:rPr>
                <w:sz w:val="17"/>
                <w:szCs w:val="17"/>
                <w:color w:val="auto"/>
              </w:rPr>
            </w:pPr>
          </w:p>
        </w:tc>
        <w:tc>
          <w:tcPr>
            <w:tcW w:w="36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standard recognized at the date of initial</w:t>
            </w:r>
          </w:p>
        </w:tc>
        <w:tc>
          <w:tcPr>
            <w:tcW w:w="21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52"/>
        </w:trPr>
        <w:tc>
          <w:tcPr>
            <w:tcW w:w="2240" w:type="dxa"/>
            <w:vAlign w:val="bottom"/>
            <w:shd w:val="clear" w:color="auto" w:fill="CCEEFF"/>
          </w:tcPr>
          <w:p>
            <w:pPr>
              <w:spacing w:after="0"/>
              <w:rPr>
                <w:sz w:val="21"/>
                <w:szCs w:val="21"/>
                <w:color w:val="auto"/>
              </w:rPr>
            </w:pPr>
          </w:p>
        </w:tc>
        <w:tc>
          <w:tcPr>
            <w:tcW w:w="3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application in retained earnings.</w:t>
            </w:r>
          </w:p>
        </w:tc>
        <w:tc>
          <w:tcPr>
            <w:tcW w:w="218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r>
      <w:tr>
        <w:trPr>
          <w:trHeight w:val="463"/>
        </w:trPr>
        <w:tc>
          <w:tcPr>
            <w:tcW w:w="2240" w:type="dxa"/>
            <w:vAlign w:val="bottom"/>
          </w:tcPr>
          <w:p>
            <w:pPr>
              <w:spacing w:after="0"/>
              <w:rPr>
                <w:sz w:val="24"/>
                <w:szCs w:val="24"/>
                <w:color w:val="auto"/>
              </w:rPr>
            </w:pPr>
          </w:p>
        </w:tc>
        <w:tc>
          <w:tcPr>
            <w:tcW w:w="3640" w:type="dxa"/>
            <w:vAlign w:val="bottom"/>
          </w:tcPr>
          <w:p>
            <w:pPr>
              <w:ind w:left="3420"/>
              <w:spacing w:after="0"/>
              <w:rPr>
                <w:sz w:val="20"/>
                <w:szCs w:val="20"/>
                <w:color w:val="auto"/>
              </w:rPr>
            </w:pPr>
            <w:r>
              <w:rPr>
                <w:rFonts w:ascii="Arial" w:cs="Arial" w:eastAsia="Arial" w:hAnsi="Arial"/>
                <w:sz w:val="18"/>
                <w:szCs w:val="18"/>
                <w:color w:val="auto"/>
              </w:rPr>
              <w:t>8</w:t>
            </w:r>
          </w:p>
        </w:tc>
        <w:tc>
          <w:tcPr>
            <w:tcW w:w="21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8" w:name="page9"/>
    <w:bookmarkEnd w:id="8"/>
    <w:p>
      <w:pPr>
        <w:ind w:left="8140"/>
        <w:spacing w:after="0"/>
        <w:rPr>
          <w:sz w:val="20"/>
          <w:szCs w:val="20"/>
          <w:color w:val="auto"/>
        </w:rPr>
      </w:pPr>
      <w:r>
        <w:rPr>
          <w:rFonts w:ascii="Arial" w:cs="Arial" w:eastAsia="Arial" w:hAnsi="Arial"/>
          <w:sz w:val="14"/>
          <w:szCs w:val="14"/>
          <w:b w:val="1"/>
          <w:bCs w:val="1"/>
          <w:color w:val="auto"/>
        </w:rPr>
        <w:t>Effect on the financial statements or other</w:t>
      </w:r>
    </w:p>
    <w:p>
      <w:pPr>
        <w:spacing w:after="0" w:line="21" w:lineRule="exact"/>
        <w:rPr>
          <w:sz w:val="20"/>
          <w:szCs w:val="20"/>
          <w:color w:val="auto"/>
        </w:rPr>
      </w:pPr>
    </w:p>
    <w:p>
      <w:pPr>
        <w:ind w:left="40"/>
        <w:spacing w:after="0"/>
        <w:tabs>
          <w:tab w:leader="none" w:pos="2320" w:val="left"/>
          <w:tab w:leader="none" w:pos="5960" w:val="left"/>
          <w:tab w:leader="none" w:pos="812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41"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spacing w:after="0" w:line="13"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recognize changes in the fair value of</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equity investments with readily</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determinable fair values in net income</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(except for investments accounted for</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under the equity method of accounting or</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those that result in consolidation of the</w:t>
      </w:r>
    </w:p>
    <w:p>
      <w:pPr>
        <w:ind w:left="2340"/>
        <w:spacing w:after="0" w:line="259" w:lineRule="auto"/>
        <w:rPr>
          <w:sz w:val="20"/>
          <w:szCs w:val="20"/>
          <w:color w:val="auto"/>
        </w:rPr>
      </w:pPr>
      <w:r>
        <w:rPr>
          <w:rFonts w:ascii="Arial" w:cs="Arial" w:eastAsia="Arial" w:hAnsi="Arial"/>
          <w:sz w:val="17"/>
          <w:szCs w:val="17"/>
          <w:color w:val="auto"/>
        </w:rPr>
        <w:t>investee). An entity should apply the new 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This standard is effective January 1, 2018. Early adoption of the majority of the amendments in this standard is not permitted, however, early application of certain amendments is permitted. We intend to fully adopt this standard on January 1, 2018.</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We are unable to estimate the impact of adopting this standard as the significance of the impact will depend upon our equity investments as of the date of adoption.</w:t>
      </w:r>
    </w:p>
    <w:p>
      <w:pPr>
        <w:spacing w:after="0" w:line="1228" w:lineRule="exact"/>
        <w:rPr>
          <w:sz w:val="20"/>
          <w:szCs w:val="20"/>
          <w:color w:val="auto"/>
        </w:rPr>
      </w:pPr>
    </w:p>
    <w:p>
      <w:pPr>
        <w:sectPr>
          <w:pgSz w:w="11900" w:h="16838" w:orient="portrait"/>
          <w:cols w:equalWidth="0" w:num="3">
            <w:col w:w="5600" w:space="380"/>
            <w:col w:w="1980" w:space="180"/>
            <w:col w:w="328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21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Accounting Standards</w:t>
            </w:r>
          </w:p>
        </w:tc>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This standard was issued to increase</w:t>
            </w:r>
          </w:p>
        </w:tc>
        <w:tc>
          <w:tcPr>
            <w:tcW w:w="21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This standard is effective</w:t>
            </w:r>
          </w:p>
        </w:tc>
        <w:tc>
          <w:tcPr>
            <w:tcW w:w="33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We are in the process of determining our</w:t>
            </w:r>
          </w:p>
        </w:tc>
      </w:tr>
      <w:tr>
        <w:trPr>
          <w:trHeight w:val="203"/>
        </w:trPr>
        <w:tc>
          <w:tcPr>
            <w:tcW w:w="2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Update 2016-02, </w:t>
            </w:r>
            <w:r>
              <w:rPr>
                <w:rFonts w:ascii="Arial" w:cs="Arial" w:eastAsia="Arial" w:hAnsi="Arial"/>
                <w:sz w:val="18"/>
                <w:szCs w:val="18"/>
                <w:i w:val="1"/>
                <w:iCs w:val="1"/>
                <w:color w:val="auto"/>
              </w:rPr>
              <w:t>Leases</w:t>
            </w: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transparency and comparability among</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January 1, 2019, with</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approach to adopting the standard, as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early adoption permitted.</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well as the anticipated impact on our</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lease liabilities, including leases</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We intend to adopt this</w:t>
            </w: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standard on January 1,</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GAAP, on the balance sheet and requiring</w:t>
            </w:r>
          </w:p>
        </w:tc>
        <w:tc>
          <w:tcPr>
            <w:tcW w:w="21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2019.</w:t>
            </w: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disclosures about leasing</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arrangements. This standard requires a</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03"/>
        </w:trPr>
        <w:tc>
          <w:tcPr>
            <w:tcW w:w="2160" w:type="dxa"/>
            <w:vAlign w:val="bottom"/>
            <w:shd w:val="clear" w:color="auto" w:fill="CCEEFF"/>
          </w:tcPr>
          <w:p>
            <w:pPr>
              <w:spacing w:after="0"/>
              <w:rPr>
                <w:sz w:val="17"/>
                <w:szCs w:val="17"/>
                <w:color w:val="auto"/>
              </w:rPr>
            </w:pPr>
          </w:p>
        </w:tc>
        <w:tc>
          <w:tcPr>
            <w:tcW w:w="3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modified retrospective approach to</w:t>
            </w:r>
          </w:p>
        </w:tc>
        <w:tc>
          <w:tcPr>
            <w:tcW w:w="21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r>
      <w:tr>
        <w:trPr>
          <w:trHeight w:val="243"/>
        </w:trPr>
        <w:tc>
          <w:tcPr>
            <w:tcW w:w="2160" w:type="dxa"/>
            <w:vAlign w:val="bottom"/>
            <w:shd w:val="clear" w:color="auto" w:fill="CCEEFF"/>
          </w:tcPr>
          <w:p>
            <w:pPr>
              <w:spacing w:after="0"/>
              <w:rPr>
                <w:sz w:val="21"/>
                <w:szCs w:val="21"/>
                <w:color w:val="auto"/>
              </w:rPr>
            </w:pPr>
          </w:p>
        </w:tc>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w:t>
            </w:r>
          </w:p>
        </w:tc>
        <w:tc>
          <w:tcPr>
            <w:tcW w:w="216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r>
      <w:tr>
        <w:trPr>
          <w:trHeight w:val="185"/>
        </w:trPr>
        <w:tc>
          <w:tcPr>
            <w:tcW w:w="2160" w:type="dxa"/>
            <w:vAlign w:val="bottom"/>
            <w:shd w:val="clear" w:color="auto" w:fill="CCEEFF"/>
          </w:tcPr>
          <w:p>
            <w:pPr>
              <w:spacing w:after="0"/>
              <w:rPr>
                <w:sz w:val="16"/>
                <w:szCs w:val="16"/>
                <w:color w:val="auto"/>
              </w:rPr>
            </w:pPr>
          </w:p>
        </w:tc>
        <w:tc>
          <w:tcPr>
            <w:tcW w:w="374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3360" w:type="dxa"/>
            <w:vAlign w:val="bottom"/>
            <w:shd w:val="clear" w:color="auto" w:fill="CCEEFF"/>
          </w:tcPr>
          <w:p>
            <w:pPr>
              <w:spacing w:after="0"/>
              <w:rPr>
                <w:sz w:val="16"/>
                <w:szCs w:val="16"/>
                <w:color w:val="auto"/>
              </w:rPr>
            </w:pPr>
          </w:p>
        </w:tc>
      </w:tr>
    </w:tbl>
    <w:p>
      <w:pPr>
        <w:spacing w:after="0" w:line="4" w:lineRule="exact"/>
        <w:rPr>
          <w:sz w:val="20"/>
          <w:szCs w:val="20"/>
          <w:color w:val="auto"/>
        </w:rPr>
      </w:pPr>
    </w:p>
    <w:p>
      <w:pPr>
        <w:sectPr>
          <w:pgSz w:w="11900" w:h="16838" w:orient="portrait"/>
          <w:cols w:equalWidth="0" w:num="1">
            <w:col w:w="11420"/>
          </w:cols>
          <w:pgMar w:left="240" w:top="908" w:right="239" w:bottom="1440" w:gutter="0" w:footer="0" w:header="0"/>
          <w:type w:val="continuous"/>
        </w:sectPr>
      </w:pPr>
    </w:p>
    <w:p>
      <w:pPr>
        <w:ind w:left="40"/>
        <w:spacing w:after="0"/>
        <w:tabs>
          <w:tab w:leader="none" w:pos="232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will require entities to</w:t>
      </w:r>
    </w:p>
    <w:p>
      <w:pPr>
        <w:spacing w:after="0" w:line="13"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color w:val="auto"/>
        </w:rPr>
        <w:t>Update 2016-09,</w:t>
      </w:r>
      <w:r>
        <w:rPr>
          <w:sz w:val="20"/>
          <w:szCs w:val="20"/>
          <w:color w:val="auto"/>
        </w:rPr>
        <w:tab/>
      </w:r>
      <w:r>
        <w:rPr>
          <w:rFonts w:ascii="Arial" w:cs="Arial" w:eastAsia="Arial" w:hAnsi="Arial"/>
          <w:sz w:val="17"/>
          <w:szCs w:val="17"/>
          <w:color w:val="auto"/>
        </w:rPr>
        <w:t>recognize all excess tax benefits and tax</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Compensation - Stock</w:t>
      </w:r>
      <w:r>
        <w:rPr>
          <w:sz w:val="20"/>
          <w:szCs w:val="20"/>
          <w:color w:val="auto"/>
        </w:rPr>
        <w:tab/>
      </w:r>
      <w:r>
        <w:rPr>
          <w:rFonts w:ascii="Arial" w:cs="Arial" w:eastAsia="Arial" w:hAnsi="Arial"/>
          <w:sz w:val="17"/>
          <w:szCs w:val="17"/>
          <w:color w:val="auto"/>
        </w:rPr>
        <w:t>deficiencies in the statement of operations</w:t>
      </w:r>
    </w:p>
    <w:p>
      <w:pPr>
        <w:ind w:left="40"/>
        <w:spacing w:after="0" w:line="235" w:lineRule="auto"/>
        <w:tabs>
          <w:tab w:leader="none" w:pos="2320" w:val="left"/>
        </w:tabs>
        <w:rPr>
          <w:sz w:val="20"/>
          <w:szCs w:val="20"/>
          <w:color w:val="auto"/>
        </w:rPr>
      </w:pPr>
      <w:r>
        <w:rPr>
          <w:rFonts w:ascii="Arial" w:cs="Arial" w:eastAsia="Arial" w:hAnsi="Arial"/>
          <w:sz w:val="18"/>
          <w:szCs w:val="18"/>
          <w:i w:val="1"/>
          <w:iCs w:val="1"/>
          <w:color w:val="auto"/>
        </w:rPr>
        <w:t>Compensation:</w:t>
      </w:r>
      <w:r>
        <w:rPr>
          <w:sz w:val="20"/>
          <w:szCs w:val="20"/>
          <w:color w:val="auto"/>
        </w:rPr>
        <w:tab/>
      </w:r>
      <w:r>
        <w:rPr>
          <w:rFonts w:ascii="Arial" w:cs="Arial" w:eastAsia="Arial" w:hAnsi="Arial"/>
          <w:sz w:val="18"/>
          <w:szCs w:val="18"/>
          <w:color w:val="auto"/>
        </w:rPr>
        <w:t>as a discrete item in the reporting period in</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Improvements to</w:t>
      </w:r>
      <w:r>
        <w:rPr>
          <w:sz w:val="20"/>
          <w:szCs w:val="20"/>
          <w:color w:val="auto"/>
        </w:rPr>
        <w:tab/>
      </w:r>
      <w:r>
        <w:rPr>
          <w:rFonts w:ascii="Arial" w:cs="Arial" w:eastAsia="Arial" w:hAnsi="Arial"/>
          <w:sz w:val="17"/>
          <w:szCs w:val="17"/>
          <w:color w:val="auto"/>
        </w:rPr>
        <w:t>which they occur. The standard also allows</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Employee Share-Based</w:t>
      </w:r>
      <w:r>
        <w:rPr>
          <w:sz w:val="20"/>
          <w:szCs w:val="20"/>
          <w:color w:val="auto"/>
        </w:rPr>
        <w:tab/>
      </w:r>
      <w:r>
        <w:rPr>
          <w:rFonts w:ascii="Arial" w:cs="Arial" w:eastAsia="Arial" w:hAnsi="Arial"/>
          <w:sz w:val="17"/>
          <w:szCs w:val="17"/>
          <w:color w:val="auto"/>
        </w:rPr>
        <w:t>an employer to withhold up to the maximum</w:t>
      </w:r>
    </w:p>
    <w:p>
      <w:pPr>
        <w:ind w:left="40"/>
        <w:spacing w:after="0"/>
        <w:tabs>
          <w:tab w:leader="none" w:pos="2320" w:val="left"/>
        </w:tabs>
        <w:rPr>
          <w:sz w:val="20"/>
          <w:szCs w:val="20"/>
          <w:color w:val="auto"/>
        </w:rPr>
      </w:pPr>
      <w:r>
        <w:rPr>
          <w:rFonts w:ascii="Arial" w:cs="Arial" w:eastAsia="Arial" w:hAnsi="Arial"/>
          <w:sz w:val="18"/>
          <w:szCs w:val="18"/>
          <w:i w:val="1"/>
          <w:iCs w:val="1"/>
          <w:color w:val="auto"/>
        </w:rPr>
        <w:t>Payment Accounting</w:t>
      </w:r>
      <w:r>
        <w:rPr>
          <w:sz w:val="20"/>
          <w:szCs w:val="20"/>
          <w:color w:val="auto"/>
        </w:rPr>
        <w:tab/>
      </w:r>
      <w:r>
        <w:rPr>
          <w:rFonts w:ascii="Arial" w:cs="Arial" w:eastAsia="Arial" w:hAnsi="Arial"/>
          <w:sz w:val="17"/>
          <w:szCs w:val="17"/>
          <w:color w:val="auto"/>
        </w:rPr>
        <w:t>statutory tax rate and still qualify for equity</w:t>
      </w:r>
    </w:p>
    <w:p>
      <w:pPr>
        <w:ind w:left="2340" w:right="120"/>
        <w:spacing w:after="0" w:line="236" w:lineRule="auto"/>
        <w:rPr>
          <w:sz w:val="20"/>
          <w:szCs w:val="20"/>
          <w:color w:val="auto"/>
        </w:rPr>
      </w:pPr>
      <w:r>
        <w:rPr>
          <w:rFonts w:ascii="Arial" w:cs="Arial" w:eastAsia="Arial" w:hAnsi="Arial"/>
          <w:sz w:val="18"/>
          <w:szCs w:val="18"/>
          <w:color w:val="auto"/>
        </w:rPr>
        <w:t>classification. Classification of excess tax benefits on the statement of cash flows should be classified as an operating activity, and employee taxes paid when an employer withholds shares for tax-withholding purposes should be classified as a financing activity. The provisions that affect the statement of operations will be effective prospectively in the year of adoption and the provisions that affect the statement of cash flows will be effective retrospectively.</w:t>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Arial" w:cs="Arial" w:eastAsia="Arial" w:hAnsi="Arial"/>
          <w:sz w:val="17"/>
          <w:szCs w:val="17"/>
          <w:color w:val="auto"/>
        </w:rPr>
        <w:t>This standard is effective January 1, 2017. Early adoption is permitted. We are evaluating our anticipated date of adoption.</w:t>
      </w:r>
    </w:p>
    <w:p>
      <w:pPr>
        <w:spacing w:after="0" w:line="20" w:lineRule="exact"/>
        <w:rPr>
          <w:sz w:val="20"/>
          <w:szCs w:val="20"/>
          <w:color w:val="auto"/>
        </w:rPr>
      </w:pPr>
      <w:r>
        <w:rPr>
          <w:sz w:val="20"/>
          <w:szCs w:val="20"/>
          <w:color w:val="auto"/>
        </w:rPr>
        <w:br w:type="column"/>
      </w:r>
    </w:p>
    <w:p>
      <w:pPr>
        <w:ind w:right="120"/>
        <w:spacing w:after="0" w:line="238" w:lineRule="auto"/>
        <w:rPr>
          <w:sz w:val="20"/>
          <w:szCs w:val="20"/>
          <w:color w:val="auto"/>
        </w:rPr>
      </w:pPr>
      <w:r>
        <w:rPr>
          <w:rFonts w:ascii="Arial" w:cs="Arial" w:eastAsia="Arial" w:hAnsi="Arial"/>
          <w:sz w:val="18"/>
          <w:szCs w:val="18"/>
          <w:color w:val="auto"/>
        </w:rPr>
        <w:t>We do not believe the impact of adopting this standard will have a material impact on our consolidated financial statements. We cannot predict the impact on our consolidated financial statements in future reporting periods following adoption as this will be dependent upon various factors including the number of shares issued and changes in the price of our stock between the grant date and settlement date.</w:t>
      </w:r>
    </w:p>
    <w:p>
      <w:pPr>
        <w:spacing w:after="0" w:line="1619" w:lineRule="exact"/>
        <w:rPr>
          <w:sz w:val="20"/>
          <w:szCs w:val="20"/>
          <w:color w:val="auto"/>
        </w:rPr>
      </w:pPr>
    </w:p>
    <w:p>
      <w:pPr>
        <w:sectPr>
          <w:pgSz w:w="11900" w:h="16838" w:orient="portrait"/>
          <w:cols w:equalWidth="0" w:num="3">
            <w:col w:w="5820" w:space="160"/>
            <w:col w:w="1980" w:space="180"/>
            <w:col w:w="3280"/>
          </w:cols>
          <w:pgMar w:left="240" w:top="908" w:right="239" w:bottom="144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08"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Acquisitions</w:t>
      </w:r>
    </w:p>
    <w:p>
      <w:pPr>
        <w:spacing w:after="0" w:line="17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On January 1, 2015, we completed the acquisition of Novartis Animal Health (Novartis AH).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(U.S.) and Canada (collectively, North America) through a modification of our existing arrangement. We also had an immaterial acquisition of a business in April 2016. These transactions were accounted for as business combinations under the acquisition method of accounting. See Note 4 for additional information related to the Erbitux arrangement.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dates of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acquisitions of businesses, we also acquired assets in development in the six months ended June 30, 2015, which are further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discussed in this note below in Asset Acquisitions. Upon acquisition, the acquired in-process research and development (IPR&amp;D)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was immediately written off as an expense because the products had no alternative future use.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2016, we recorded no acquired IPR&amp;D charges. There were acquired IPR&amp;D charges of $80.0 million and $336.0 million for the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six months ended June 30, 2015, respectively. The 2015 charges included the transactions discussed below in Asset Acquisitions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upfront fee of $200.0 million related to tanezumab. See Note 4 for additional information related to the tanezumab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were exclusively related to the Novartis AH business in an all-cash transaction for a total purchase price of $5.28 billion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$5.41 billion of which was funded by cash held in escrow at December 31, 2014.</w:t>
      </w:r>
    </w:p>
    <w:p>
      <w:pPr>
        <w:spacing w:after="0" w:line="5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w:t>
      </w:r>
    </w:p>
    <w:p>
      <w:pPr>
        <w:spacing w:after="0" w:line="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acquired Novartis AH business consisted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7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380.2</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1,953.0</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422.7</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5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5"/>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95" w:lineRule="exact"/>
        <w:rPr>
          <w:sz w:val="20"/>
          <w:szCs w:val="20"/>
          <w:color w:val="auto"/>
        </w:rPr>
      </w:pPr>
    </w:p>
    <w:p>
      <w:pPr>
        <w:ind w:left="180" w:right="220" w:hanging="172"/>
        <w:spacing w:after="0" w:line="239" w:lineRule="auto"/>
        <w:tabs>
          <w:tab w:leader="none" w:pos="153"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19 years.</w:t>
      </w:r>
    </w:p>
    <w:p>
      <w:pPr>
        <w:spacing w:after="0" w:line="77" w:lineRule="exact"/>
        <w:rPr>
          <w:rFonts w:ascii="Arial" w:cs="Arial" w:eastAsia="Arial" w:hAnsi="Arial"/>
          <w:sz w:val="17"/>
          <w:szCs w:val="17"/>
          <w:color w:val="auto"/>
          <w:vertAlign w:val="superscript"/>
        </w:rPr>
      </w:pPr>
    </w:p>
    <w:p>
      <w:pPr>
        <w:ind w:left="180" w:hanging="172"/>
        <w:spacing w:after="0"/>
        <w:tabs>
          <w:tab w:leader="none" w:pos="153" w:val="left"/>
        </w:tabs>
        <w:numPr>
          <w:ilvl w:val="0"/>
          <w:numId w:val="1"/>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Novartis AH with our legacy animal health business, future unidentified projects and products, and the assembled workforce of Novartis AH. Approximately $1.0 billion of the goodwill associated with this acquisition will be deductible for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our asset acquisitions during the six months ended June 30, 2015 which are discussed in detail below. There were no asset acquisitions during the six months ended June 30, 2016.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30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Counterparty</w:t>
            </w:r>
          </w:p>
        </w:tc>
        <w:tc>
          <w:tcPr>
            <w:tcW w:w="34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Compound(s) or Therapy</w:t>
            </w:r>
          </w:p>
        </w:tc>
        <w:tc>
          <w:tcPr>
            <w:tcW w:w="16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3060" w:type="dxa"/>
            <w:vAlign w:val="bottom"/>
            <w:shd w:val="clear" w:color="auto" w:fill="CCEEFF"/>
          </w:tcPr>
          <w:p>
            <w:pPr>
              <w:spacing w:after="0"/>
              <w:rPr>
                <w:sz w:val="17"/>
                <w:szCs w:val="17"/>
                <w:color w:val="auto"/>
              </w:rPr>
            </w:pPr>
          </w:p>
        </w:tc>
        <w:tc>
          <w:tcPr>
            <w:tcW w:w="34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Monoclonal antibody targeting protein</w:t>
            </w:r>
          </w:p>
        </w:tc>
        <w:tc>
          <w:tcPr>
            <w:tcW w:w="16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1"/>
                <w:szCs w:val="21"/>
                <w:color w:val="auto"/>
              </w:rPr>
            </w:pP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CD-20</w:t>
            </w:r>
          </w:p>
        </w:tc>
        <w:tc>
          <w:tcPr>
            <w:tcW w:w="164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Innovent Biologics, Inc. (Innovent)</w:t>
            </w:r>
          </w:p>
        </w:tc>
        <w:tc>
          <w:tcPr>
            <w:tcW w:w="34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Immuno-oncology molecules</w:t>
            </w:r>
          </w:p>
        </w:tc>
        <w:tc>
          <w:tcPr>
            <w:tcW w:w="16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8"/>
              </w:rPr>
              <w:t>March 2015</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xml:space="preserve">Pre-clinical </w:t>
            </w:r>
            <w:r>
              <w:rPr>
                <w:rFonts w:ascii="Arial" w:cs="Arial" w:eastAsia="Arial" w:hAnsi="Arial"/>
                <w:sz w:val="21"/>
                <w:szCs w:val="21"/>
                <w:color w:val="auto"/>
                <w:w w:val="96"/>
                <w:vertAlign w:val="superscript"/>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8"/>
        </w:trPr>
        <w:tc>
          <w:tcPr>
            <w:tcW w:w="3060" w:type="dxa"/>
            <w:vAlign w:val="bottom"/>
            <w:shd w:val="clear" w:color="auto" w:fill="CCEEFF"/>
          </w:tcPr>
          <w:p>
            <w:pPr>
              <w:spacing w:after="0"/>
              <w:rPr>
                <w:sz w:val="5"/>
                <w:szCs w:val="5"/>
                <w:color w:val="auto"/>
              </w:rPr>
            </w:pPr>
          </w:p>
        </w:tc>
        <w:tc>
          <w:tcPr>
            <w:tcW w:w="3400" w:type="dxa"/>
            <w:vAlign w:val="bottom"/>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10"/>
        </w:trPr>
        <w:tc>
          <w:tcPr>
            <w:tcW w:w="3060" w:type="dxa"/>
            <w:vAlign w:val="bottom"/>
            <w:tcBorders>
              <w:bottom w:val="single" w:sz="8" w:color="auto"/>
            </w:tcBorders>
            <w:shd w:val="clear" w:color="auto" w:fill="CCEEFF"/>
          </w:tcPr>
          <w:p>
            <w:pPr>
              <w:spacing w:after="0"/>
              <w:rPr>
                <w:sz w:val="24"/>
                <w:szCs w:val="24"/>
                <w:color w:val="auto"/>
              </w:rPr>
            </w:pPr>
          </w:p>
        </w:tc>
        <w:tc>
          <w:tcPr>
            <w:tcW w:w="3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cMet monoclonal antibody</w:t>
            </w:r>
          </w:p>
        </w:tc>
        <w:tc>
          <w:tcPr>
            <w:tcW w:w="164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Hanmi Pharmaceutical Co., Ltd. (Hanmi) BTK Inhibitor - HM71224</w:t>
            </w:r>
          </w:p>
        </w:tc>
        <w:tc>
          <w:tcPr>
            <w:tcW w:w="1640" w:type="dxa"/>
            <w:vAlign w:val="bottom"/>
          </w:tcPr>
          <w:p>
            <w:pPr>
              <w:jc w:val="center"/>
              <w:ind w:right="54"/>
              <w:spacing w:after="0"/>
              <w:rPr>
                <w:sz w:val="20"/>
                <w:szCs w:val="20"/>
                <w:color w:val="auto"/>
              </w:rPr>
            </w:pPr>
            <w:r>
              <w:rPr>
                <w:rFonts w:ascii="Arial" w:cs="Arial" w:eastAsia="Arial" w:hAnsi="Arial"/>
                <w:sz w:val="18"/>
                <w:szCs w:val="18"/>
                <w:color w:val="auto"/>
              </w:rPr>
              <w:t>April 2015</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BioNTech AG (BioNTech)</w:t>
            </w: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Cancer immunotherapies</w:t>
            </w:r>
          </w:p>
        </w:tc>
        <w:tc>
          <w:tcPr>
            <w:tcW w:w="164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8"/>
              </w:rPr>
              <w:t>May 2015</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
        </w:trPr>
        <w:tc>
          <w:tcPr>
            <w:tcW w:w="306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40" w:hanging="132"/>
        <w:spacing w:after="0"/>
        <w:tabs>
          <w:tab w:leader="none" w:pos="140" w:val="left"/>
        </w:tabs>
        <w:numPr>
          <w:ilvl w:val="0"/>
          <w:numId w:val="2"/>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w:t>
      </w:r>
    </w:p>
    <w:p>
      <w:pPr>
        <w:spacing w:after="0" w:line="100"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Prior to acquisition, Innovent's monoclonal antibody targeting protein CD-20 had received investigational new drug approval in China to begin Phase I development.</w:t>
      </w:r>
    </w:p>
    <w:p>
      <w:pPr>
        <w:spacing w:after="0" w:line="6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based on sales should these products be approved for commercialization and/or milestones based on the successful progress of the compounds through the development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6" w:right="239" w:bottom="1440" w:gutter="0" w:footer="0" w:header="0"/>
        </w:sectPr>
      </w:pPr>
    </w:p>
    <w:bookmarkStart w:id="11" w:name="page12"/>
    <w:bookmarkEnd w:id="11"/>
    <w:p>
      <w:pPr>
        <w:ind w:right="160"/>
        <w:spacing w:after="0" w:line="260"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67" w:lineRule="exact"/>
        <w:rPr>
          <w:sz w:val="20"/>
          <w:szCs w:val="20"/>
          <w:color w:val="auto"/>
        </w:rPr>
      </w:pPr>
    </w:p>
    <w:p>
      <w:pPr>
        <w:jc w:val="both"/>
        <w:ind w:right="920"/>
        <w:spacing w:after="0" w:line="271"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have rights to the molecule for all indications on a worldwide basis excluding Korea. We will be responsible for leading development, regulatory, manufacturing, and commercial efforts in our territories.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w:t>
      </w:r>
    </w:p>
    <w:p>
      <w:pPr>
        <w:spacing w:after="0" w:line="7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condensed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208.5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233.4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390.8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429.5</w:t>
            </w:r>
          </w:p>
        </w:tc>
      </w:tr>
    </w:tbl>
    <w:p>
      <w:pPr>
        <w:spacing w:after="0" w:line="13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Boehringer Ingelheim Diabetes Collaboration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table below summarizes significant regulatory and commercialization events and milestones (received) paid for the compounds included in this collaboration: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Milestones</w:t>
            </w:r>
          </w:p>
        </w:tc>
        <w:tc>
          <w:tcPr>
            <w:tcW w:w="1240" w:type="dxa"/>
            <w:vAlign w:val="bottom"/>
          </w:tcPr>
          <w:p>
            <w:pPr>
              <w:spacing w:after="0"/>
              <w:rPr>
                <w:sz w:val="14"/>
                <w:szCs w:val="14"/>
                <w:color w:val="auto"/>
              </w:rPr>
            </w:pPr>
          </w:p>
        </w:tc>
      </w:tr>
      <w:tr>
        <w:trPr>
          <w:trHeight w:val="204"/>
        </w:trPr>
        <w:tc>
          <w:tcPr>
            <w:tcW w:w="254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Product Status</w:t>
            </w:r>
          </w:p>
        </w:tc>
        <w:tc>
          <w:tcPr>
            <w:tcW w:w="1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08"/>
        </w:trPr>
        <w:tc>
          <w:tcPr>
            <w:tcW w:w="2540" w:type="dxa"/>
            <w:vAlign w:val="bottom"/>
          </w:tcPr>
          <w:p>
            <w:pPr>
              <w:ind w:left="700"/>
              <w:spacing w:after="0"/>
              <w:rPr>
                <w:sz w:val="20"/>
                <w:szCs w:val="20"/>
                <w:color w:val="auto"/>
              </w:rPr>
            </w:pPr>
            <w:r>
              <w:rPr>
                <w:rFonts w:ascii="Arial" w:cs="Arial" w:eastAsia="Arial" w:hAnsi="Arial"/>
                <w:sz w:val="14"/>
                <w:szCs w:val="14"/>
                <w:b w:val="1"/>
                <w:bCs w:val="1"/>
                <w:color w:val="auto"/>
              </w:rPr>
              <w:t>Product Family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Japan</w:t>
            </w:r>
          </w:p>
        </w:tc>
        <w:tc>
          <w:tcPr>
            <w:tcW w:w="1560" w:type="dxa"/>
            <w:vAlign w:val="bottom"/>
          </w:tcPr>
          <w:p>
            <w:pPr>
              <w:jc w:val="center"/>
              <w:ind w:left="54"/>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18"/>
                <w:szCs w:val="18"/>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Amount</w:t>
            </w:r>
          </w:p>
        </w:tc>
      </w:tr>
      <w:tr>
        <w:trPr>
          <w:trHeight w:val="56"/>
        </w:trPr>
        <w:tc>
          <w:tcPr>
            <w:tcW w:w="25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Launched 2011</w:t>
            </w: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Launched 2011</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446.4</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2014</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299.5</w:t>
            </w:r>
          </w:p>
        </w:tc>
      </w:tr>
      <w:tr>
        <w:trPr>
          <w:trHeight w:val="262"/>
        </w:trPr>
        <w:tc>
          <w:tcPr>
            <w:tcW w:w="2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2016</w:t>
            </w:r>
          </w:p>
        </w:tc>
        <w:tc>
          <w:tcPr>
            <w:tcW w:w="6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(187.5)</w:t>
            </w:r>
          </w:p>
        </w:tc>
      </w:tr>
      <w:tr>
        <w:trPr>
          <w:trHeight w:val="289"/>
        </w:trPr>
        <w:tc>
          <w:tcPr>
            <w:tcW w:w="2540" w:type="dxa"/>
            <w:vAlign w:val="bottom"/>
          </w:tcPr>
          <w:p>
            <w:pPr>
              <w:ind w:left="40"/>
              <w:spacing w:after="0"/>
              <w:rPr>
                <w:sz w:val="20"/>
                <w:szCs w:val="20"/>
                <w:color w:val="auto"/>
              </w:rPr>
            </w:pPr>
            <w:r>
              <w:rPr>
                <w:rFonts w:ascii="Arial" w:cs="Arial" w:eastAsia="Arial" w:hAnsi="Arial"/>
                <w:sz w:val="18"/>
                <w:szCs w:val="18"/>
                <w:color w:val="auto"/>
              </w:rPr>
              <w:t>Basaglar</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 xml:space="preserve">Approved </w:t>
            </w:r>
            <w:r>
              <w:rPr>
                <w:rFonts w:ascii="Arial" w:cs="Arial" w:eastAsia="Arial" w:hAnsi="Arial"/>
                <w:sz w:val="21"/>
                <w:szCs w:val="21"/>
                <w:color w:val="auto"/>
                <w:w w:val="94"/>
                <w:vertAlign w:val="superscript"/>
              </w:rPr>
              <w:t>(4)</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Launched 2015</w:t>
            </w: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Launched 2015</w:t>
            </w:r>
          </w:p>
        </w:tc>
        <w:tc>
          <w:tcPr>
            <w:tcW w:w="1560" w:type="dxa"/>
            <w:vAlign w:val="bottom"/>
          </w:tcPr>
          <w:p>
            <w:pPr>
              <w:jc w:val="center"/>
              <w:ind w:left="74"/>
              <w:spacing w:after="0"/>
              <w:rPr>
                <w:sz w:val="20"/>
                <w:szCs w:val="20"/>
                <w:color w:val="auto"/>
              </w:rPr>
            </w:pPr>
            <w:r>
              <w:rPr>
                <w:rFonts w:ascii="Arial" w:cs="Arial" w:eastAsia="Arial" w:hAnsi="Arial"/>
                <w:sz w:val="18"/>
                <w:szCs w:val="18"/>
                <w:color w:val="auto"/>
                <w:w w:val="99"/>
              </w:rPr>
              <w:t>2015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2"/>
        </w:trPr>
        <w:tc>
          <w:tcPr>
            <w:tcW w:w="2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6"/>
              </w:rPr>
              <w:t xml:space="preserve">Cumulative </w:t>
            </w:r>
            <w:r>
              <w:rPr>
                <w:rFonts w:ascii="Arial" w:cs="Arial" w:eastAsia="Arial" w:hAnsi="Arial"/>
                <w:sz w:val="21"/>
                <w:szCs w:val="21"/>
                <w:color w:val="auto"/>
                <w:w w:val="96"/>
                <w:vertAlign w:val="superscript"/>
              </w:rPr>
              <w:t>(5)</w:t>
            </w: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bl>
    <w:p>
      <w:pPr>
        <w:spacing w:after="0" w:line="95" w:lineRule="exact"/>
        <w:rPr>
          <w:sz w:val="20"/>
          <w:szCs w:val="20"/>
          <w:color w:val="auto"/>
        </w:rPr>
      </w:pPr>
    </w:p>
    <w:p>
      <w:pPr>
        <w:ind w:left="180" w:right="40" w:hanging="172"/>
        <w:spacing w:after="0" w:line="235" w:lineRule="auto"/>
        <w:tabs>
          <w:tab w:leader="none" w:pos="16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connection with the regulatory approvals of Basaglar in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Jentadueto is included in the Trajenta family of product results.</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Glyxambi and Synjardy are included in the Jardiance family of product results.</w:t>
      </w:r>
    </w:p>
    <w:p>
      <w:pPr>
        <w:spacing w:after="0" w:line="75" w:lineRule="exact"/>
        <w:rPr>
          <w:rFonts w:ascii="Arial" w:cs="Arial" w:eastAsia="Arial" w:hAnsi="Arial"/>
          <w:sz w:val="18"/>
          <w:szCs w:val="18"/>
          <w:color w:val="auto"/>
          <w:vertAlign w:val="superscript"/>
        </w:rPr>
      </w:pPr>
    </w:p>
    <w:p>
      <w:pPr>
        <w:ind w:left="180" w:right="100" w:hanging="172"/>
        <w:spacing w:after="0" w:line="236" w:lineRule="auto"/>
        <w:tabs>
          <w:tab w:leader="none" w:pos="167"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In September 2015, we entered into a settlement agreement to resolve patent infringement litigation filed by Sanofi-Aventis U.S. LLC, which markets Lantus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(insulin glargine). As part of the settlement agreement, the parties agreed that Basaglar can be launched in the U.S. beginning on December 15, 2016. Basaglar received U.S. Food and Drug Administration (FDA) approval in December 2015. As a result of receiving FDA approval, we received a $187.5 million milestone payment from Boehringer Ingelheim in the first quarter of 2016, which was recorded as deferred revenue and, upon product launch, will be amortized through the term of the collaboration to collaboration and other revenue.</w:t>
      </w:r>
    </w:p>
    <w:p>
      <w:pPr>
        <w:spacing w:after="0" w:line="65"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cumulative amount represents the total amounts as of the end of the reporting period that have been (deferred) or capitalized since the start of this collaboration.</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revenues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will also be entitled to potential performance payments on sales of the molecules it contributes to the collaboration. These performance payments result in the owner of the molecule retaining a greater share of the agreed upon gross margin of that product.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121.0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215.4</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162.4</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Jardiance</w:t>
            </w:r>
          </w:p>
        </w:tc>
        <w:tc>
          <w:tcPr>
            <w:tcW w:w="2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40.1</w:t>
            </w:r>
          </w:p>
        </w:tc>
        <w:tc>
          <w:tcPr>
            <w:tcW w:w="400" w:type="dxa"/>
            <w:vAlign w:val="bottom"/>
          </w:tcPr>
          <w:p>
            <w:pPr>
              <w:spacing w:after="0"/>
              <w:rPr>
                <w:sz w:val="23"/>
                <w:szCs w:val="23"/>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11.1</w:t>
            </w:r>
          </w:p>
        </w:tc>
        <w:tc>
          <w:tcPr>
            <w:tcW w:w="34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8"/>
                <w:szCs w:val="18"/>
                <w:b w:val="1"/>
                <w:bCs w:val="1"/>
                <w:color w:val="auto"/>
              </w:rPr>
              <w:t>78.3</w:t>
            </w:r>
          </w:p>
        </w:tc>
        <w:tc>
          <w:tcPr>
            <w:tcW w:w="400" w:type="dxa"/>
            <w:vAlign w:val="bottom"/>
          </w:tcPr>
          <w:p>
            <w:pPr>
              <w:spacing w:after="0"/>
              <w:rPr>
                <w:sz w:val="23"/>
                <w:szCs w:val="23"/>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30.3</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Our revenue related to Basaglar was not significant for the three and six months ended June 30,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3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Erbitux</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North America (Merck KGaA). Certain rights to Erbitux outside North America will remain with Merck KGaA (Merck) upon expiration of that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 - BMS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Net product revenues - third party</w:t>
            </w:r>
          </w:p>
        </w:tc>
        <w:tc>
          <w:tcPr>
            <w:tcW w:w="24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rPr>
              <w:t>158.4</w:t>
            </w:r>
          </w:p>
        </w:tc>
        <w:tc>
          <w:tcPr>
            <w:tcW w:w="4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b w:val="1"/>
                <w:bCs w:val="1"/>
                <w:color w:val="auto"/>
              </w:rPr>
              <w:t>299.9</w:t>
            </w:r>
          </w:p>
        </w:tc>
        <w:tc>
          <w:tcPr>
            <w:tcW w:w="40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22.2</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123.6</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48.7</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198.0</w:t>
            </w:r>
          </w:p>
        </w:tc>
      </w:tr>
      <w:tr>
        <w:trPr>
          <w:trHeight w:val="258"/>
        </w:trPr>
        <w:tc>
          <w:tcPr>
            <w:tcW w:w="694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180.6</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134.6</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348.6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222.8</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commercial agreements with BMS, we had been co-developing Erbitux in North America with BMS exclusively. A separate agreement grants co-exclusive rights among Merck, BMS, and us in Japan and expires in 2032.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will provide consideration to BMS based upon a tiered percentage of net sales of Erbitux in North America estimated to average 38 percent through September 2018. The transfer of the commercialization rights was accounted for as an acquisition of a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602.1</w:t>
            </w:r>
          </w:p>
        </w:tc>
      </w:tr>
      <w:tr>
        <w:trPr>
          <w:trHeight w:val="252"/>
        </w:trPr>
        <w:tc>
          <w:tcPr>
            <w:tcW w:w="100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1"/>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52"/>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2"/>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10040" w:type="dxa"/>
            <w:vAlign w:val="bottom"/>
          </w:tcPr>
          <w:p>
            <w:pPr>
              <w:ind w:left="40"/>
              <w:spacing w:after="0"/>
              <w:rPr>
                <w:sz w:val="20"/>
                <w:szCs w:val="20"/>
                <w:color w:val="auto"/>
              </w:rPr>
            </w:pPr>
            <w:r>
              <w:rPr>
                <w:rFonts w:ascii="Arial" w:cs="Arial" w:eastAsia="Arial" w:hAnsi="Arial"/>
                <w:sz w:val="18"/>
                <w:szCs w:val="18"/>
                <w:color w:val="auto"/>
              </w:rPr>
              <w:t xml:space="preserve">Total consideration - contingent consideration liability </w:t>
            </w:r>
            <w:r>
              <w:rPr>
                <w:rFonts w:ascii="Arial" w:cs="Arial" w:eastAsia="Arial" w:hAnsi="Arial"/>
                <w:sz w:val="21"/>
                <w:szCs w:val="21"/>
                <w:color w:val="auto"/>
                <w:vertAlign w:val="superscript"/>
              </w:rPr>
              <w:t>(2)</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95" w:lineRule="exact"/>
        <w:rPr>
          <w:sz w:val="20"/>
          <w:szCs w:val="20"/>
          <w:color w:val="auto"/>
        </w:rPr>
      </w:pPr>
    </w:p>
    <w:p>
      <w:pPr>
        <w:ind w:left="180" w:right="500" w:hanging="172"/>
        <w:spacing w:after="0" w:line="239"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are being amortized to cost of sales using the straight-line method through the co-development period in North America as set forth in the original agreement, which was scheduled to expire in September 2018.</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3"/>
          <w:szCs w:val="13"/>
          <w:color w:val="auto"/>
        </w:rPr>
        <w:t>See Note 6 for discussion on the estimation of the contingent consideration liability.</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and total Erbitux revenue would have been approximately $5.1 billion and $230 million, respectively, for the three months ended June 30, 2015, and $9.8 billion and $405 million, respectively, for the six months ended June 30,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on January 1, 2015. In addition, the unaudited pro forma financial information does not attempt to project the future results of operations of our combined company.</w:t>
      </w:r>
    </w:p>
    <w:p>
      <w:pPr>
        <w:spacing w:after="0" w:line="6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Until the effective date of the transfer of the business, the arrangements between us and BMS were as set forth in this paragraph. Erbitux research and development and other costs were shared by both companies according to a predetermined ratio. Responsibilities associated with clinical and other ongoing studies were apportioned between the parties under the agreements. Collaborative reimbursements due to us for supply of clinical trial materials; for research and development; and for a portion of marketing, selling, and administrative expenses were recorded as a reduction to the respective expense line items on the consolidated statement of operations. We received a distribution fee in the form of a royalty from BMS, based on a percentage of net sales in North America, which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4" w:name="page15"/>
    <w:bookmarkEnd w:id="14"/>
    <w:p>
      <w:pPr>
        <w:ind w:right="40"/>
        <w:spacing w:after="0" w:line="264" w:lineRule="auto"/>
        <w:rPr>
          <w:sz w:val="20"/>
          <w:szCs w:val="20"/>
          <w:color w:val="auto"/>
        </w:rPr>
      </w:pPr>
      <w:r>
        <w:rPr>
          <w:rFonts w:ascii="Arial" w:cs="Arial" w:eastAsia="Arial" w:hAnsi="Arial"/>
          <w:sz w:val="18"/>
          <w:szCs w:val="18"/>
          <w:color w:val="auto"/>
        </w:rPr>
        <w:t>recorded in collaboration and other revenue. Royalties due to third parties were recorded as a reduction of collaboration and other revenue, net of any royalty reimbursements due from third parties. We were responsible for the manufacture and supply of all requirements of Erbitux in bulk-form active pharmaceutical ingredient (API) for clinical and commercial use in North America, and BMS purchased all of its requirements of API from us, subject to certain stipulations per the agreement. Sales of Erbitux API to BMS were reported in net product revenues.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55" w:lineRule="exact"/>
        <w:rPr>
          <w:sz w:val="20"/>
          <w:szCs w:val="20"/>
          <w:color w:val="auto"/>
        </w:rPr>
      </w:pPr>
    </w:p>
    <w:p>
      <w:pPr>
        <w:jc w:val="both"/>
        <w:ind w:right="740"/>
        <w:spacing w:after="0" w:line="271"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29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Marketing Rights</w:t>
            </w:r>
          </w:p>
        </w:tc>
        <w:tc>
          <w:tcPr>
            <w:tcW w:w="5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6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07"/>
        </w:trPr>
        <w:tc>
          <w:tcPr>
            <w:tcW w:w="3120" w:type="dxa"/>
            <w:vAlign w:val="bottom"/>
            <w:vMerge w:val="restart"/>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2980" w:type="dxa"/>
            <w:vAlign w:val="bottom"/>
            <w:vMerge w:val="restart"/>
          </w:tcPr>
          <w:p>
            <w:pPr>
              <w:jc w:val="center"/>
              <w:ind w:right="294"/>
              <w:spacing w:after="0"/>
              <w:rPr>
                <w:sz w:val="20"/>
                <w:szCs w:val="20"/>
                <w:color w:val="auto"/>
              </w:rPr>
            </w:pPr>
            <w:r>
              <w:rPr>
                <w:rFonts w:ascii="Arial" w:cs="Arial" w:eastAsia="Arial" w:hAnsi="Arial"/>
                <w:sz w:val="18"/>
                <w:szCs w:val="18"/>
                <w:color w:val="auto"/>
                <w:w w:val="99"/>
              </w:rPr>
              <w:t>Co-promotion</w:t>
            </w:r>
          </w:p>
        </w:tc>
        <w:tc>
          <w:tcPr>
            <w:tcW w:w="5320" w:type="dxa"/>
            <w:vAlign w:val="bottom"/>
          </w:tcPr>
          <w:p>
            <w:pPr>
              <w:jc w:val="center"/>
              <w:ind w:right="74"/>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35"/>
        </w:trPr>
        <w:tc>
          <w:tcPr>
            <w:tcW w:w="3120" w:type="dxa"/>
            <w:vAlign w:val="bottom"/>
            <w:vMerge w:val="continue"/>
          </w:tcPr>
          <w:p>
            <w:pPr>
              <w:spacing w:after="0"/>
              <w:rPr>
                <w:sz w:val="11"/>
                <w:szCs w:val="11"/>
                <w:color w:val="auto"/>
              </w:rPr>
            </w:pPr>
          </w:p>
        </w:tc>
        <w:tc>
          <w:tcPr>
            <w:tcW w:w="2980" w:type="dxa"/>
            <w:vAlign w:val="bottom"/>
            <w:vMerge w:val="continue"/>
          </w:tcPr>
          <w:p>
            <w:pPr>
              <w:spacing w:after="0"/>
              <w:rPr>
                <w:sz w:val="11"/>
                <w:szCs w:val="11"/>
                <w:color w:val="auto"/>
              </w:rPr>
            </w:pPr>
          </w:p>
        </w:tc>
        <w:tc>
          <w:tcPr>
            <w:tcW w:w="5320" w:type="dxa"/>
            <w:vAlign w:val="bottom"/>
            <w:vMerge w:val="restart"/>
          </w:tcPr>
          <w:p>
            <w:pPr>
              <w:jc w:val="center"/>
              <w:ind w:right="74"/>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3"/>
        </w:trPr>
        <w:tc>
          <w:tcPr>
            <w:tcW w:w="3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2980" w:type="dxa"/>
            <w:vAlign w:val="bottom"/>
            <w:shd w:val="clear" w:color="auto" w:fill="CCEEFF"/>
          </w:tcPr>
          <w:p>
            <w:pPr>
              <w:jc w:val="center"/>
              <w:ind w:right="294"/>
              <w:spacing w:after="0"/>
              <w:rPr>
                <w:sz w:val="20"/>
                <w:szCs w:val="20"/>
                <w:color w:val="auto"/>
              </w:rPr>
            </w:pPr>
            <w:r>
              <w:rPr>
                <w:rFonts w:ascii="Arial" w:cs="Arial" w:eastAsia="Arial" w:hAnsi="Arial"/>
                <w:sz w:val="18"/>
                <w:szCs w:val="18"/>
                <w:color w:val="auto"/>
                <w:w w:val="99"/>
              </w:rPr>
              <w:t>Exclusive</w:t>
            </w:r>
          </w:p>
        </w:tc>
        <w:tc>
          <w:tcPr>
            <w:tcW w:w="53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rPr>
              <w:t>Daiichi Sankyo</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5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135.1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128.8</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266.6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250.6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4" w:right="239" w:bottom="1440" w:gutter="0" w:footer="0" w:header="0"/>
        </w:sectPr>
      </w:pPr>
    </w:p>
    <w:bookmarkStart w:id="15" w:name="page16"/>
    <w:bookmarkEnd w:id="15"/>
    <w:p>
      <w:pPr>
        <w:ind w:right="60"/>
        <w:spacing w:after="0" w:line="258" w:lineRule="auto"/>
        <w:rPr>
          <w:sz w:val="20"/>
          <w:szCs w:val="20"/>
          <w:color w:val="auto"/>
        </w:rPr>
      </w:pPr>
      <w:r>
        <w:rPr>
          <w:rFonts w:ascii="Arial" w:cs="Arial" w:eastAsia="Arial" w:hAnsi="Arial"/>
          <w:sz w:val="18"/>
          <w:szCs w:val="18"/>
          <w:color w:val="auto"/>
        </w:rPr>
        <w:t>up to percentages in the high twenties. In 2010, Incyte exercised its option to co-develop baricitinib in rheumatoid arthritis. The agreement calls for payments associated with certain development, success-based regulatory, and sales-based milestones. In the first quarter of 2016, we incurred milestone-related expenses of $55.0 million in connection with regulatory submissions in the U.S. and Europe which were recorded as research and development expense. As of June 30, 2016, Incyte is eligible to receive up to $360.0 million of additional payments from us contingent upon certain development and success-based regulatory milestones, of which $180.0 million relates to regulatory decisions for a first indication. Incyte is also eligible to receive up to $150.0 million of potential sales-based milestones.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its funding, TPG is eligible to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in the first quarter of 2015. In addition to this fee, Pfizer is eligible to receive up to $350.0 million in success-based regulatory milestones and up to $1.23 billion in a series of sales-based milestones, contingent upon the commercial success of tanezumab.</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BACE Inhibitor</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September 2014, we entered into a collaboration agreement with AstraZeneca UK Limited (AstraZeneca) for the worldwide co-development and co-commercialization of AstraZeneca’s AZD3293,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in April 2016, we incurred a $100.0 million developmental milestone, which was recorded as research and development expense in the second quarter of 2016. AstraZeneca is eligible to receive up to an additional $350.0 million contingent upon the achievement of certain development and success-based regulatory milestones.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following table summarizes our aggregate amount of marketing, selling, and administrative expense associated with our commission and profit-sharing obligations for the collaborations and other arrangements described above: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4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43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r>
      <w:tr>
        <w:trPr>
          <w:trHeight w:val="265"/>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Marketing, selling, and administrative</w:t>
            </w:r>
          </w:p>
        </w:tc>
        <w:tc>
          <w:tcPr>
            <w:tcW w:w="2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47.3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96.3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102.8</w:t>
            </w:r>
          </w:p>
        </w:tc>
      </w:tr>
      <w:tr>
        <w:trPr>
          <w:trHeight w:val="679"/>
        </w:trPr>
        <w:tc>
          <w:tcPr>
            <w:tcW w:w="4300" w:type="dxa"/>
            <w:vAlign w:val="bottom"/>
          </w:tcPr>
          <w:p>
            <w:pPr>
              <w:spacing w:after="0"/>
              <w:rPr>
                <w:sz w:val="24"/>
                <w:szCs w:val="24"/>
                <w:color w:val="auto"/>
              </w:rPr>
            </w:pP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9"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16.9</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19.2</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28.7</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w:t>
            </w:r>
          </w:p>
        </w:tc>
      </w:tr>
      <w:tr>
        <w:trPr>
          <w:trHeight w:val="264"/>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19.2</w:t>
            </w:r>
          </w:p>
        </w:tc>
        <w:tc>
          <w:tcPr>
            <w:tcW w:w="40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28.7</w:t>
            </w:r>
          </w:p>
        </w:tc>
        <w:tc>
          <w:tcPr>
            <w:tcW w:w="4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53.2</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w:t>
            </w:r>
          </w:p>
        </w:tc>
        <w:tc>
          <w:tcPr>
            <w:tcW w:w="2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17.2</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38.8</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33.1</w:t>
            </w: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160.7</w:t>
            </w: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38.8</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160.7</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127.2</w:t>
            </w:r>
          </w:p>
        </w:tc>
      </w:tr>
      <w:tr>
        <w:trPr>
          <w:trHeight w:val="271"/>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58.0</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189.4</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180.4</w:t>
            </w:r>
          </w:p>
        </w:tc>
      </w:tr>
    </w:tbl>
    <w:p>
      <w:pPr>
        <w:spacing w:after="0" w:line="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Severance costs recognized during the three months ended June 30, 2016 related primarily to the integration of Novartis AH. Severance costs recognized during the six months ended June 30, 2016 related primarily to the integration of Novartis AH, as well as our decision to close an animal health manufacturing plant in Ireland. Severance costs recognized during the three and six months ended June 30, 2015 related primarily to the acquisition of Novartis AH, as well as severance costs for actions taken to reduce our cost structure.</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 impairment and other special charges recognized during the three months ended June 30, 2016 related primarily to integration costs related to our acquisition of Novartis AH. Asset impairment and other special charges recognized during the six months ended June 30, 2016 resulted primarily from $87.2 million of asset impairment and other charges related to our decision to close an animal health manufacturing plant in Ireland. The manufacturing plant was written down to its estimated fair value, which was based primarily on recent sales of similar assets. The remaining asset impairment and other special charges recognized during the six months ended June 30, 2016 consisted of integration costs related to our acquisition of Novartis AH. Asset impairment and other special charges recognized during the three and six months ended June 30, 2015 related primarily to integration costs and intangible asset impairments due to product rationalization resulting from our acquisition of Novartis AH.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7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5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designated as hedging instruments are recorded at fair value with the gain or loss recognized in current earnings during the period of change.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Japanese yen, and the Swiss franc).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June 30, 2016, we had outstanding foreign currency forward commitments to purchase 707.0 million U.S. dollars and sell 633.8 million euro, commitments to purchase 1.61 billion euro and sell 1.82 billion U.S. dollars, commitments to purchase 686.0 million U.S. dollars and sell 72.07 billion Japanese yen, commitments to purchase 246.4 million British pounds and sell 309.9 million euro, commitments to purchase 270.9 million U.S. dollars and sell 191.5 million British pounds, and commitments to purchase 228.6 million Swiss francs and sell 236.2 million U.S. dollars, which will all settle within 30 days.</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which had carrying amounts of $3.52 billion and $2.27 billion as of June 30, 2016 and December 31, 2015, respectively, have been designated as, and are effective as, economic hedges of net investments in certain of our euro-denominated and Swiss franc-denominated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 cash flows. At June 30, 2016, substantially all of our total long-term debt is at a fixed rate. We have converted approximately 30 percent of our long-term fixed-rate notes to floating rates through the use of interest rate swaps.</w:t>
      </w:r>
    </w:p>
    <w:p>
      <w:pPr>
        <w:spacing w:after="0" w:line="69"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June 2, 2022, €750.0 million of 1.63 percent fixed-rate notes due June 2, 2026, and € 750.0 million of 2.13 percent fixed-rate notes due June 3,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condensed statement of operations during the three and six months ended June 30, 2015.</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May 24, 2018, Fr.600.0 million of 0.15 percent fixed-rate notes due May 24, 2024, and Fr.400.0 million of 0.45 percent fixed-rate notes due May 24, 2028, with interest to be paid annually. We plan to use the net cash proceeds of the offering of $1.21 billion for general corporate purposes, including the repayment or redemption prior to maturity of certain of our U.S. dollar denominated fixed-rate notes due March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4" w:right="239" w:bottom="1440" w:gutter="0" w:footer="0" w:header="0"/>
        </w:sectPr>
      </w:pPr>
    </w:p>
    <w:bookmarkStart w:id="18" w:name="page19"/>
    <w:bookmarkEnd w:id="18"/>
    <w:p>
      <w:pPr>
        <w:ind w:right="580"/>
        <w:spacing w:after="0" w:line="264"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Upon issuance of our underlying U.S. dollar-denominated fixed-rate notes in March 2015,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loss.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June 2015 note purchase and redemption discussed above, we terminated certain interest rate swaps designated as fair value hedges with an aggregate notional amount of $876.0 million. As a result of the termination, we received cash of $20.2 million, which represented the fair value of the interest rate swaps at the time of termination. The related fair value adjustment was recorded as an increase to the carrying value of the underlying notes and was included as a component of the debt extinguishment loss.</w:t>
      </w:r>
    </w:p>
    <w:p>
      <w:pPr>
        <w:spacing w:after="0" w:line="118" w:lineRule="exact"/>
        <w:rPr>
          <w:sz w:val="20"/>
          <w:szCs w:val="20"/>
          <w:color w:val="auto"/>
        </w:rPr>
      </w:pPr>
    </w:p>
    <w:p>
      <w:pPr>
        <w:ind w:right="3200"/>
        <w:spacing w:after="0" w:line="410" w:lineRule="auto"/>
        <w:rPr>
          <w:sz w:val="20"/>
          <w:szCs w:val="20"/>
          <w:color w:val="auto"/>
        </w:rPr>
      </w:pPr>
      <w:r>
        <w:rPr>
          <w:rFonts w:ascii="Arial" w:cs="Arial" w:eastAsia="Arial" w:hAnsi="Arial"/>
          <w:sz w:val="18"/>
          <w:szCs w:val="18"/>
          <w:i w:val="1"/>
          <w:iCs w:val="1"/>
          <w:color w:val="auto"/>
        </w:rPr>
        <w:t xml:space="preserve">The Effect of Risk-Management Instruments on the Consolidated Condensed Statement of Operations </w:t>
      </w:r>
      <w:r>
        <w:rPr>
          <w:rFonts w:ascii="Arial" w:cs="Arial" w:eastAsia="Arial" w:hAnsi="Arial"/>
          <w:sz w:val="18"/>
          <w:szCs w:val="18"/>
          <w:color w:val="auto"/>
        </w:rPr>
        <w:t>The following effects of risk-management instruments were recognized in other–net, (income)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35.8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111.1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(35.8)</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(111.1)</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7"/>
        </w:trPr>
        <w:tc>
          <w:tcPr>
            <w:tcW w:w="6940" w:type="dxa"/>
            <w:vAlign w:val="bottom"/>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w:t>
            </w:r>
          </w:p>
        </w:tc>
        <w:tc>
          <w:tcPr>
            <w:tcW w:w="24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90.9</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104.2</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(43.0)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1"/>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7.5</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6.3</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31.9</w:t>
            </w:r>
          </w:p>
        </w:tc>
        <w:tc>
          <w:tcPr>
            <w:tcW w:w="360" w:type="dxa"/>
            <w:vAlign w:val="bottom"/>
          </w:tcPr>
          <w:p>
            <w:pPr>
              <w:spacing w:after="0"/>
              <w:rPr>
                <w:sz w:val="23"/>
                <w:szCs w:val="23"/>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31.9</w:t>
            </w:r>
          </w:p>
        </w:tc>
        <w:tc>
          <w:tcPr>
            <w:tcW w:w="36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tcPr>
          <w:p>
            <w:pPr>
              <w:spacing w:after="0"/>
              <w:rPr>
                <w:sz w:val="23"/>
                <w:szCs w:val="23"/>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23"/>
                <w:szCs w:val="23"/>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w:t>
            </w:r>
          </w:p>
        </w:tc>
      </w:tr>
    </w:tbl>
    <w:p>
      <w:pPr>
        <w:spacing w:after="0" w:line="8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$15.2 million of pretax net losses on cash flow hedges of the variability in expected future interest payments on our floating rate debt.</w:t>
      </w:r>
    </w:p>
    <w:p>
      <w:pPr>
        <w:spacing w:after="0" w:line="3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During the six months ended June 30, 2016 and 2015, net losses related to ineffectiveness, as well as net losses related to the portion of our risk-management hedging instruments, fair value hedges, and cash flow hedges that were excluded from the assessment of effectiveness, were not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following tables summarize certain fair value information at June 30, 2016 and December 31, 2015 for assets and liabilities measured at fair value on a recurring basis, as well as the carrying amount and amortized cost of certain other investments: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68"/>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204"/>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2016</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1,615.3</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1,615.3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1,612.3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3.0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1,615.3</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66.3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66.3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66.3</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624.4</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623.7</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624.4</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624.4</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w:t>
            </w:r>
          </w:p>
        </w:tc>
      </w:tr>
      <w:tr>
        <w:trPr>
          <w:trHeight w:val="266"/>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2.7</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2.7</w:t>
            </w: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2.7</w:t>
            </w: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2.7</w:t>
            </w:r>
          </w:p>
        </w:tc>
      </w:tr>
      <w:tr>
        <w:trPr>
          <w:trHeight w:val="27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696.8</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465.6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461.3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465.6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465.6</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2,545.7</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2,529.6</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2,545.7</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2,545.7</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197.2</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194.8</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197.2</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197.2</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455.5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454.4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455.5</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455.5</w:t>
            </w:r>
          </w:p>
        </w:tc>
      </w:tr>
      <w:tr>
        <w:trPr>
          <w:trHeight w:val="266"/>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3"/>
                <w:szCs w:val="23"/>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155.7</w:t>
            </w:r>
          </w:p>
        </w:tc>
        <w:tc>
          <w:tcPr>
            <w:tcW w:w="220" w:type="dxa"/>
            <w:vAlign w:val="bottom"/>
          </w:tcPr>
          <w:p>
            <w:pPr>
              <w:spacing w:after="0"/>
              <w:rPr>
                <w:sz w:val="23"/>
                <w:szCs w:val="23"/>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105.5</w:t>
            </w:r>
          </w:p>
        </w:tc>
        <w:tc>
          <w:tcPr>
            <w:tcW w:w="160" w:type="dxa"/>
            <w:vAlign w:val="bottom"/>
          </w:tcPr>
          <w:p>
            <w:pPr>
              <w:spacing w:after="0"/>
              <w:rPr>
                <w:sz w:val="23"/>
                <w:szCs w:val="23"/>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12.5</w:t>
            </w:r>
          </w:p>
        </w:tc>
        <w:tc>
          <w:tcPr>
            <w:tcW w:w="22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7.1</w:t>
            </w:r>
          </w:p>
        </w:tc>
        <w:tc>
          <w:tcPr>
            <w:tcW w:w="260" w:type="dxa"/>
            <w:vAlign w:val="bottom"/>
          </w:tcPr>
          <w:p>
            <w:pPr>
              <w:spacing w:after="0"/>
              <w:rPr>
                <w:sz w:val="23"/>
                <w:szCs w:val="23"/>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136.1</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155.7</w:t>
            </w:r>
          </w:p>
        </w:tc>
      </w:tr>
      <w:tr>
        <w:trPr>
          <w:trHeight w:val="274"/>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95.9</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64.0</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95.9</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95.9</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533.6</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4,449.2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2015</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1,644.4</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1,644.4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1,637.0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7.4</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1,644.4</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153.2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153.2</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625.8</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626.9</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625.8</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625.8</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3.1</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785.4</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284.5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286.0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283.5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284.5</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1,962.6</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1,995.8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1,962.6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1,962.6</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153.3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154.7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153.3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153.3</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441.9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443.1</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441.9</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441.9</w:t>
            </w:r>
          </w:p>
        </w:tc>
      </w:tr>
      <w:tr>
        <w:trPr>
          <w:trHeight w:val="262"/>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137.1</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97.3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133.0</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137.1</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128.9</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538.3</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r>
      <w:tr>
        <w:trPr>
          <w:trHeight w:val="27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3,646.6</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bl>
    <w:p>
      <w:pPr>
        <w:spacing w:after="0" w:line="8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For available-for-sale debt securities, amounts disclosed represent the securities' amortized cost.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cost method and equity method investments.</w:t>
      </w:r>
    </w:p>
    <w:p>
      <w:pPr>
        <w:sectPr>
          <w:pgSz w:w="11900" w:h="16838" w:orient="portrait"/>
          <w:cols w:equalWidth="0" w:num="1">
            <w:col w:w="11420"/>
          </w:cols>
          <w:pgMar w:left="240" w:top="740" w:right="23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740"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9"/>
        </w:trPr>
        <w:tc>
          <w:tcPr>
            <w:tcW w:w="428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(9,331.3)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(9,926.9)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(9,926.9)</w:t>
            </w: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(7,978.5)</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(8,172.0)</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(8,172.0)</w:t>
            </w:r>
          </w:p>
        </w:tc>
      </w:tr>
      <w:tr>
        <w:trPr>
          <w:trHeight w:val="512"/>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7"/>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203"/>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6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June 30, 2016</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9.9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9.9</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170.9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170.9</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170.9</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5.9</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20.3</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20.3</w:t>
            </w: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(72.4)</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b w:val="1"/>
                <w:bCs w:val="1"/>
                <w:color w:val="auto"/>
              </w:rPr>
              <w:t>(72.4)</w:t>
            </w:r>
          </w:p>
        </w:tc>
        <w:tc>
          <w:tcPr>
            <w:tcW w:w="24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(72.4)</w:t>
            </w:r>
          </w:p>
        </w:tc>
      </w:tr>
      <w:tr>
        <w:trPr>
          <w:trHeight w:val="271"/>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9"/>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(246.6)</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(246.6)</w:t>
            </w:r>
          </w:p>
        </w:tc>
      </w:tr>
      <w:tr>
        <w:trPr>
          <w:trHeight w:val="271"/>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(358.4)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(358.4)</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70.1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70.1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70.1</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7"/>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5"/>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5"/>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(243.7)</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(243.7)</w:t>
            </w:r>
          </w:p>
        </w:tc>
      </w:tr>
      <w:tr>
        <w:trPr>
          <w:trHeight w:val="275"/>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r>
    </w:tbl>
    <w:p>
      <w:pPr>
        <w:spacing w:after="0" w:line="82"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Contingent consideration liabilities primarily relate to the Erbitux arrangement with BMS discussed in Note 4.</w:t>
      </w:r>
    </w:p>
    <w:p>
      <w:pPr>
        <w:spacing w:after="0" w:line="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ind w:right="160"/>
        <w:spacing w:after="0" w:line="26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 of cost and equity method investments is not readily available.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six months ended June 30, 2016 was due primarily to cash payments of $111.6 million related to Erbitux. The change in the fair value of the contingent consideration liabilities recognized in earnings during the three and six months ended June 30, 2016 was not material.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June 30,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4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4"/>
                <w:szCs w:val="14"/>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14"/>
                <w:szCs w:val="14"/>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6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4,367.9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696.8</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3,134.8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261.7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274.6</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2015</w:t>
            </w:r>
          </w:p>
        </w:tc>
      </w:tr>
      <w:tr>
        <w:trPr>
          <w:trHeight w:val="265"/>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8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23.2</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52.5</w:t>
            </w:r>
          </w:p>
        </w:tc>
      </w:tr>
      <w:tr>
        <w:trPr>
          <w:trHeight w:val="271"/>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3,550.8</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764.5</w:t>
            </w:r>
          </w:p>
        </w:tc>
      </w:tr>
      <w:tr>
        <w:trPr>
          <w:trHeight w:val="269"/>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80" w:type="dxa"/>
            <w:vAlign w:val="bottom"/>
          </w:tcPr>
          <w:p>
            <w:pPr>
              <w:spacing w:after="0"/>
              <w:rPr>
                <w:sz w:val="23"/>
                <w:szCs w:val="23"/>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b w:val="1"/>
                <w:bCs w:val="1"/>
                <w:color w:val="auto"/>
              </w:rPr>
              <w:t>769.9</w:t>
            </w:r>
          </w:p>
        </w:tc>
        <w:tc>
          <w:tcPr>
            <w:tcW w:w="30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2,933.4</w:t>
            </w:r>
          </w:p>
        </w:tc>
      </w:tr>
    </w:tbl>
    <w:p>
      <w:pPr>
        <w:spacing w:after="0" w:line="8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We periodically assess our investment securities for other-than-temporary impairment losses. Other-than-temporary impairment losses recognized during the three and six months ended June 30, 2016 totaled $ 15.9 million and $41.6 million, respectively. Impairment losses recognized during the three months ended June 30, 2016 related primarily to our marketable equity securities, while impairment losses recognized during the six months ended June 30, 2016 related primarily to our cost and equity method investments. Other-than-temporary impairment losses recognized during the three and six months ended June 30, 2015 totaled $6.2 million and $9.8 million, respectively.</w:t>
      </w:r>
    </w:p>
    <w:p>
      <w:pPr>
        <w:spacing w:after="0" w:line="67"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5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of June 30, 2016, the securities in an unrealized loss position include primarily our marketable equity securities as well as fixed-rate debt securities of varying maturities. Marketable equity securities are sensitive to market price adjustments for general market conditions and industry or sector specific factors, and fixed-rate debt securities are sensitive to changes in the yield curve and other market conditions. Approximately 70 percent of the fixed-rate debt securities in a loss position are investment-grade debt securities. As of June 30, 2016,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799"/>
              <w:spacing w:after="0"/>
              <w:rPr>
                <w:sz w:val="20"/>
                <w:szCs w:val="20"/>
                <w:color w:val="auto"/>
              </w:rPr>
            </w:pPr>
            <w:r>
              <w:rPr>
                <w:rFonts w:ascii="Arial" w:cs="Arial" w:eastAsia="Arial" w:hAnsi="Arial"/>
                <w:sz w:val="14"/>
                <w:szCs w:val="14"/>
                <w:b w:val="1"/>
                <w:bCs w:val="1"/>
                <w:color w:val="auto"/>
                <w:w w:val="99"/>
              </w:rPr>
              <w:t>June 30,</w:t>
            </w:r>
          </w:p>
        </w:tc>
        <w:tc>
          <w:tcPr>
            <w:tcW w:w="76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850.7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1,900.1</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1,577.1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2,869.9</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3.4</w:t>
            </w:r>
          </w:p>
        </w:tc>
        <w:tc>
          <w:tcPr>
            <w:tcW w:w="400" w:type="dxa"/>
            <w:vAlign w:val="bottom"/>
          </w:tcPr>
          <w:p>
            <w:pPr>
              <w:spacing w:after="0"/>
              <w:rPr>
                <w:sz w:val="23"/>
                <w:szCs w:val="23"/>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5.2</w:t>
            </w:r>
          </w:p>
        </w:tc>
        <w:tc>
          <w:tcPr>
            <w:tcW w:w="38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102.3</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10.4</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bl>
    <w:p>
      <w:pPr>
        <w:spacing w:after="0" w:line="8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interest in the underlying accounts receivable once sold. We derecognized $731.9 million and $670.6 million of accounts receivable as of June 30, 2016 and December 31, 2015, respectively, under these factoring arrangements. The cost of factoring such accounts receivable on our consolidated results of operations for the six months ended June 30, 2016 and 2015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During the six months ended June 30, 2016 and 2015, we repurchased $300.1 million and $435.5 million of shares, respectively, associated with our $5.00 billion share repurchase program announced in October 2013. As of June 30, 2016, there were $2.65 billion of shares remaining in that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the first quarter of 2016, we effectively settled the remaining matters related to tax years 2010-2012. As a result of this resolution, our gross uncertain tax positions were further reduced by approximately $140 million, and our consolidated results of operations benefited from an immaterial reduction in income tax expense. During the six months ended June 30, 2016, we made cash payments of approximately $ 150 million related to tax years 2010-2012 after application of available tax credit carryforwards and carrybacks. We anticipate additional cash payments of approximately $10 million in 2016 related to the settlement. The U.S. examination of tax years 2013-2014 commenced during the first quarter of 2016; we expect the U.S. examination of 2015 to begin in the third quarter of 2016.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 Retirement Benefits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Defined Benefit Pension Plans</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68"/>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6"/>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70.6</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85.5</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142.0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162.5</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105.1</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117.2</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210.2</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234.3</w:t>
            </w: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(189.6)</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(192.2)</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(379.1)</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(384.0)</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(0.2)</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5.7</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r>
      <w:tr>
        <w:trPr>
          <w:trHeight w:val="269"/>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74.0</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90.9</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142.4</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183.3</w:t>
            </w:r>
          </w:p>
        </w:tc>
      </w:tr>
      <w:tr>
        <w:trPr>
          <w:trHeight w:val="271"/>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59.9</w:t>
            </w:r>
          </w:p>
        </w:tc>
        <w:tc>
          <w:tcPr>
            <w:tcW w:w="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121.2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201.2</w:t>
            </w:r>
          </w:p>
        </w:tc>
      </w:tr>
      <w:tr>
        <w:trPr>
          <w:trHeight w:val="512"/>
        </w:trPr>
        <w:tc>
          <w:tcPr>
            <w:tcW w:w="6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Retiree Health Benefit Plans</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8"/>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center"/>
              <w:ind w:right="15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5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436"/>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10.3</w:t>
            </w:r>
          </w:p>
        </w:tc>
        <w:tc>
          <w:tcPr>
            <w:tcW w:w="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11.2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19.6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13.2</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26.0</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r>
      <w:tr>
        <w:trPr>
          <w:trHeight w:val="269"/>
        </w:trPr>
        <w:tc>
          <w:tcPr>
            <w:tcW w:w="694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(37.6)</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(75.1)</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1"/>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(21.5)</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(42.8)</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69"/>
        </w:trPr>
        <w:tc>
          <w:tcPr>
            <w:tcW w:w="6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5.2</w:t>
            </w: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10.3</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w:t>
            </w:r>
          </w:p>
        </w:tc>
      </w:tr>
      <w:tr>
        <w:trPr>
          <w:trHeight w:val="271"/>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(30.4)</w:t>
            </w:r>
          </w:p>
        </w:tc>
        <w:tc>
          <w:tcPr>
            <w:tcW w:w="3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(62.0)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bl>
    <w:p>
      <w:pPr>
        <w:spacing w:after="0" w:line="8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have contributed approximately $25 million required to satisfy minimum funding requirements to our defined benefit pension and retiree health benefit plans during the six months ended June 30, 2016. Additional discretionary funding in the aggregate was not material during the six months ended June 30, 2016. During the remainder of 2016, we expect to make contributions to our defined benefit pension and retiree health benefit plans of approximately $25 million to satisfy minimum funding requirements. Additional discretionary funding for the remainder of 2016 is not expected to be material.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7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for the product in the relevant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Drug Price Competition and Patent Term Restoration Act of 1984 (the Hatch-Waxman Act).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A trial occurred in August 2013; the sole issue before the district court at that time was to determine patent validity. In March 2014, the court ruled that the asserted claims of the vitamin regimen patent are valid. The U.S. District Court for the Southern District of Indiana held a hearing on the issue of infringement in May 2015. In September 2015, the district court ruled that the vitamin regimen patent would be infringed by the generic challengers' proposed products. Teva and APP appealed all of the district court’s substantive decisions. The U.S. Court of Appeals for the Federal Circuit has scheduled a hearing for September 2016.</w:t>
      </w:r>
    </w:p>
    <w:p>
      <w:pPr>
        <w:spacing w:after="0" w:line="6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From 2012 through 2016, we filed similar lawsuits against other ANDA defendants seeking a ruling that our patents are valid and infringed. Some of these cases have been stayed pending the outcome of the Teva/APP litigation, and these parties have agreed to be bound by the outcome of the Teva/APP litigation. In February 2016, we filed a lawsuit alleging infringement against Dr. Reddy's Laboratories in response to its recently filed NDA for a salt form of pemetrexed product diluted in dextrose solution. Any remaining cases have been administratively closed.</w:t>
      </w:r>
    </w:p>
    <w:p>
      <w:pPr>
        <w:spacing w:after="0" w:line="67"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 xml:space="preserve">In June 2016, the United States Patent and Trademark Office (USPTO) granted petitions by Neptune Generics, LLC and Sandoz Inc.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of our vitamin regimen patent. The final written IPR decisions are expected in mid-2017. Seven additional generic companies have filed petitions, seeking to join in these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Generic manufacturers filed an opposition to the European Patent Office's (EPO) decision to grant us a vitamin regimen patent. The Opposition Division of the EPO upheld the patent and the generic manufacturers lodged an appeal. In October 2015 the generic manufacturers withdrew the appeal. As a result, the original EPO decision upholding the patent is now final.</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in the United Kingdom (U.K.), Actavis Group ehf and other Actavis companies (collectively, Actavis) filed litigation asking for a declaratory judgment that commercialization of certain salt forms of pemetrexed (the active ingredient in Alimta) diluted in saline solution would not infringe the vitamin regimen patents for Alimta in the U.K., Italy, France, and Spain. In May 2014, the trial court ruled that the vitamin regimen patents for Alimta would not be infringed by commercialization of alternative salt forms of pemetrexed, after expiration of the compound patents in December 2015. We appealed, and in June 2015, the U.K. Court of Appeal reversed the trial court's decision granting declarations of non-infringement over the Alimta vitamin regimen patents in those countries, ruling that the Alimta vitamin regimen patent would be indirectly infringed by commercialization of Actavis' products as proposed prior to the patent's expiration in June 2021. In February 2016, the U.K. Supreme Court granted our and Actavis' requests for permission to appeal different aspects of the judgment. A hearing is scheduled for April 2017.</w:t>
      </w:r>
    </w:p>
    <w:p>
      <w:pPr>
        <w:spacing w:after="0" w:line="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parallel proceedings, Actavis returned to the lower court seeking a declaration of non-infringement for a different proposed product diluted in dextrose solution. In February 2016, the trial court ruled that Actavis’ commercialization of this product would not infringe the patent in the U.K., Italy, France, and Spain. We intend to appeal this ruling.</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commenced separate infringement proceedings against certain Actavis companies in Germany. Following a trial, in April 2014, the German trial court ruled in our favor. The defendants appealed, and after a hearing in March 2015, the German Court of Appeal overturned the trial court and ruled that our vitamin regimen patent in Germany would not be infringed by a dipotassium salt form of pemetrexed. In June 2016, the German Federal Supreme Court granted our appeal, vacating the prior decision denying infringement, and returned the case to the Court of Appeal to reconsider infringement based on its judgment.</w:t>
      </w:r>
    </w:p>
    <w:p>
      <w:pPr>
        <w:spacing w:after="0" w:line="6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a subsidiary of Teva, which had stated its intention to launch a proposed alternative salt form of pemetrexed product diluted in dextrose solution. Hexal has separately filed a challenge to the validity of our vitamin regimen patent before the German Federal Patent court. We do not anticipate any generic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38" w:right="259" w:bottom="1440" w:gutter="0" w:footer="0" w:header="0"/>
        </w:sectPr>
      </w:pPr>
    </w:p>
    <w:bookmarkStart w:id="25" w:name="page26"/>
    <w:bookmarkEnd w:id="25"/>
    <w:p>
      <w:pPr>
        <w:ind w:right="380"/>
        <w:spacing w:after="0" w:line="292" w:lineRule="auto"/>
        <w:rPr>
          <w:sz w:val="20"/>
          <w:szCs w:val="20"/>
          <w:color w:val="auto"/>
        </w:rPr>
      </w:pPr>
      <w:r>
        <w:rPr>
          <w:rFonts w:ascii="Arial" w:cs="Arial" w:eastAsia="Arial" w:hAnsi="Arial"/>
          <w:sz w:val="18"/>
          <w:szCs w:val="18"/>
          <w:color w:val="auto"/>
        </w:rPr>
        <w:t>entry into the German market at least until the Court of Appeal proceedings against Actavis considers the issues remanded by the German Federal Supreme Court or the injunctions are lifted.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are aware that at least one generic pemetrexed product has launched in a major European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Three separate demands for invalidation of our two vitamin regimen patents, involving several companies, have been filed with the Japanese Patent Office (JPO). In November 2015, the JPO issued written decisions in the invalidation trial initiated by Sawai Pharmaceutical Co., Ltd. (Sawai), which had been joined by three other companies, upholding both vitamin regimen patents. These patents provide intellectual property protection for Alimta until June 2021. Three companies, including Sawai, have filed appeals. The invalidation trials related to the other demands by Sawai are currently suspended.</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Notwithstanding our patents, generic versions of Alimta were approved in Japan in February 2016. We filed for preliminary injunctions against the three generic competitors which received such approval, but we withdrew the requests for injunctions once those competitors agreed not to proceed to pricing approval.</w:t>
      </w:r>
    </w:p>
    <w:p>
      <w:pPr>
        <w:spacing w:after="0" w:line="55" w:lineRule="exact"/>
        <w:rPr>
          <w:sz w:val="20"/>
          <w:szCs w:val="20"/>
          <w:color w:val="auto"/>
        </w:rPr>
      </w:pPr>
    </w:p>
    <w:p>
      <w:pPr>
        <w:ind w:right="2260"/>
        <w:spacing w:after="0" w:line="407" w:lineRule="auto"/>
        <w:rPr>
          <w:sz w:val="20"/>
          <w:szCs w:val="20"/>
          <w:color w:val="auto"/>
        </w:rPr>
      </w:pPr>
      <w:r>
        <w:rPr>
          <w:rFonts w:ascii="Arial" w:cs="Arial" w:eastAsia="Arial" w:hAnsi="Arial"/>
          <w:sz w:val="18"/>
          <w:szCs w:val="18"/>
          <w:color w:val="auto"/>
        </w:rPr>
        <w:t xml:space="preserve">We do not anticipate generic competitors to proceed to launch prior to the completion of the Sawai invalidation trial. </w:t>
      </w:r>
      <w:r>
        <w:rPr>
          <w:rFonts w:ascii="Arial" w:cs="Arial" w:eastAsia="Arial" w:hAnsi="Arial"/>
          <w:sz w:val="18"/>
          <w:szCs w:val="18"/>
          <w:b w:val="1"/>
          <w:bCs w:val="1"/>
          <w:color w:val="auto"/>
        </w:rPr>
        <w:t>Effient Patent Litigation and Administrative Proceedings</w:t>
      </w:r>
    </w:p>
    <w:p>
      <w:pPr>
        <w:ind w:right="60"/>
        <w:spacing w:after="0" w:line="260"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One of these ANDAs also alleges that the compound patent for Effient (expiring in April 2017 plus pediatric exclusivity for an additional six months) is invalid.</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These cases have been consolidated. Four generic companies have agreed to be bound by the outcome of the consolidated case.</w:t>
      </w:r>
    </w:p>
    <w:p>
      <w:pPr>
        <w:spacing w:after="0" w:line="55"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 patents. In September 2015, the USPTO granted the generic pharmaceutical companies' request. A hearing was held in May 2016, and a written decision is expected in the third quarter of 2016. In light of these petitions, the district court in the consolidated lawsuit stayed the case with respect to all parties.</w:t>
      </w:r>
    </w:p>
    <w:p>
      <w:pPr>
        <w:spacing w:after="0" w:line="5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been named along with Takeda Chemical Industries, Ltd., and Takeda affiliates (collectively, Takeda) as a defendant in approximately 6,500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(MDL) in the Western District of Louisiana or are pending in a coordinated state court proceeding in California or a coordinated state court proceeding in Illinois.</w:t>
      </w:r>
    </w:p>
    <w:p>
      <w:pPr>
        <w:spacing w:after="0" w:line="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April 2015, Takeda announced they would pay approximately $2.4 billion to resolve the vast majority of the U.S. product liability lawsuits involving Actos, including the case of </w:t>
      </w:r>
      <w:r>
        <w:rPr>
          <w:rFonts w:ascii="Arial" w:cs="Arial" w:eastAsia="Arial" w:hAnsi="Arial"/>
          <w:sz w:val="18"/>
          <w:szCs w:val="18"/>
          <w:i w:val="1"/>
          <w:iCs w:val="1"/>
          <w:color w:val="auto"/>
        </w:rPr>
        <w:t>Allen, et al. v. Takeda Pharmaceuticals, et al.,</w:t>
      </w:r>
      <w:r>
        <w:rPr>
          <w:rFonts w:ascii="Arial" w:cs="Arial" w:eastAsia="Arial" w:hAnsi="Arial"/>
          <w:sz w:val="18"/>
          <w:szCs w:val="18"/>
          <w:color w:val="auto"/>
        </w:rPr>
        <w:t xml:space="preserve"> no. 6:12-md-00064, in which a judgment of approximately $28 million was entered against Takeda and a judgment of approximately $9 million was entered against us. In September 2015, Takeda announced that more than 96 percent of eligible claimants had opted into the resolution program that was announced in April 2015. As a result of the resolution program,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has been fully resolved. Accordingly, the appeals filed by Allen, Takeda, and us in the U.S. Court of Appeals for the Fifth Circuit have been dismissed with prejudice.</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most U.S. product liability lawsuits involving Actos are included in the resolution program, there may be additional cases pending against Takeda and us following its completion. Our agreement with Takeda calls for Takeda to defend and indemnify us against our losses and expenses with respect to the U.S. litigation arising out of the manufacture, use, or sale of Actos and other related expenses in accordance with the terms of the agreement.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84" w:right="239" w:bottom="1440" w:gutter="0" w:footer="0" w:header="0"/>
        </w:sectPr>
      </w:pPr>
    </w:p>
    <w:bookmarkStart w:id="26" w:name="page27"/>
    <w:bookmarkEnd w:id="26"/>
    <w:p>
      <w:pPr>
        <w:ind w:right="540"/>
        <w:spacing w:after="0" w:line="292" w:lineRule="auto"/>
        <w:rPr>
          <w:sz w:val="20"/>
          <w:szCs w:val="20"/>
          <w:color w:val="auto"/>
        </w:rPr>
      </w:pPr>
      <w:r>
        <w:rPr>
          <w:rFonts w:ascii="Arial" w:cs="Arial" w:eastAsia="Arial" w:hAnsi="Arial"/>
          <w:sz w:val="18"/>
          <w:szCs w:val="18"/>
          <w:color w:val="auto"/>
        </w:rPr>
        <w:t>We believe we are entitled to full indemnification of our losses and expenses in these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3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are also named along with Takeda as a defendant in four purported product liability class actions in Canada related to Actos, including two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Byetta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named as a defendant in approximately 510 Byetta product liability lawsuits in the U.S. involving approximately 890 plaintiffs. Approximately 90 of these lawsuits, covering about 470 plaintiffs, are filed in California state court and coordinated in a Los Angeles Superior Court. Approximately 415 lawsuits, covering about 415 plaintiffs, are filed in federal court, the majority of which are coordinated in a multi-district litigation in the U.S. District Court for the Southern District of California. The remaining approximately five lawsuits, representing about five plaintiffs, are in various state courts. Approximately 465 of the lawsuits, involving approximately 700 plaintiffs, contain allegations that Byetta caused or contributed to the plaintiffs' cancer (primarily pancreatic cancer or thyroid cancer). The federal and state trial courts granted summary judgment in favor of us and co-defendants on the claims alleging pancreatic cancer; those rulings are being appealed by the plaintiffs. We are aware of approximately 10 additional claimants who have not yet filed suit. These additional claims allege damages for pancreatic cancer or thyroid cancer. We believe these lawsuits and claims are without merit and are prepared to defend against them vigorously.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purporting to represent a class of all persons within the U.S. who 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 and plaintiffs are appealing to the U.S. Court of Appeals for the Ninth Circuit.</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we have been named in approximately 140 lawsuits involving approximately 1,470 plaintiffs filed in various federal and state courts alleging injuries arising from discontinuation of treatment with Cymbalta. Counsel for plaintiffs in the federal court proceedings filed a petition seeking to have then-filed cases and an unspecified number of future cases coordinated into a federal MDL in the U.S. District Court for the Central District of California. In December 2014, the Judicial Panel on Multidistrict Litigation (JPML) denied the plaintiffs' petition for creation of an MDL. Plaintiffs’ counsel subsequently filed a second petition seeking MDL consolidation, which petition was denied by the JPML in October 2015. There have been approximately 40 individual and multi-plaintiff cases filed in California state court. Most of those cases have been centralized in a California Judicial Counsel Coordination Proceeding pending in Los Angeles. The first individual product liability cases were tried in August 2015 and resulted in defense verdicts against four plaintiffs. The plaintiff in one of those cases is appealing the verdict. The other plaintiffs in those cases will not be appealing the judgment.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and claims are without merit and are prepared to defend against them vigorously.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Prozac</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named as a defendant in approximately five U.S. lawsuits primarily related to allegations that the antidepressant Prozac caused or contributed to birth defects in the children of women who ingested the drug during pregnancy. We are aware of approximately 400 additional claims related to birth defects, which have not yet been filed. We believe these lawsuits and claims are without merit and are prepared to defend against them vigorously.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1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84" w:right="259" w:bottom="1440" w:gutter="0" w:footer="0" w:header="0"/>
        </w:sectPr>
      </w:pPr>
    </w:p>
    <w:bookmarkStart w:id="27" w:name="page28"/>
    <w:bookmarkEnd w:id="27"/>
    <w:p>
      <w:pPr>
        <w:ind w:right="60"/>
        <w:spacing w:after="0" w:line="256" w:lineRule="auto"/>
        <w:rPr>
          <w:sz w:val="20"/>
          <w:szCs w:val="20"/>
          <w:color w:val="auto"/>
        </w:rPr>
      </w:pPr>
      <w:r>
        <w:rPr>
          <w:rFonts w:ascii="Arial" w:cs="Arial" w:eastAsia="Arial" w:hAnsi="Arial"/>
          <w:sz w:val="18"/>
          <w:szCs w:val="18"/>
          <w:color w:val="auto"/>
        </w:rPr>
        <w:t>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cannot currently estimate the range of reasonably possible financial losses that could arise if we do not ultimately prevail in the litigation. The judge has estimated the total financial impact of the ruling to be approximately 1.0 billion Brazilian real (approximately $310 million as of June 30, 2016) plus interest. We strongly disagree with the decision and filed an appeal in May 2014.</w:t>
      </w:r>
    </w:p>
    <w:p>
      <w:pPr>
        <w:spacing w:after="0" w:line="70"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We are also named in approximately 30 lawsuits filed in labor courts by individual former employees making similar claims. We believe these lawsuits are without merit and are prepared to defend against them vigorously.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16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11:</w:t>
        <w:tab/>
        <w:t>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3"/>
                <w:szCs w:val="13"/>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24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(1,085.4)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17.9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(2,981.1)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(4,264.7)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(187.6)</w:t>
            </w:r>
          </w:p>
        </w:tc>
        <w:tc>
          <w:tcPr>
            <w:tcW w:w="3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8.8</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24.6</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(156.4)</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24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spacing w:after="0"/>
              <w:rPr>
                <w:sz w:val="17"/>
                <w:szCs w:val="17"/>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37.4</w:t>
            </w:r>
          </w:p>
        </w:tc>
        <w:tc>
          <w:tcPr>
            <w:tcW w:w="220" w:type="dxa"/>
            <w:vAlign w:val="bottom"/>
          </w:tcPr>
          <w:p>
            <w:pPr>
              <w:spacing w:after="0"/>
              <w:rPr>
                <w:sz w:val="17"/>
                <w:szCs w:val="17"/>
                <w:color w:val="auto"/>
              </w:rPr>
            </w:pPr>
          </w:p>
        </w:tc>
        <w:tc>
          <w:tcPr>
            <w:tcW w:w="13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(187.6)</w:t>
            </w: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18.9</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62.0</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(106.5)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36.8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(4,371.2)</w:t>
            </w:r>
          </w:p>
        </w:tc>
        <w:tc>
          <w:tcPr>
            <w:tcW w:w="0" w:type="dxa"/>
            <w:vAlign w:val="bottom"/>
          </w:tcPr>
          <w:p>
            <w:pPr>
              <w:spacing w:after="0"/>
              <w:rPr>
                <w:sz w:val="1"/>
                <w:szCs w:val="1"/>
                <w:color w:val="auto"/>
              </w:rPr>
            </w:pPr>
          </w:p>
        </w:tc>
      </w:tr>
      <w:tr>
        <w:trPr>
          <w:trHeight w:val="381"/>
        </w:trPr>
        <w:tc>
          <w:tcPr>
            <w:tcW w:w="3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vMerge w:val="restart"/>
          </w:tcPr>
          <w:p>
            <w:pPr>
              <w:jc w:val="center"/>
              <w:ind w:right="120"/>
              <w:spacing w:after="0"/>
              <w:rPr>
                <w:sz w:val="20"/>
                <w:szCs w:val="20"/>
                <w:color w:val="auto"/>
              </w:rPr>
            </w:pPr>
            <w:r>
              <w:rPr>
                <w:rFonts w:ascii="Arial" w:cs="Arial" w:eastAsia="Arial" w:hAnsi="Arial"/>
                <w:sz w:val="13"/>
                <w:szCs w:val="13"/>
                <w:b w:val="1"/>
                <w:bCs w:val="1"/>
                <w:color w:val="auto"/>
                <w:w w:val="95"/>
              </w:rPr>
              <w:t>Foreign Currency</w:t>
            </w: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April 1, 2015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(1,294.4)</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155.6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(3,293.1)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(4,657.5)</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256.8</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256.8</w:t>
            </w: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(1,037.6)</w:t>
            </w:r>
          </w:p>
        </w:tc>
        <w:tc>
          <w:tcPr>
            <w:tcW w:w="3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(3,263.3)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(4,403.2)</w:t>
            </w:r>
          </w:p>
        </w:tc>
        <w:tc>
          <w:tcPr>
            <w:tcW w:w="0" w:type="dxa"/>
            <w:vAlign w:val="bottom"/>
          </w:tcPr>
          <w:p>
            <w:pPr>
              <w:spacing w:after="0"/>
              <w:rPr>
                <w:sz w:val="1"/>
                <w:szCs w:val="1"/>
                <w:color w:val="auto"/>
              </w:rPr>
            </w:pPr>
          </w:p>
        </w:tc>
      </w:tr>
      <w:tr>
        <w:trPr>
          <w:trHeight w:val="463"/>
        </w:trPr>
        <w:tc>
          <w:tcPr>
            <w:tcW w:w="3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894"/>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six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56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3"/>
                <w:szCs w:val="13"/>
                <w:color w:val="auto"/>
              </w:rPr>
            </w:pPr>
          </w:p>
        </w:tc>
        <w:tc>
          <w:tcPr>
            <w:tcW w:w="1280" w:type="dxa"/>
            <w:vAlign w:val="bottom"/>
          </w:tcPr>
          <w:p>
            <w:pPr>
              <w:jc w:val="center"/>
              <w:ind w:right="180"/>
              <w:spacing w:after="0"/>
              <w:rPr>
                <w:sz w:val="20"/>
                <w:szCs w:val="20"/>
                <w:color w:val="auto"/>
              </w:rPr>
            </w:pPr>
            <w:r>
              <w:rPr>
                <w:rFonts w:ascii="Arial" w:cs="Arial" w:eastAsia="Arial" w:hAnsi="Arial"/>
                <w:sz w:val="13"/>
                <w:szCs w:val="13"/>
                <w:b w:val="1"/>
                <w:bCs w:val="1"/>
                <w:color w:val="auto"/>
                <w:w w:val="98"/>
              </w:rPr>
              <w:t>Defined Benefit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1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60" w:type="dxa"/>
            <w:vAlign w:val="bottom"/>
          </w:tcPr>
          <w:p>
            <w:pPr>
              <w:spacing w:after="0"/>
              <w:rPr>
                <w:sz w:val="11"/>
                <w:szCs w:val="11"/>
                <w:color w:val="auto"/>
              </w:rPr>
            </w:pPr>
          </w:p>
        </w:tc>
        <w:tc>
          <w:tcPr>
            <w:tcW w:w="1200" w:type="dxa"/>
            <w:vAlign w:val="bottom"/>
          </w:tcPr>
          <w:p>
            <w:pPr>
              <w:jc w:val="center"/>
              <w:ind w:right="194"/>
              <w:spacing w:after="0" w:line="135" w:lineRule="exact"/>
              <w:rPr>
                <w:sz w:val="20"/>
                <w:szCs w:val="20"/>
                <w:color w:val="auto"/>
              </w:rPr>
            </w:pPr>
            <w:r>
              <w:rPr>
                <w:rFonts w:ascii="Arial" w:cs="Arial" w:eastAsia="Arial" w:hAnsi="Arial"/>
                <w:sz w:val="13"/>
                <w:szCs w:val="13"/>
                <w:b w:val="1"/>
                <w:bCs w:val="1"/>
                <w:color w:val="auto"/>
                <w:w w:val="97"/>
              </w:rPr>
              <w:t>(Losses)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Gains (Losses)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3"/>
                <w:szCs w:val="13"/>
                <w:b w:val="1"/>
                <w:bCs w:val="1"/>
                <w:color w:val="auto"/>
                <w:w w:val="97"/>
              </w:rPr>
              <w:t>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(1,360.2)</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10.1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(4,580.7)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w:t>
            </w:r>
          </w:p>
        </w:tc>
        <w:tc>
          <w:tcPr>
            <w:tcW w:w="3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13.0</w:t>
            </w:r>
          </w:p>
        </w:tc>
        <w:tc>
          <w:tcPr>
            <w:tcW w:w="2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20.5</w:t>
            </w:r>
          </w:p>
        </w:tc>
        <w:tc>
          <w:tcPr>
            <w:tcW w:w="22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44.0</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360" w:type="dxa"/>
            <w:vAlign w:val="bottom"/>
          </w:tcPr>
          <w:p>
            <w:pPr>
              <w:spacing w:after="0"/>
              <w:rPr>
                <w:sz w:val="17"/>
                <w:szCs w:val="17"/>
                <w:color w:val="auto"/>
              </w:rPr>
            </w:pPr>
          </w:p>
        </w:tc>
        <w:tc>
          <w:tcPr>
            <w:tcW w:w="120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13.7</w:t>
            </w:r>
          </w:p>
        </w:tc>
        <w:tc>
          <w:tcPr>
            <w:tcW w:w="260" w:type="dxa"/>
            <w:vAlign w:val="bottom"/>
          </w:tcPr>
          <w:p>
            <w:pPr>
              <w:spacing w:after="0"/>
              <w:rPr>
                <w:sz w:val="17"/>
                <w:szCs w:val="17"/>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72.5</w:t>
            </w:r>
          </w:p>
        </w:tc>
        <w:tc>
          <w:tcPr>
            <w:tcW w:w="220" w:type="dxa"/>
            <w:vAlign w:val="bottom"/>
          </w:tcPr>
          <w:p>
            <w:pPr>
              <w:spacing w:after="0"/>
              <w:rPr>
                <w:sz w:val="17"/>
                <w:szCs w:val="17"/>
                <w:color w:val="auto"/>
              </w:rPr>
            </w:pPr>
          </w:p>
        </w:tc>
        <w:tc>
          <w:tcPr>
            <w:tcW w:w="1300" w:type="dxa"/>
            <w:vAlign w:val="bottom"/>
            <w:vMerge w:val="restart"/>
          </w:tcPr>
          <w:p>
            <w:pPr>
              <w:jc w:val="right"/>
              <w:ind w:right="156"/>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7"/>
                <w:szCs w:val="17"/>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165.5</w:t>
            </w:r>
          </w:p>
        </w:tc>
        <w:tc>
          <w:tcPr>
            <w:tcW w:w="0" w:type="dxa"/>
            <w:vAlign w:val="bottom"/>
          </w:tcPr>
          <w:p>
            <w:pPr>
              <w:spacing w:after="0"/>
              <w:rPr>
                <w:sz w:val="1"/>
                <w:szCs w:val="1"/>
                <w:color w:val="auto"/>
              </w:rPr>
            </w:pPr>
          </w:p>
        </w:tc>
      </w:tr>
      <w:tr>
        <w:trPr>
          <w:trHeight w:val="252"/>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87.2</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26.7</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93.0</w:t>
            </w: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209.5</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(1,273.0)</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36.8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96"/>
              <w:spacing w:after="0"/>
              <w:rPr>
                <w:sz w:val="20"/>
                <w:szCs w:val="20"/>
                <w:color w:val="auto"/>
              </w:rPr>
            </w:pPr>
            <w:r>
              <w:rPr>
                <w:rFonts w:ascii="Arial" w:cs="Arial" w:eastAsia="Arial" w:hAnsi="Arial"/>
                <w:sz w:val="18"/>
                <w:szCs w:val="18"/>
                <w:b w:val="1"/>
                <w:bCs w:val="1"/>
                <w:color w:val="auto"/>
              </w:rPr>
              <w:t>(215.9)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(4,371.2)</w:t>
            </w:r>
          </w:p>
        </w:tc>
        <w:tc>
          <w:tcPr>
            <w:tcW w:w="0" w:type="dxa"/>
            <w:vAlign w:val="bottom"/>
          </w:tcPr>
          <w:p>
            <w:pPr>
              <w:spacing w:after="0"/>
              <w:rPr>
                <w:sz w:val="1"/>
                <w:szCs w:val="1"/>
                <w:color w:val="auto"/>
              </w:rPr>
            </w:pPr>
          </w:p>
        </w:tc>
      </w:tr>
      <w:tr>
        <w:trPr>
          <w:trHeight w:val="381"/>
        </w:trPr>
        <w:tc>
          <w:tcPr>
            <w:tcW w:w="37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vMerge w:val="restart"/>
          </w:tcPr>
          <w:p>
            <w:pPr>
              <w:jc w:val="center"/>
              <w:ind w:right="120"/>
              <w:spacing w:after="0"/>
              <w:rPr>
                <w:sz w:val="20"/>
                <w:szCs w:val="20"/>
                <w:color w:val="auto"/>
              </w:rPr>
            </w:pPr>
            <w:r>
              <w:rPr>
                <w:rFonts w:ascii="Arial" w:cs="Arial" w:eastAsia="Arial" w:hAnsi="Arial"/>
                <w:sz w:val="13"/>
                <w:szCs w:val="13"/>
                <w:b w:val="1"/>
                <w:bCs w:val="1"/>
                <w:color w:val="auto"/>
                <w:w w:val="95"/>
              </w:rPr>
              <w:t>Foreign Currency</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Unrealized Net Gains</w:t>
            </w:r>
          </w:p>
        </w:tc>
        <w:tc>
          <w:tcPr>
            <w:tcW w:w="260" w:type="dxa"/>
            <w:vAlign w:val="bottom"/>
          </w:tcPr>
          <w:p>
            <w:pPr>
              <w:spacing w:after="0"/>
              <w:rPr>
                <w:sz w:val="11"/>
                <w:szCs w:val="11"/>
                <w:color w:val="auto"/>
              </w:rPr>
            </w:pPr>
          </w:p>
        </w:tc>
        <w:tc>
          <w:tcPr>
            <w:tcW w:w="128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center"/>
              <w:ind w:right="3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56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8"/>
              </w:rPr>
              <w:t>Gains (Losses)</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(Losses) on Securities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65"/>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(498.4)</w:t>
            </w:r>
          </w:p>
        </w:tc>
        <w:tc>
          <w:tcPr>
            <w:tcW w:w="3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(3,402.0)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(3,991.8)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(37.8)</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68"/>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(32.2)</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(1,037.6)</w:t>
            </w:r>
          </w:p>
        </w:tc>
        <w:tc>
          <w:tcPr>
            <w:tcW w:w="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121.0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(3,263.3)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(223.3)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(4,403.2)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5"/>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(26.0)</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7"/>
              <w:spacing w:after="0"/>
              <w:rPr>
                <w:sz w:val="20"/>
                <w:szCs w:val="20"/>
                <w:color w:val="auto"/>
              </w:rPr>
            </w:pPr>
            <w:r>
              <w:rPr>
                <w:rFonts w:ascii="Arial" w:cs="Arial" w:eastAsia="Arial" w:hAnsi="Arial"/>
                <w:sz w:val="18"/>
                <w:szCs w:val="18"/>
                <w:b w:val="1"/>
                <w:bCs w:val="1"/>
                <w:color w:val="auto"/>
              </w:rPr>
              <w:t>1.7</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9"/>
        </w:trPr>
        <w:tc>
          <w:tcPr>
            <w:tcW w:w="6340" w:type="dxa"/>
            <w:vAlign w:val="bottom"/>
          </w:tcPr>
          <w:p>
            <w:pPr>
              <w:ind w:left="40"/>
              <w:spacing w:after="0"/>
              <w:rPr>
                <w:sz w:val="20"/>
                <w:szCs w:val="20"/>
                <w:color w:val="auto"/>
              </w:rPr>
            </w:pPr>
            <w:r>
              <w:rPr>
                <w:rFonts w:ascii="Arial" w:cs="Arial" w:eastAsia="Arial" w:hAnsi="Arial"/>
                <w:sz w:val="18"/>
                <w:szCs w:val="18"/>
                <w:color w:val="auto"/>
              </w:rPr>
              <w:t>Unrealized net gains (losses) on securities</w:t>
            </w:r>
          </w:p>
        </w:tc>
        <w:tc>
          <w:tcPr>
            <w:tcW w:w="260" w:type="dxa"/>
            <w:vAlign w:val="bottom"/>
          </w:tcPr>
          <w:p>
            <w:pPr>
              <w:spacing w:after="0"/>
              <w:rPr>
                <w:sz w:val="23"/>
                <w:szCs w:val="23"/>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b w:val="1"/>
                <w:bCs w:val="1"/>
                <w:color w:val="auto"/>
              </w:rPr>
              <w:t>(10.2)</w:t>
            </w:r>
          </w:p>
        </w:tc>
        <w:tc>
          <w:tcPr>
            <w:tcW w:w="480" w:type="dxa"/>
            <w:vAlign w:val="bottom"/>
          </w:tcPr>
          <w:p>
            <w:pPr>
              <w:spacing w:after="0"/>
              <w:rPr>
                <w:sz w:val="23"/>
                <w:szCs w:val="23"/>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23"/>
                <w:szCs w:val="23"/>
                <w:color w:val="auto"/>
              </w:rPr>
            </w:pPr>
          </w:p>
        </w:tc>
        <w:tc>
          <w:tcPr>
            <w:tcW w:w="900" w:type="dxa"/>
            <w:vAlign w:val="bottom"/>
          </w:tcPr>
          <w:p>
            <w:pPr>
              <w:jc w:val="right"/>
              <w:ind w:right="117"/>
              <w:spacing w:after="0"/>
              <w:rPr>
                <w:sz w:val="20"/>
                <w:szCs w:val="20"/>
                <w:color w:val="auto"/>
              </w:rPr>
            </w:pPr>
            <w:r>
              <w:rPr>
                <w:rFonts w:ascii="Arial" w:cs="Arial" w:eastAsia="Arial" w:hAnsi="Arial"/>
                <w:sz w:val="18"/>
                <w:szCs w:val="18"/>
                <w:b w:val="1"/>
                <w:bCs w:val="1"/>
                <w:color w:val="auto"/>
              </w:rPr>
              <w:t>(14.4)</w:t>
            </w:r>
          </w:p>
        </w:tc>
        <w:tc>
          <w:tcPr>
            <w:tcW w:w="480" w:type="dxa"/>
            <w:vAlign w:val="bottom"/>
          </w:tcPr>
          <w:p>
            <w:pPr>
              <w:spacing w:after="0"/>
              <w:rPr>
                <w:sz w:val="23"/>
                <w:szCs w:val="23"/>
                <w:color w:val="auto"/>
              </w:rPr>
            </w:pP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1"/>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(21.8)</w:t>
            </w: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(47.5)</w:t>
            </w: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69"/>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(0.1)</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(1.4)</w:t>
            </w:r>
          </w:p>
        </w:tc>
        <w:tc>
          <w:tcPr>
            <w:tcW w:w="4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87"/>
        </w:trPr>
        <w:tc>
          <w:tcPr>
            <w:tcW w:w="634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Provision for income taxes allocated to other comprehensive income (loss)</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(58.1)</w:t>
            </w:r>
          </w:p>
        </w:tc>
        <w:tc>
          <w:tcPr>
            <w:tcW w:w="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8.8</w:t>
            </w: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(61.6)</w:t>
            </w:r>
          </w:p>
        </w:tc>
        <w:tc>
          <w:tcPr>
            <w:tcW w:w="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6"/>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87"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Reclassifications Out of Accumulated Other</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14605</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660" w:type="dxa"/>
            <w:vAlign w:val="bottom"/>
          </w:tcPr>
          <w:p>
            <w:pPr>
              <w:spacing w:after="0"/>
              <w:rPr>
                <w:sz w:val="17"/>
                <w:szCs w:val="17"/>
                <w:color w:val="auto"/>
              </w:rPr>
            </w:pPr>
          </w:p>
        </w:tc>
        <w:tc>
          <w:tcPr>
            <w:tcW w:w="1360" w:type="dxa"/>
            <w:vAlign w:val="bottom"/>
          </w:tcPr>
          <w:p>
            <w:pPr>
              <w:jc w:val="center"/>
              <w:ind w:right="628"/>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7"/>
                <w:szCs w:val="17"/>
                <w:color w:val="auto"/>
              </w:rPr>
            </w:pPr>
          </w:p>
        </w:tc>
        <w:tc>
          <w:tcPr>
            <w:tcW w:w="1280" w:type="dxa"/>
            <w:vAlign w:val="bottom"/>
          </w:tcPr>
          <w:p>
            <w:pPr>
              <w:jc w:val="center"/>
              <w:ind w:right="588"/>
              <w:spacing w:after="0"/>
              <w:rPr>
                <w:sz w:val="20"/>
                <w:szCs w:val="20"/>
                <w:color w:val="auto"/>
              </w:rPr>
            </w:pPr>
            <w:r>
              <w:rPr>
                <w:rFonts w:ascii="Arial" w:cs="Arial" w:eastAsia="Arial" w:hAnsi="Arial"/>
                <w:sz w:val="14"/>
                <w:szCs w:val="14"/>
                <w:b w:val="1"/>
                <w:bCs w:val="1"/>
                <w:color w:val="auto"/>
              </w:rPr>
              <w:t>June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9"/>
        </w:trPr>
        <w:tc>
          <w:tcPr>
            <w:tcW w:w="3920" w:type="dxa"/>
            <w:vAlign w:val="bottom"/>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3920" w:type="dxa"/>
            <w:vAlign w:val="bottom"/>
            <w:vMerge w:val="continue"/>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3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28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920" w:type="dxa"/>
            <w:vAlign w:val="bottom"/>
          </w:tcPr>
          <w:p>
            <w:pPr>
              <w:jc w:val="center"/>
              <w:ind w:right="88"/>
              <w:spacing w:after="0"/>
              <w:rPr>
                <w:sz w:val="20"/>
                <w:szCs w:val="20"/>
                <w:color w:val="auto"/>
              </w:rPr>
            </w:pPr>
            <w:r>
              <w:rPr>
                <w:rFonts w:ascii="Arial" w:cs="Arial" w:eastAsia="Arial" w:hAnsi="Arial"/>
                <w:sz w:val="14"/>
                <w:szCs w:val="14"/>
                <w:b w:val="1"/>
                <w:bCs w:val="1"/>
                <w:color w:val="auto"/>
              </w:rPr>
              <w:t>Components</w:t>
            </w:r>
          </w:p>
        </w:tc>
        <w:tc>
          <w:tcPr>
            <w:tcW w:w="6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3000" w:type="dxa"/>
            <w:vAlign w:val="bottom"/>
          </w:tcPr>
          <w:p>
            <w:pPr>
              <w:jc w:val="center"/>
              <w:ind w:left="32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wp:posOffset>
            </wp:positionV>
            <wp:extent cx="721233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396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(21.7)</w:t>
            </w:r>
          </w:p>
        </w:tc>
        <w:tc>
          <w:tcPr>
            <w:tcW w:w="3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(37.1)</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340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9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9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2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79.2</w:t>
            </w:r>
          </w:p>
        </w:tc>
        <w:tc>
          <w:tcPr>
            <w:tcW w:w="3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100.4</w:t>
            </w: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152.7</w:t>
            </w:r>
          </w:p>
        </w:tc>
        <w:tc>
          <w:tcPr>
            <w:tcW w:w="3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3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0"/>
        </w:trPr>
        <w:tc>
          <w:tcPr>
            <w:tcW w:w="3960" w:type="dxa"/>
            <w:vAlign w:val="bottom"/>
            <w:vMerge w:val="continue"/>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3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960" w:type="dxa"/>
            <w:vAlign w:val="bottom"/>
          </w:tcPr>
          <w:p>
            <w:pPr>
              <w:jc w:val="right"/>
              <w:ind w:right="50"/>
              <w:spacing w:after="0"/>
              <w:rPr>
                <w:sz w:val="20"/>
                <w:szCs w:val="20"/>
                <w:color w:val="auto"/>
              </w:rPr>
            </w:pPr>
            <w:r>
              <w:rPr>
                <w:rFonts w:ascii="Arial" w:cs="Arial" w:eastAsia="Arial" w:hAnsi="Arial"/>
                <w:sz w:val="18"/>
                <w:szCs w:val="18"/>
                <w:color w:val="auto"/>
              </w:rPr>
              <w:t>Total before tax</w:t>
            </w:r>
          </w:p>
        </w:tc>
        <w:tc>
          <w:tcPr>
            <w:tcW w:w="26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57.5</w:t>
            </w:r>
          </w:p>
        </w:tc>
        <w:tc>
          <w:tcPr>
            <w:tcW w:w="3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32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115.6</w:t>
            </w:r>
          </w:p>
        </w:tc>
        <w:tc>
          <w:tcPr>
            <w:tcW w:w="3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Tax benefit</w:t>
            </w: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w:t>
            </w: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3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3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960" w:type="dxa"/>
            <w:vAlign w:val="bottom"/>
          </w:tcPr>
          <w:p>
            <w:pPr>
              <w:jc w:val="right"/>
              <w:ind w:right="5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37.4</w:t>
            </w:r>
          </w:p>
        </w:tc>
        <w:tc>
          <w:tcPr>
            <w:tcW w:w="300" w:type="dxa"/>
            <w:vAlign w:val="bottom"/>
          </w:tcPr>
          <w:p>
            <w:pPr>
              <w:spacing w:after="0"/>
              <w:rPr>
                <w:sz w:val="22"/>
                <w:szCs w:val="22"/>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320" w:type="dxa"/>
            <w:vAlign w:val="bottom"/>
          </w:tcPr>
          <w:p>
            <w:pPr>
              <w:spacing w:after="0"/>
              <w:rPr>
                <w:sz w:val="22"/>
                <w:szCs w:val="22"/>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b w:val="1"/>
                <w:bCs w:val="1"/>
                <w:color w:val="auto"/>
              </w:rPr>
              <w:t>72.5</w:t>
            </w:r>
          </w:p>
        </w:tc>
        <w:tc>
          <w:tcPr>
            <w:tcW w:w="3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108.1</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Arial" w:cs="Arial" w:eastAsia="Arial" w:hAnsi="Arial"/>
                <w:sz w:val="18"/>
                <w:szCs w:val="18"/>
                <w:color w:val="auto"/>
              </w:rPr>
              <w:t>Unrealized gains/losses on available-for-sale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60" w:type="dxa"/>
            <w:vAlign w:val="bottom"/>
          </w:tcPr>
          <w:p>
            <w:pPr>
              <w:ind w:left="200"/>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(gains) losses, net before tax</w:t>
            </w: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Impairment losses</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15.9</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Total before tax</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15.6</w:t>
            </w: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21.1</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Tax (benefit) expense</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Net of tax</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w:t>
            </w: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79.3</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3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165.5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3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These accumulated other comprehensive loss components are included in the computation of net periodic benefit (income) cost (see Note 9).</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Amount for the six months ended June 30, 2016 included primarily $74.5 million of foreign currency translation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Other–Net,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65"/>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43.2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86.6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77.7</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(23.5)</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23"/>
                <w:szCs w:val="23"/>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b w:val="1"/>
                <w:bCs w:val="1"/>
                <w:color w:val="auto"/>
              </w:rPr>
              <w:t>(47.7)</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Venezuela charge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203.9</w:t>
            </w:r>
          </w:p>
        </w:tc>
        <w:tc>
          <w:tcPr>
            <w:tcW w:w="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Debt extinguishment loss (Note 6)</w:t>
            </w:r>
          </w:p>
        </w:tc>
        <w:tc>
          <w:tcPr>
            <w:tcW w:w="240" w:type="dxa"/>
            <w:vAlign w:val="bottom"/>
          </w:tcPr>
          <w:p>
            <w:pPr>
              <w:spacing w:after="0"/>
              <w:rPr>
                <w:sz w:val="23"/>
                <w:szCs w:val="23"/>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166.7</w:t>
            </w:r>
          </w:p>
        </w:tc>
        <w:tc>
          <w:tcPr>
            <w:tcW w:w="320" w:type="dxa"/>
            <w:vAlign w:val="bottom"/>
          </w:tcPr>
          <w:p>
            <w:pPr>
              <w:spacing w:after="0"/>
              <w:rPr>
                <w:sz w:val="23"/>
                <w:szCs w:val="23"/>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166.7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(40.9)</w:t>
            </w: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(115.0)</w:t>
            </w:r>
          </w:p>
        </w:tc>
        <w:tc>
          <w:tcPr>
            <w:tcW w:w="3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r>
      <w:tr>
        <w:trPr>
          <w:trHeight w:val="258"/>
        </w:trPr>
        <w:tc>
          <w:tcPr>
            <w:tcW w:w="694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(21.2)</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123.3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127.8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30.6</w:t>
            </w: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first quarter of 2016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13: Segment Information</w:t>
      </w:r>
    </w:p>
    <w:p>
      <w:pPr>
        <w:spacing w:after="0" w:line="17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have two operating segments—human pharmaceutical products and animal health. Our operating segments are distinguished by the ultimate end user of the product—humans or animals. Performance is evaluated based on profit or loss from operations before income taxes.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3"/>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8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46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46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65"/>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5"/>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701.9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654.3</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1,308.2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1,338.2</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332.3</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316.4</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688.7</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632.1</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367.6</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328.4</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686.3</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621.4</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201.3</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344.9</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121.0</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215.4</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162.4</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234.3</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214.5</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471.6</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447.5</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1,958.4</w:t>
            </w:r>
          </w:p>
        </w:tc>
        <w:tc>
          <w:tcPr>
            <w:tcW w:w="44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1,637.9</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3,715.1</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3,264.2</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65"/>
        </w:trPr>
        <w:tc>
          <w:tcPr>
            <w:tcW w:w="4620" w:type="dxa"/>
            <w:vAlign w:val="bottom"/>
          </w:tcPr>
          <w:p>
            <w:pPr>
              <w:ind w:left="280"/>
              <w:spacing w:after="0"/>
              <w:rPr>
                <w:sz w:val="20"/>
                <w:szCs w:val="20"/>
                <w:color w:val="auto"/>
              </w:rPr>
            </w:pPr>
            <w:r>
              <w:rPr>
                <w:rFonts w:ascii="Arial" w:cs="Arial" w:eastAsia="Arial" w:hAnsi="Arial"/>
                <w:sz w:val="18"/>
                <w:szCs w:val="18"/>
                <w:color w:val="auto"/>
              </w:rPr>
              <w:t>Oncology:</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Alimta</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607.1</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664.3</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1,171.3</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1,237.4</w:t>
            </w: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180.6</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134.6</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348.6</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222.8</w:t>
            </w:r>
          </w:p>
        </w:tc>
      </w:tr>
      <w:tr>
        <w:trPr>
          <w:trHeight w:val="271"/>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147.0</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87.7</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278.0</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155.2</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35.8</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36.0</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67.1</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66.2</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970.5</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922.6</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1,865.0</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1,681.6</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Cardiovascular:</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630.5</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567.9</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1,207.2</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1,106.2</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Effient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135.1</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128.8</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266.6</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250.6</w:t>
            </w:r>
          </w:p>
        </w:tc>
      </w:tr>
      <w:tr>
        <w:trPr>
          <w:trHeight w:val="269"/>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61.7</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66.5</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107.6</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w:t>
            </w:r>
          </w:p>
        </w:tc>
      </w:tr>
      <w:tr>
        <w:trPr>
          <w:trHeight w:val="264"/>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Cardiovascular</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827.3</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763.2</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1,581.4</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1,478.4</w:t>
            </w:r>
          </w:p>
        </w:tc>
      </w:tr>
      <w:tr>
        <w:trPr>
          <w:trHeight w:val="122"/>
        </w:trPr>
        <w:tc>
          <w:tcPr>
            <w:tcW w:w="4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4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9"/>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Cymbalta</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236.5</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274.1</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435.2</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561.1</w:t>
            </w:r>
          </w:p>
        </w:tc>
      </w:tr>
      <w:tr>
        <w:trPr>
          <w:trHeight w:val="271"/>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1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210.7</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253.7</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423.4</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473.2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224.6</w:t>
            </w:r>
          </w:p>
        </w:tc>
        <w:tc>
          <w:tcPr>
            <w:tcW w:w="44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191.8</w:t>
            </w:r>
          </w:p>
        </w:tc>
        <w:tc>
          <w:tcPr>
            <w:tcW w:w="3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412.7</w:t>
            </w:r>
          </w:p>
        </w:tc>
        <w:tc>
          <w:tcPr>
            <w:tcW w:w="4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365.5</w:t>
            </w:r>
          </w:p>
        </w:tc>
      </w:tr>
      <w:tr>
        <w:trPr>
          <w:trHeight w:val="269"/>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8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45.9</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90.0</w:t>
            </w: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w:t>
            </w:r>
          </w:p>
        </w:tc>
      </w:tr>
      <w:tr>
        <w:trPr>
          <w:trHeight w:val="264"/>
        </w:trPr>
        <w:tc>
          <w:tcPr>
            <w:tcW w:w="4620" w:type="dxa"/>
            <w:vAlign w:val="bottom"/>
          </w:tcPr>
          <w:p>
            <w:pPr>
              <w:ind w:left="500"/>
              <w:spacing w:after="0"/>
              <w:rPr>
                <w:sz w:val="20"/>
                <w:szCs w:val="20"/>
                <w:color w:val="auto"/>
              </w:rPr>
            </w:pPr>
            <w:r>
              <w:rPr>
                <w:rFonts w:ascii="Arial" w:cs="Arial" w:eastAsia="Arial" w:hAnsi="Arial"/>
                <w:sz w:val="18"/>
                <w:szCs w:val="18"/>
                <w:color w:val="auto"/>
              </w:rPr>
              <w:t>Total Neuroscience</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717.7</w:t>
            </w:r>
          </w:p>
        </w:tc>
        <w:tc>
          <w:tcPr>
            <w:tcW w:w="44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763.9</w:t>
            </w:r>
          </w:p>
        </w:tc>
        <w:tc>
          <w:tcPr>
            <w:tcW w:w="320" w:type="dxa"/>
            <w:vAlign w:val="bottom"/>
          </w:tcPr>
          <w:p>
            <w:pPr>
              <w:spacing w:after="0"/>
              <w:rPr>
                <w:sz w:val="22"/>
                <w:szCs w:val="22"/>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1,361.3</w:t>
            </w:r>
          </w:p>
        </w:tc>
        <w:tc>
          <w:tcPr>
            <w:tcW w:w="4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1,489.2</w:t>
            </w:r>
          </w:p>
        </w:tc>
      </w:tr>
      <w:tr>
        <w:trPr>
          <w:trHeight w:val="122"/>
        </w:trPr>
        <w:tc>
          <w:tcPr>
            <w:tcW w:w="46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69"/>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71.1</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50.3</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132.7</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119.5</w:t>
            </w:r>
          </w:p>
        </w:tc>
      </w:tr>
      <w:tr>
        <w:trPr>
          <w:trHeight w:val="26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18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4,545.0</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4,137.9</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8,655.5</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8,032.9</w:t>
            </w:r>
          </w:p>
        </w:tc>
      </w:tr>
      <w:tr>
        <w:trPr>
          <w:trHeight w:val="269"/>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w:t>
            </w:r>
          </w:p>
        </w:tc>
        <w:tc>
          <w:tcPr>
            <w:tcW w:w="18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859.8</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840.8</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1,614.4</w:t>
            </w: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1,590.5</w:t>
            </w:r>
          </w:p>
        </w:tc>
      </w:tr>
      <w:tr>
        <w:trPr>
          <w:trHeight w:val="28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5,404.8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4,978.7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10,269.9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9,623.4</w:t>
            </w:r>
          </w:p>
        </w:tc>
      </w:tr>
      <w:tr>
        <w:trPr>
          <w:trHeight w:val="666"/>
        </w:trPr>
        <w:tc>
          <w:tcPr>
            <w:tcW w:w="46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jc w:val="right"/>
              <w:ind w:right="590"/>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14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6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9"/>
        </w:trPr>
        <w:tc>
          <w:tcPr>
            <w:tcW w:w="650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959.4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1,016.8</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1,886.3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2,099.9</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211.7</w:t>
            </w: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188.3</w:t>
            </w: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359.4</w:t>
            </w: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r>
      <w:tr>
        <w:trPr>
          <w:trHeight w:val="271"/>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1,171.1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1,205.1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2,245.7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2,403.2</w:t>
            </w:r>
          </w:p>
        </w:tc>
      </w:tr>
      <w:tr>
        <w:trPr>
          <w:trHeight w:val="122"/>
        </w:trPr>
        <w:tc>
          <w:tcPr>
            <w:tcW w:w="6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265"/>
        </w:trPr>
        <w:tc>
          <w:tcPr>
            <w:tcW w:w="650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1,171.1</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2,245.7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2,403.2</w:t>
            </w:r>
          </w:p>
        </w:tc>
      </w:tr>
      <w:tr>
        <w:trPr>
          <w:trHeight w:val="265"/>
        </w:trPr>
        <w:tc>
          <w:tcPr>
            <w:tcW w:w="650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(168.6)</w:t>
            </w:r>
          </w:p>
        </w:tc>
        <w:tc>
          <w:tcPr>
            <w:tcW w:w="40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(341.1)</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(304.6)</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(58.0)</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69"/>
        </w:trPr>
        <w:tc>
          <w:tcPr>
            <w:tcW w:w="6500" w:type="dxa"/>
            <w:vAlign w:val="bottom"/>
          </w:tcPr>
          <w:p>
            <w:pPr>
              <w:ind w:left="280"/>
              <w:spacing w:after="0"/>
              <w:rPr>
                <w:sz w:val="20"/>
                <w:szCs w:val="20"/>
                <w:color w:val="auto"/>
              </w:rPr>
            </w:pPr>
            <w:r>
              <w:rPr>
                <w:rFonts w:ascii="Arial" w:cs="Arial" w:eastAsia="Arial" w:hAnsi="Arial"/>
                <w:sz w:val="18"/>
                <w:szCs w:val="18"/>
                <w:color w:val="auto"/>
              </w:rPr>
              <w:t>Venezuela charge (Note 12)</w:t>
            </w:r>
          </w:p>
        </w:tc>
        <w:tc>
          <w:tcPr>
            <w:tcW w:w="28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(203.9)</w:t>
            </w:r>
          </w:p>
        </w:tc>
        <w:tc>
          <w:tcPr>
            <w:tcW w:w="4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Debt repurchase charges, net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(Note 6)</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(152.7)</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r>
      <w:tr>
        <w:trPr>
          <w:trHeight w:val="269"/>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Inventory fair value adjustment related to Novartis AH (Note 3)</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r>
      <w:tr>
        <w:trPr>
          <w:trHeight w:val="271"/>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944.5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679.7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1,511.3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1,297.6</w:t>
            </w:r>
          </w:p>
        </w:tc>
      </w:tr>
    </w:tbl>
    <w:p>
      <w:pPr>
        <w:spacing w:after="0" w:line="95" w:lineRule="exact"/>
        <w:rPr>
          <w:sz w:val="20"/>
          <w:szCs w:val="20"/>
          <w:color w:val="auto"/>
        </w:rPr>
      </w:pPr>
    </w:p>
    <w:p>
      <w:pPr>
        <w:jc w:val="both"/>
        <w:ind w:left="180" w:right="320" w:hanging="172"/>
        <w:spacing w:after="0"/>
        <w:tabs>
          <w:tab w:leader="none" w:pos="153"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three and six months ended June 30,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6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9"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On July 27, 2016 we announced that David A. Ricks will assume the role of chief executive officer effective January 1, 2017, replacing John C. Lechleiter, who will retire at the end of 2016. Lechleiter will remain chairman of our board of directors through May 2017, and Ricks will assume the role of chairman effective June 1, 2017.</w:t>
      </w:r>
    </w:p>
    <w:p>
      <w:pPr>
        <w:spacing w:after="0" w:line="55"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remainder of 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Pr>
          <w:p>
            <w:pPr>
              <w:spacing w:after="0"/>
              <w:rPr>
                <w:sz w:val="14"/>
                <w:szCs w:val="14"/>
                <w:color w:val="auto"/>
              </w:rPr>
            </w:pPr>
          </w:p>
        </w:tc>
        <w:tc>
          <w:tcPr>
            <w:tcW w:w="2480" w:type="dxa"/>
            <w:vAlign w:val="bottom"/>
            <w:gridSpan w:val="3"/>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jc w:val="center"/>
              <w:ind w:left="35"/>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from</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320" w:type="dxa"/>
            <w:vAlign w:val="bottom"/>
          </w:tcPr>
          <w:p>
            <w:pPr>
              <w:jc w:val="center"/>
              <w:ind w:left="35"/>
              <w:spacing w:after="0"/>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5"/>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5,404.8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4,978.7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10,269.9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9,623.4</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69"/>
        </w:trPr>
        <w:tc>
          <w:tcPr>
            <w:tcW w:w="316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3"/>
                <w:szCs w:val="23"/>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3,939.8</w:t>
            </w:r>
          </w:p>
        </w:tc>
        <w:tc>
          <w:tcPr>
            <w:tcW w:w="42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3,760.3</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3"/>
                <w:szCs w:val="23"/>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7,481.9</w:t>
            </w:r>
          </w:p>
        </w:tc>
        <w:tc>
          <w:tcPr>
            <w:tcW w:w="440" w:type="dxa"/>
            <w:vAlign w:val="bottom"/>
          </w:tcPr>
          <w:p>
            <w:pPr>
              <w:spacing w:after="0"/>
              <w:rPr>
                <w:sz w:val="23"/>
                <w:szCs w:val="23"/>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7,212.3</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1"/>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72.9%</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2,958.5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2,804.9</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5,653.4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5,367.7</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3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336.0</w:t>
            </w:r>
          </w:p>
        </w:tc>
        <w:tc>
          <w:tcPr>
            <w:tcW w:w="132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7"/>
        </w:trPr>
        <w:tc>
          <w:tcPr>
            <w:tcW w:w="3160" w:type="dxa"/>
            <w:vAlign w:val="bottom"/>
          </w:tcPr>
          <w:p>
            <w:pPr>
              <w:ind w:left="40"/>
              <w:spacing w:after="0"/>
              <w:rPr>
                <w:sz w:val="20"/>
                <w:szCs w:val="20"/>
                <w:color w:val="auto"/>
              </w:rPr>
            </w:pPr>
            <w:r>
              <w:rPr>
                <w:rFonts w:ascii="Arial" w:cs="Arial" w:eastAsia="Arial" w:hAnsi="Arial"/>
                <w:sz w:val="18"/>
                <w:szCs w:val="18"/>
                <w:color w:val="auto"/>
              </w:rPr>
              <w:t>Asset impairment, restructuring, and</w:t>
            </w:r>
          </w:p>
        </w:tc>
        <w:tc>
          <w:tcPr>
            <w:tcW w:w="300" w:type="dxa"/>
            <w:vAlign w:val="bottom"/>
          </w:tcPr>
          <w:p>
            <w:pPr>
              <w:spacing w:after="0"/>
              <w:rPr>
                <w:sz w:val="17"/>
                <w:szCs w:val="17"/>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8"/>
                <w:szCs w:val="18"/>
                <w:b w:val="1"/>
                <w:bCs w:val="1"/>
                <w:color w:val="auto"/>
              </w:rPr>
              <w:t>58.0</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189.4</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160" w:type="dxa"/>
            <w:vAlign w:val="bottom"/>
          </w:tcPr>
          <w:p>
            <w:pPr>
              <w:ind w:left="40"/>
              <w:spacing w:after="0"/>
              <w:rPr>
                <w:sz w:val="20"/>
                <w:szCs w:val="20"/>
                <w:color w:val="auto"/>
              </w:rPr>
            </w:pPr>
            <w:r>
              <w:rPr>
                <w:rFonts w:ascii="Arial" w:cs="Arial" w:eastAsia="Arial" w:hAnsi="Arial"/>
                <w:sz w:val="18"/>
                <w:szCs w:val="18"/>
                <w:color w:val="auto"/>
              </w:rPr>
              <w:t>other special charges</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72.4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180.4</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1"/>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747.7</w:t>
            </w: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600.8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1,187.8</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1,130.3</w:t>
            </w:r>
          </w:p>
        </w:tc>
        <w:tc>
          <w:tcPr>
            <w:tcW w:w="132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16"/>
        </w:trPr>
        <w:tc>
          <w:tcPr>
            <w:tcW w:w="3160" w:type="dxa"/>
            <w:vAlign w:val="bottom"/>
          </w:tcPr>
          <w:p>
            <w:pPr>
              <w:ind w:left="40"/>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1"/>
                <w:szCs w:val="21"/>
                <w:color w:val="auto"/>
                <w:vertAlign w:val="superscript"/>
              </w:rPr>
              <w:t>(2)</w:t>
            </w:r>
          </w:p>
        </w:tc>
        <w:tc>
          <w:tcPr>
            <w:tcW w:w="300" w:type="dxa"/>
            <w:vAlign w:val="bottom"/>
          </w:tcPr>
          <w:p>
            <w:pPr>
              <w:spacing w:after="0"/>
              <w:rPr>
                <w:sz w:val="24"/>
                <w:szCs w:val="24"/>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b w:val="1"/>
                <w:bCs w:val="1"/>
                <w:color w:val="auto"/>
              </w:rPr>
              <w:t>0.71</w:t>
            </w:r>
          </w:p>
        </w:tc>
        <w:tc>
          <w:tcPr>
            <w:tcW w:w="42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0.56</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300" w:type="dxa"/>
            <w:vAlign w:val="bottom"/>
          </w:tcPr>
          <w:p>
            <w:pPr>
              <w:spacing w:after="0"/>
              <w:rPr>
                <w:sz w:val="24"/>
                <w:szCs w:val="24"/>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1.12</w:t>
            </w:r>
          </w:p>
        </w:tc>
        <w:tc>
          <w:tcPr>
            <w:tcW w:w="440" w:type="dxa"/>
            <w:vAlign w:val="bottom"/>
          </w:tcPr>
          <w:p>
            <w:pPr>
              <w:spacing w:after="0"/>
              <w:rPr>
                <w:sz w:val="24"/>
                <w:szCs w:val="24"/>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1.06</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Operating expense consists of research and development and marketing, selling, and administrative expenses.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Earnings per share benefited from a lower number of shares outstanding in 2016 compared with 2015.</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Revenue and gross margin increased for the three and six months ended June 30, 2016. The increase in operating expense for both periods was due to an increase in research and development expense, partially offset by a decrease in marketing, selling, and administrative expense. The increases in net income and EPS for the three months ended June 30, 2016 were driven by a higher gross margin, the 2015 charges related to the repurchase of debt, and lower acquired in-process research and development (IPR&amp;D) charges, partially offset by higher operating expenses and higher income taxes. The increases in net income and EPS for the six months ended June 30, 2016 were driven by lower acquired IPR&amp;D charges, a higher gross margin, and the 2015 charges related to the repurchase of debt, partially offset by higher operating expenses, the impact of the Venezuelan financial crisis, including the significant deterioration of the bolívar, and higher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and six months ended June 30, 2016 and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recognized charges of $58.0 million (pretax), or $0.04 per share, and $189.4 million (pretax), or $0.16 per share, for the three and six months ended June 30, respectively, related to the integration costs for our acquisition of Novartis Animal Health (Novartis AH), severance costs, and asset impairments. The charges for the six months ended June 30 also included charges related to the closure of an animal health manufacturing facility in Ireland.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12)</w:t>
      </w:r>
    </w:p>
    <w:p>
      <w:pPr>
        <w:spacing w:after="0" w:line="117" w:lineRule="exact"/>
        <w:rPr>
          <w:sz w:val="20"/>
          <w:szCs w:val="20"/>
          <w:color w:val="auto"/>
        </w:rPr>
      </w:pPr>
    </w:p>
    <w:p>
      <w:pPr>
        <w:ind w:left="66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in the first quarter, related to the impact of the Venezuelan financial crisis, including the significant deterioration of the bolívar.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w:t>
      </w:r>
    </w:p>
    <w:p>
      <w:pPr>
        <w:spacing w:after="0" w:line="117" w:lineRule="exact"/>
        <w:rPr>
          <w:sz w:val="20"/>
          <w:szCs w:val="20"/>
          <w:color w:val="auto"/>
        </w:rPr>
      </w:pPr>
    </w:p>
    <w:p>
      <w:pPr>
        <w:ind w:left="6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recognized expense of $68.4 million (pretax), or $0.05 per share, and $131.9 million (pretax), or $0.09 per share, for the three and six months ended June 30, respectively, related to the fair value adjustments to Novartis AH acquisition date inventory that was sold.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w:t>
      </w:r>
    </w:p>
    <w:p>
      <w:pPr>
        <w:spacing w:after="0" w:line="117" w:lineRule="exact"/>
        <w:rPr>
          <w:sz w:val="20"/>
          <w:szCs w:val="20"/>
          <w:color w:val="auto"/>
        </w:rPr>
      </w:pPr>
    </w:p>
    <w:p>
      <w:pPr>
        <w:jc w:val="both"/>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recognized acquired IPR&amp;D charges of $80.0 million (pretax), or $0.05 per share, and $336.0 million (pretax), or $0.20 per share, for the three and six months ended June 30, respectively, related to upfront fees paid in connection with the collaboration agreements with BioNTech AG (BioNTech) and Hanmi Pharmaceutical Co., Ltd. (Hanmi). The charges for the first six months ended June 30 also related to upfront fees paid in connection with the collaboration agreements with Pfizer, Inc. (Pfizer) and Innovent Biologics, Inc. (Innovent).</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recognized charges of $72.4 million (pretax), or $0.05 per share, and $180.4 million (pretax), or $0.12 per share, for the three and six months ended June 30, respectively, related to integration costs, intangible asset impairments, and severance costs resulting from our acquisition of Novartis AH.</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6 and 12)</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for the three and six months ended June 30,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Late-Stage Pipeline</w:t>
      </w:r>
    </w:p>
    <w:p>
      <w:pPr>
        <w:spacing w:after="0" w:line="11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new molecular entities (NMEs) were approved by regulatory authorities in at least one of the major geographies for use in the diseases described. The quarter in which each NME initially was approved in any major geography for any indication is shown in parentheses:</w:t>
      </w:r>
    </w:p>
    <w:p>
      <w:pPr>
        <w:spacing w:after="0" w:line="3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b w:val="1"/>
          <w:bCs w:val="1"/>
          <w:color w:val="auto"/>
        </w:rPr>
        <w:t>Ixekizumab* (Taltz</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2016)</w:t>
      </w:r>
      <w:r>
        <w:rPr>
          <w:rFonts w:ascii="Arial" w:cs="Arial" w:eastAsia="Arial" w:hAnsi="Arial"/>
          <w:sz w:val="18"/>
          <w:szCs w:val="18"/>
          <w:color w:val="auto"/>
        </w:rPr>
        <w:t>—a neutralizing monoclonal antibody to interleukin-17A for the treatment of moderate-to-severe plaque</w:t>
      </w:r>
      <w:r>
        <w:rPr>
          <w:rFonts w:ascii="Arial" w:cs="Arial" w:eastAsia="Arial" w:hAnsi="Arial"/>
          <w:sz w:val="18"/>
          <w:szCs w:val="18"/>
          <w:b w:val="1"/>
          <w:bCs w:val="1"/>
          <w:color w:val="auto"/>
        </w:rPr>
        <w:t xml:space="preserve"> </w:t>
      </w:r>
      <w:r>
        <w:rPr>
          <w:rFonts w:ascii="Arial" w:cs="Arial" w:eastAsia="Arial" w:hAnsi="Arial"/>
          <w:sz w:val="18"/>
          <w:szCs w:val="18"/>
          <w:color w:val="auto"/>
        </w:rPr>
        <w:t>psoriasis and psoriatic arthritis.</w:t>
      </w:r>
    </w:p>
    <w:p>
      <w:pPr>
        <w:spacing w:after="0" w:line="66"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b w:val="1"/>
          <w:bCs w:val="1"/>
          <w:color w:val="auto"/>
        </w:rPr>
        <w:t>Necitumumab* (Portrazza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2015)</w:t>
      </w:r>
      <w:r>
        <w:rPr>
          <w:rFonts w:ascii="Arial" w:cs="Arial" w:eastAsia="Arial" w:hAnsi="Arial"/>
          <w:sz w:val="18"/>
          <w:szCs w:val="18"/>
          <w:color w:val="auto"/>
        </w:rPr>
        <w:t>—an anti-epidermal growth factor receptor monoclonal antibody for the treatment of metastatic</w:t>
      </w:r>
      <w:r>
        <w:rPr>
          <w:rFonts w:ascii="Arial" w:cs="Arial" w:eastAsia="Arial" w:hAnsi="Arial"/>
          <w:sz w:val="18"/>
          <w:szCs w:val="18"/>
          <w:b w:val="1"/>
          <w:bCs w:val="1"/>
          <w:color w:val="auto"/>
        </w:rPr>
        <w:t xml:space="preserve"> </w:t>
      </w:r>
      <w:r>
        <w:rPr>
          <w:rFonts w:ascii="Arial" w:cs="Arial" w:eastAsia="Arial" w:hAnsi="Arial"/>
          <w:sz w:val="18"/>
          <w:szCs w:val="18"/>
          <w:color w:val="auto"/>
        </w:rPr>
        <w:t>squamous non-small cell lung cancer (NSCLC).</w:t>
      </w:r>
    </w:p>
    <w:p>
      <w:pPr>
        <w:spacing w:after="0" w:line="68"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diseases described. The quarter in which each NME initially was submitted in any major geography for any indication is shown in parentheses:</w:t>
      </w:r>
    </w:p>
    <w:p>
      <w:pPr>
        <w:spacing w:after="0" w:line="35" w:lineRule="exact"/>
        <w:rPr>
          <w:sz w:val="20"/>
          <w:szCs w:val="20"/>
          <w:color w:val="auto"/>
        </w:rPr>
      </w:pPr>
    </w:p>
    <w:p>
      <w:pPr>
        <w:ind w:left="660" w:right="440"/>
        <w:spacing w:after="0" w:line="294" w:lineRule="auto"/>
        <w:rPr>
          <w:sz w:val="20"/>
          <w:szCs w:val="20"/>
          <w:color w:val="auto"/>
        </w:rPr>
      </w:pPr>
      <w:r>
        <w:rPr>
          <w:rFonts w:ascii="Arial" w:cs="Arial" w:eastAsia="Arial" w:hAnsi="Arial"/>
          <w:sz w:val="18"/>
          <w:szCs w:val="18"/>
          <w:b w:val="1"/>
          <w:bCs w:val="1"/>
          <w:color w:val="auto"/>
        </w:rPr>
        <w:t>Baricitinib (Q1 2016)</w:t>
      </w:r>
      <w:r>
        <w:rPr>
          <w:rFonts w:ascii="Arial" w:cs="Arial" w:eastAsia="Arial" w:hAnsi="Arial"/>
          <w:sz w:val="18"/>
          <w:szCs w:val="18"/>
          <w:color w:val="auto"/>
        </w:rPr>
        <w:t>—a Janus tyrosine kinase inhibitor for the treatment of moderately-to-severely active rheumatoid arthritis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Incyte Corporation).</w:t>
      </w:r>
    </w:p>
    <w:p>
      <w:pPr>
        <w:spacing w:after="0" w:line="33" w:lineRule="exact"/>
        <w:rPr>
          <w:sz w:val="20"/>
          <w:szCs w:val="20"/>
          <w:color w:val="auto"/>
        </w:rPr>
      </w:pPr>
    </w:p>
    <w:p>
      <w:pPr>
        <w:jc w:val="both"/>
        <w:ind w:left="660" w:right="120"/>
        <w:spacing w:after="0" w:line="272" w:lineRule="auto"/>
        <w:rPr>
          <w:sz w:val="20"/>
          <w:szCs w:val="20"/>
          <w:color w:val="auto"/>
        </w:rPr>
      </w:pPr>
      <w:r>
        <w:rPr>
          <w:rFonts w:ascii="Arial" w:cs="Arial" w:eastAsia="Arial" w:hAnsi="Arial"/>
          <w:sz w:val="18"/>
          <w:szCs w:val="18"/>
          <w:b w:val="1"/>
          <w:bCs w:val="1"/>
          <w:color w:val="auto"/>
        </w:rPr>
        <w:t>Olaratumab* (Q1 2016)</w:t>
      </w:r>
      <w:r>
        <w:rPr>
          <w:rFonts w:ascii="Arial" w:cs="Arial" w:eastAsia="Arial" w:hAnsi="Arial"/>
          <w:sz w:val="18"/>
          <w:szCs w:val="18"/>
          <w:color w:val="auto"/>
        </w:rPr>
        <w:t>—a human lgG1 monoclonal antibody for the treatment of advanced soft tissue sarcoma.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(U.S.), olaratumab is protected by a compound patent (2027, not including possible patent extension), and by biologics data package protection (2028).</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quarter in which each NME and diagnostic agent initially entered Phase III for any indication is shown in parentheses:</w:t>
      </w:r>
    </w:p>
    <w:p>
      <w:pPr>
        <w:spacing w:after="0" w:line="35" w:lineRule="exact"/>
        <w:rPr>
          <w:sz w:val="20"/>
          <w:szCs w:val="20"/>
          <w:color w:val="auto"/>
        </w:rPr>
      </w:pPr>
    </w:p>
    <w:p>
      <w:pPr>
        <w:ind w:left="660" w:right="480"/>
        <w:spacing w:after="0" w:line="294"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33" w:lineRule="exact"/>
        <w:rPr>
          <w:sz w:val="20"/>
          <w:szCs w:val="20"/>
          <w:color w:val="auto"/>
        </w:rPr>
      </w:pPr>
    </w:p>
    <w:p>
      <w:pPr>
        <w:ind w:left="660"/>
        <w:spacing w:after="0" w:line="294" w:lineRule="auto"/>
        <w:rPr>
          <w:sz w:val="20"/>
          <w:szCs w:val="20"/>
          <w:color w:val="auto"/>
        </w:rPr>
      </w:pPr>
      <w:r>
        <w:rPr>
          <w:rFonts w:ascii="Arial" w:cs="Arial" w:eastAsia="Arial" w:hAnsi="Arial"/>
          <w:sz w:val="18"/>
          <w:szCs w:val="18"/>
          <w:b w:val="1"/>
          <w:bCs w:val="1"/>
          <w:color w:val="auto"/>
        </w:rPr>
        <w:t>BACE inhibitor (Q2 2016)</w:t>
      </w:r>
      <w:r>
        <w:rPr>
          <w:rFonts w:ascii="Arial" w:cs="Arial" w:eastAsia="Arial" w:hAnsi="Arial"/>
          <w:sz w:val="18"/>
          <w:szCs w:val="18"/>
          <w:color w:val="auto"/>
        </w:rPr>
        <w:t>—an oral beta-secretase cleaving enzyme (BACE) inhibitor for the treatment of early Alzheimer's disease (in</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AstraZeneca UK Limited).</w:t>
      </w:r>
    </w:p>
    <w:p>
      <w:pPr>
        <w:spacing w:after="0" w:line="33" w:lineRule="exact"/>
        <w:rPr>
          <w:sz w:val="20"/>
          <w:szCs w:val="20"/>
          <w:color w:val="auto"/>
        </w:rPr>
      </w:pPr>
    </w:p>
    <w:p>
      <w:pPr>
        <w:ind w:left="660" w:right="680"/>
        <w:spacing w:after="0" w:line="294" w:lineRule="auto"/>
        <w:rPr>
          <w:sz w:val="20"/>
          <w:szCs w:val="20"/>
          <w:color w:val="auto"/>
        </w:rPr>
      </w:pPr>
      <w:r>
        <w:rPr>
          <w:rFonts w:ascii="Arial" w:cs="Arial" w:eastAsia="Arial" w:hAnsi="Arial"/>
          <w:sz w:val="18"/>
          <w:szCs w:val="18"/>
          <w:b w:val="1"/>
          <w:bCs w:val="1"/>
          <w:color w:val="auto"/>
        </w:rPr>
        <w:t>Galcanezumab* (Q2 2015)</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cluster headache and migraine prevention.</w:t>
      </w:r>
    </w:p>
    <w:p>
      <w:pPr>
        <w:spacing w:after="0" w:line="33" w:lineRule="exact"/>
        <w:rPr>
          <w:sz w:val="20"/>
          <w:szCs w:val="20"/>
          <w:color w:val="auto"/>
        </w:rPr>
      </w:pPr>
    </w:p>
    <w:p>
      <w:pPr>
        <w:ind w:left="660" w:right="80"/>
        <w:spacing w:after="0" w:line="294"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and mild Alzheimer’s disease.</w:t>
      </w:r>
    </w:p>
    <w:p>
      <w:pPr>
        <w:spacing w:after="0" w:line="117" w:lineRule="exact"/>
        <w:rPr>
          <w:sz w:val="20"/>
          <w:szCs w:val="20"/>
          <w:color w:val="auto"/>
        </w:rPr>
      </w:pPr>
    </w:p>
    <w:p>
      <w:pPr>
        <w:ind w:left="660" w:right="34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w:t>
      </w:r>
    </w:p>
    <w:p>
      <w:pPr>
        <w:spacing w:after="0" w:line="33" w:lineRule="exact"/>
        <w:rPr>
          <w:sz w:val="20"/>
          <w:szCs w:val="20"/>
          <w:color w:val="auto"/>
        </w:rPr>
      </w:pPr>
    </w:p>
    <w:p>
      <w:pPr>
        <w:ind w:left="660" w:right="20"/>
        <w:spacing w:after="0" w:line="294" w:lineRule="auto"/>
        <w:rPr>
          <w:sz w:val="20"/>
          <w:szCs w:val="20"/>
          <w:color w:val="auto"/>
        </w:rPr>
      </w:pPr>
      <w:r>
        <w:rPr>
          <w:rFonts w:ascii="Arial" w:cs="Arial" w:eastAsia="Arial" w:hAnsi="Arial"/>
          <w:sz w:val="18"/>
          <w:szCs w:val="18"/>
          <w:b w:val="1"/>
          <w:bCs w:val="1"/>
          <w:color w:val="auto"/>
        </w:rPr>
        <w:t>Tau Imaging Agent** (Q3 2015)</w:t>
      </w:r>
      <w:r>
        <w:rPr>
          <w:rFonts w:ascii="Arial" w:cs="Arial" w:eastAsia="Arial" w:hAnsi="Arial"/>
          <w:sz w:val="18"/>
          <w:szCs w:val="18"/>
          <w:color w:val="auto"/>
        </w:rPr>
        <w:t>—a positron emission tomography (PET) tracer intended to image tau (or neurofibrillary) tangles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brain, which are an indicator of Alzheimer's disease.</w:t>
      </w:r>
    </w:p>
    <w:p>
      <w:pPr>
        <w:spacing w:after="0" w:line="35" w:lineRule="exact"/>
        <w:rPr>
          <w:sz w:val="20"/>
          <w:szCs w:val="20"/>
          <w:color w:val="auto"/>
        </w:rPr>
      </w:pPr>
    </w:p>
    <w:p>
      <w:pPr>
        <w:ind w:left="340" w:right="4040" w:hanging="8"/>
        <w:spacing w:after="0" w:line="417" w:lineRule="auto"/>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0" w:right="259" w:bottom="1440" w:gutter="0" w:footer="0" w:header="0"/>
        </w:sectPr>
      </w:pPr>
    </w:p>
    <w:bookmarkStart w:id="35" w:name="page36"/>
    <w:bookmarkEnd w:id="35"/>
    <w:p>
      <w:pPr>
        <w:ind w:right="760"/>
        <w:spacing w:after="0" w:line="29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2016:</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0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6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Severe</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Development of commercial manufacturing process is</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rPr>
              <w:t>Submitted</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Submitted to regulatory authorities in the U.S., Europe,</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and Japan in first quarter of 2016.</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Approved and launched in the U.S. in first and second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540" w:type="dxa"/>
            <w:vAlign w:val="bottom"/>
          </w:tcPr>
          <w:p>
            <w:pPr>
              <w:spacing w:after="0"/>
              <w:rPr>
                <w:sz w:val="17"/>
                <w:szCs w:val="17"/>
                <w:color w:val="auto"/>
              </w:rPr>
            </w:pPr>
          </w:p>
        </w:tc>
        <w:tc>
          <w:tcPr>
            <w:tcW w:w="174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rPr>
              <w:t>Launched</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Approved</w:t>
            </w: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quarters of 2016, respectively. Approved and launched in</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Europe in second and third quarters of 2016, respectively.</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Taltz</w:t>
            </w:r>
          </w:p>
        </w:tc>
        <w:tc>
          <w:tcPr>
            <w:tcW w:w="1720" w:type="dxa"/>
            <w:vAlign w:val="bottom"/>
            <w:tcBorders>
              <w:right w:val="single" w:sz="8" w:color="auto"/>
            </w:tcBorders>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4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40" w:type="dxa"/>
            <w:vAlign w:val="bottom"/>
            <w:tcBorders>
              <w:left w:val="single" w:sz="8" w:color="auto"/>
              <w:right w:val="single" w:sz="8" w:color="auto"/>
            </w:tcBorders>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Japan in third quarter of 2016.</w:t>
            </w:r>
          </w:p>
        </w:tc>
        <w:tc>
          <w:tcPr>
            <w:tcW w:w="0" w:type="dxa"/>
            <w:vAlign w:val="bottom"/>
          </w:tcPr>
          <w:p>
            <w:pPr>
              <w:spacing w:after="0"/>
              <w:rPr>
                <w:sz w:val="1"/>
                <w:szCs w:val="1"/>
                <w:color w:val="auto"/>
              </w:rPr>
            </w:pPr>
          </w:p>
        </w:tc>
      </w:tr>
      <w:tr>
        <w:trPr>
          <w:trHeight w:val="72"/>
        </w:trPr>
        <w:tc>
          <w:tcPr>
            <w:tcW w:w="1640" w:type="dxa"/>
            <w:vAlign w:val="bottom"/>
            <w:tcBorders>
              <w:left w:val="single" w:sz="8" w:color="auto"/>
              <w:right w:val="single" w:sz="8" w:color="auto"/>
            </w:tcBorders>
          </w:tcPr>
          <w:p>
            <w:pPr>
              <w:spacing w:after="0"/>
              <w:rPr>
                <w:sz w:val="6"/>
                <w:szCs w:val="6"/>
                <w:color w:val="auto"/>
              </w:rPr>
            </w:pPr>
          </w:p>
        </w:tc>
        <w:tc>
          <w:tcPr>
            <w:tcW w:w="172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46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540" w:type="dxa"/>
            <w:vAlign w:val="bottom"/>
          </w:tcPr>
          <w:p>
            <w:pPr>
              <w:spacing w:after="0"/>
              <w:rPr>
                <w:sz w:val="17"/>
                <w:szCs w:val="17"/>
                <w:color w:val="auto"/>
              </w:rPr>
            </w:pPr>
          </w:p>
        </w:tc>
        <w:tc>
          <w:tcPr>
            <w:tcW w:w="174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rPr>
              <w:t>Phase III</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Approved</w:t>
            </w:r>
          </w:p>
        </w:tc>
        <w:tc>
          <w:tcPr>
            <w:tcW w:w="46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Phase III studies are ongoing. Approved in Japan in third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continue"/>
          </w:tcPr>
          <w:p>
            <w:pPr>
              <w:spacing w:after="0"/>
              <w:rPr>
                <w:sz w:val="11"/>
                <w:szCs w:val="11"/>
                <w:color w:val="auto"/>
              </w:rPr>
            </w:pPr>
          </w:p>
        </w:tc>
        <w:tc>
          <w:tcPr>
            <w:tcW w:w="540" w:type="dxa"/>
            <w:vAlign w:val="bottom"/>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2016.</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BACE inhibitor</w:t>
            </w: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Early Alzheimer's</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Moved into the Phase III portion of the</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II/III seamless study in April 2016.</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Galcanezumab</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12"/>
        </w:trPr>
        <w:tc>
          <w:tcPr>
            <w:tcW w:w="16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 prevention</w:t>
            </w: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first Phase III study in January 2016.</w:t>
            </w:r>
          </w:p>
        </w:tc>
        <w:tc>
          <w:tcPr>
            <w:tcW w:w="0" w:type="dxa"/>
            <w:vAlign w:val="bottom"/>
          </w:tcPr>
          <w:p>
            <w:pPr>
              <w:spacing w:after="0"/>
              <w:rPr>
                <w:sz w:val="1"/>
                <w:szCs w:val="1"/>
                <w:color w:val="auto"/>
              </w:rPr>
            </w:pPr>
          </w:p>
        </w:tc>
      </w:tr>
      <w:tr>
        <w:trPr>
          <w:trHeight w:val="140"/>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46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4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Mild Alzheimer's</w:t>
            </w: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9"/>
                <w:szCs w:val="9"/>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change in primary endpoint for Phase III</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study in March 2016.</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Chronic low back</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Tau imaging agent</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Alzheimer's disease</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Metastatic breast</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studies are ongoing.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4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64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4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study is ongoing.</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Received Breakthrough Therapy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U.S. Food and Drug</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Administration (FDA) in 2015. Based on Phase II data,</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Olaratumab</w:t>
            </w: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Soft tissue sarcoma</w:t>
            </w:r>
          </w:p>
        </w:tc>
        <w:tc>
          <w:tcPr>
            <w:tcW w:w="540" w:type="dxa"/>
            <w:vAlign w:val="bottom"/>
          </w:tcPr>
          <w:p>
            <w:pPr>
              <w:spacing w:after="0"/>
              <w:rPr>
                <w:sz w:val="17"/>
                <w:szCs w:val="17"/>
                <w:color w:val="auto"/>
              </w:rPr>
            </w:pPr>
          </w:p>
        </w:tc>
        <w:tc>
          <w:tcPr>
            <w:tcW w:w="1740" w:type="dxa"/>
            <w:vAlign w:val="bottom"/>
            <w:tcBorders>
              <w:right w:val="single" w:sz="8" w:color="auto"/>
            </w:tcBorders>
            <w:gridSpan w:val="2"/>
          </w:tcPr>
          <w:p>
            <w:pPr>
              <w:jc w:val="center"/>
              <w:ind w:right="490"/>
              <w:spacing w:after="0" w:line="202" w:lineRule="exact"/>
              <w:rPr>
                <w:sz w:val="20"/>
                <w:szCs w:val="20"/>
                <w:color w:val="auto"/>
              </w:rPr>
            </w:pPr>
            <w:r>
              <w:rPr>
                <w:rFonts w:ascii="Arial" w:cs="Arial" w:eastAsia="Arial" w:hAnsi="Arial"/>
                <w:sz w:val="18"/>
                <w:szCs w:val="18"/>
                <w:color w:val="auto"/>
                <w:w w:val="98"/>
              </w:rPr>
              <w:t>Submitted</w:t>
            </w:r>
          </w:p>
        </w:tc>
        <w:tc>
          <w:tcPr>
            <w:tcW w:w="11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to European regulatory authorities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completed rolling submission in the U.S. in first quarter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2016. Granted Priority Review</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from FDA in second</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4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2016. Phase III study is ongoing.</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Metastatic</w:t>
            </w: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4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and launched in Europe in first and second</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Portrazza</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squamous NSCLC</w:t>
            </w:r>
          </w:p>
        </w:tc>
        <w:tc>
          <w:tcPr>
            <w:tcW w:w="540" w:type="dxa"/>
            <w:vAlign w:val="bottom"/>
          </w:tcPr>
          <w:p>
            <w:pPr>
              <w:spacing w:after="0"/>
              <w:rPr>
                <w:sz w:val="8"/>
                <w:szCs w:val="8"/>
                <w:color w:val="auto"/>
              </w:rPr>
            </w:pPr>
          </w:p>
        </w:tc>
        <w:tc>
          <w:tcPr>
            <w:tcW w:w="174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rPr>
              <w:t>Launched</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Phase Ib/II</w:t>
            </w:r>
          </w:p>
        </w:tc>
        <w:tc>
          <w:tcPr>
            <w:tcW w:w="46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right w:val="single" w:sz="8" w:color="auto"/>
            </w:tcBorders>
            <w:vMerge w:val="continue"/>
          </w:tcPr>
          <w:p>
            <w:pPr>
              <w:spacing w:after="0"/>
              <w:rPr>
                <w:sz w:val="16"/>
                <w:szCs w:val="16"/>
                <w:color w:val="auto"/>
              </w:rPr>
            </w:pPr>
          </w:p>
        </w:tc>
        <w:tc>
          <w:tcPr>
            <w:tcW w:w="1720" w:type="dxa"/>
            <w:vAlign w:val="bottom"/>
            <w:tcBorders>
              <w:right w:val="single" w:sz="8" w:color="auto"/>
            </w:tcBorders>
            <w:vMerge w:val="continue"/>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468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8"/>
                <w:szCs w:val="18"/>
                <w:color w:val="auto"/>
              </w:rPr>
              <w:t>quarters of 2016, respectively.</w:t>
            </w: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(first-line)</w:t>
            </w: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46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720" w:hanging="172"/>
        <w:spacing w:after="0" w:line="239"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77" w:lineRule="exact"/>
        <w:rPr>
          <w:rFonts w:ascii="Arial" w:cs="Arial" w:eastAsia="Arial" w:hAnsi="Arial"/>
          <w:sz w:val="17"/>
          <w:szCs w:val="17"/>
          <w:color w:val="auto"/>
          <w:vertAlign w:val="superscript"/>
        </w:rPr>
      </w:pPr>
    </w:p>
    <w:p>
      <w:pPr>
        <w:ind w:left="180" w:right="400" w:hanging="172"/>
        <w:spacing w:after="0" w:line="239"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40"/>
          </w:cols>
          <w:pgMar w:left="240" w:top="684"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We lost our data package protection for Cymbalta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major European countries in 2014. In 2015, we saw the entry of generic competition in all major European markets. The loss of exclusivity for Cymbalta in the European markets has caused a rapid and severe decline in revenue for the product, which over time has, in the aggregate, had a material adverse effect on our consolidated results of operations and cash flows. We also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We expect that the entry of generic competition for Zyprexa in Japan following the loss of effective patent protection will cause a rapid and severe decline in revenue for the product.</w:t>
      </w:r>
    </w:p>
    <w:p>
      <w:pPr>
        <w:spacing w:after="0" w:line="8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Additionally, as described in Note 10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compound patent for Alimta will expire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We are aware that at least one generic pemetrexed product has launched in a major European market. Notwithstanding our patents, generic versions of Alimta were also approved in Japan in February 2016. We filed for preliminary injunctions against the three generic competitors which received such approval. As described in Note 10 to the consolidated condensed financial statements, we withdrew the requests for injunctions once those competitors agreed not to proceed to pricing approval. We do not anticipate generic competitors to proceed to launch prior to the completion of the Sawai Pharmaceutical Co., Ltd. invalidation trial.</w:t>
      </w:r>
    </w:p>
    <w:p>
      <w:pPr>
        <w:spacing w:after="0" w:line="7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will lose our patent protection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major European markets in November 2017. We expect that the entry of generic competition into these markets following the loss of effective patent protection will cause a rapid and severe decline in revenue for the affected products, which will, in the aggregate, have a material adverse effect on our consolidated results of operations and cash flows.</w:t>
      </w:r>
    </w:p>
    <w:p>
      <w:pPr>
        <w:spacing w:after="0" w:line="74"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timing and impact of these products entering the market.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British pound, and Swiss franc,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the first quarter of 2016. See Note 12 to the consolidated condensed financial statements for additional information related to the charge. We anticipate that the revenue from Venezuela for the remainder of 2016 will be </w:t>
      </w:r>
      <w:r>
        <w:rPr>
          <w:rFonts w:ascii="Arial" w:cs="Arial" w:eastAsia="Arial" w:hAnsi="Arial"/>
          <w:sz w:val="18"/>
          <w:szCs w:val="18"/>
          <w:i w:val="1"/>
          <w:iCs w:val="1"/>
          <w:color w:val="auto"/>
        </w:rPr>
        <w:t>de minimis</w:t>
      </w:r>
      <w:r>
        <w:rPr>
          <w:rFonts w:ascii="Arial" w:cs="Arial" w:eastAsia="Arial" w:hAnsi="Arial"/>
          <w:sz w:val="18"/>
          <w:szCs w:val="18"/>
          <w:color w:val="auto"/>
        </w:rPr>
        <w:t>. As of June 30, 2016, our Venezuelan subsidiaries represented less than 0.2 percent of our consolidated assets and liabilities. We continue to monitor Venezuela’s economy and other deteriorating economies. It is possible that additional charges may be recorded in the future. Any additional charges are not expected to have a material adverse effect on our future consolidated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U.S., public concern over prices for specialty and brand name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on the specialty tier in Part D, and state-level proposals to reduce the cost of pharmaceuticals purchased by government health care programs. Savings projected under these proposals are targeted as a means to fund both health care expenditures and non-health care initiatives, or to manage federal and state budgets.</w:t>
      </w:r>
    </w:p>
    <w:p>
      <w:pPr>
        <w:spacing w:after="0" w:line="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U.S. private sector, consolidation and integration among U.S. healthcare providers is also a major factor in the competitive marketplace for human pharmaceuticals. Health plans and pharmaceutical benefit managers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main coverage expansion provisions of the Affordable Care Act (ACA) are now in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ACA changes such as the 2020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Other tax proposals under discussion or introduced in the U.S. Congress could change the tax rate and manner in which U.S. companies would be taxed. Additionally, the Organisation for Economic Co-operation and Development issued its final recommendations of international tax reform proposals to influence international tax policy in major countries in which we operate. While outcomes of these initiatives continue to develop and remain uncertain, changes to key elements of the U.S. or international tax framework could have a material adverse effect on our consolidated operating results and cash flows.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1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Information regarding contingencies relating to certain legal proceedings can be found in Note 10 to the consolidated condensed financial statements and is incorporated here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jurisdiction: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940" w:type="dxa"/>
            <w:vAlign w:val="bottom"/>
          </w:tcPr>
          <w:p>
            <w:pPr>
              <w:ind w:left="300"/>
              <w:spacing w:after="0"/>
              <w:rPr>
                <w:sz w:val="20"/>
                <w:szCs w:val="20"/>
                <w:color w:val="auto"/>
              </w:rPr>
            </w:pPr>
            <w:r>
              <w:rPr>
                <w:rFonts w:ascii="Arial" w:cs="Arial" w:eastAsia="Arial" w:hAnsi="Arial"/>
                <w:sz w:val="14"/>
                <w:szCs w:val="14"/>
                <w:b w:val="1"/>
                <w:bCs w:val="1"/>
                <w:color w:val="auto"/>
              </w:rPr>
              <w:t>Percent Change from</w:t>
            </w: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2015</w:t>
            </w:r>
          </w:p>
        </w:tc>
      </w:tr>
      <w:tr>
        <w:trPr>
          <w:trHeight w:val="265"/>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2,889.9</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2,527.8</w:t>
            </w:r>
          </w:p>
        </w:tc>
        <w:tc>
          <w:tcPr>
            <w:tcW w:w="19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14</w:t>
            </w:r>
          </w:p>
        </w:tc>
      </w:tr>
      <w:tr>
        <w:trPr>
          <w:trHeight w:val="269"/>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2,514.9</w:t>
            </w:r>
          </w:p>
        </w:tc>
        <w:tc>
          <w:tcPr>
            <w:tcW w:w="7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2,450.9</w:t>
            </w:r>
          </w:p>
        </w:tc>
        <w:tc>
          <w:tcPr>
            <w:tcW w:w="194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99"/>
              </w:rPr>
              <w:t>3</w:t>
            </w:r>
          </w:p>
        </w:tc>
      </w:tr>
      <w:tr>
        <w:trPr>
          <w:trHeight w:val="27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5,404.8</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4,978.7</w:t>
            </w:r>
          </w:p>
        </w:tc>
        <w:tc>
          <w:tcPr>
            <w:tcW w:w="194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r>
      <w:tr>
        <w:trPr>
          <w:trHeight w:val="471"/>
        </w:trPr>
        <w:tc>
          <w:tcPr>
            <w:tcW w:w="5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940" w:type="dxa"/>
            <w:vAlign w:val="bottom"/>
          </w:tcPr>
          <w:p>
            <w:pPr>
              <w:ind w:left="300"/>
              <w:spacing w:after="0"/>
              <w:rPr>
                <w:sz w:val="20"/>
                <w:szCs w:val="20"/>
                <w:color w:val="auto"/>
              </w:rPr>
            </w:pPr>
            <w:r>
              <w:rPr>
                <w:rFonts w:ascii="Arial" w:cs="Arial" w:eastAsia="Arial" w:hAnsi="Arial"/>
                <w:sz w:val="14"/>
                <w:szCs w:val="14"/>
                <w:b w:val="1"/>
                <w:bCs w:val="1"/>
                <w:color w:val="auto"/>
              </w:rPr>
              <w:t>Percent Change from</w:t>
            </w:r>
          </w:p>
        </w:tc>
      </w:tr>
      <w:tr>
        <w:trPr>
          <w:trHeight w:val="264"/>
        </w:trPr>
        <w:tc>
          <w:tcPr>
            <w:tcW w:w="59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9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2015</w:t>
            </w:r>
          </w:p>
        </w:tc>
      </w:tr>
      <w:tr>
        <w:trPr>
          <w:trHeight w:val="265"/>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5,445.5</w:t>
            </w:r>
          </w:p>
        </w:tc>
        <w:tc>
          <w:tcPr>
            <w:tcW w:w="7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4,739.1</w:t>
            </w:r>
          </w:p>
        </w:tc>
        <w:tc>
          <w:tcPr>
            <w:tcW w:w="194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15</w:t>
            </w:r>
          </w:p>
        </w:tc>
      </w:tr>
      <w:tr>
        <w:trPr>
          <w:trHeight w:val="269"/>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4,824.4</w:t>
            </w:r>
          </w:p>
        </w:tc>
        <w:tc>
          <w:tcPr>
            <w:tcW w:w="7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4,884.3</w:t>
            </w:r>
          </w:p>
        </w:tc>
        <w:tc>
          <w:tcPr>
            <w:tcW w:w="194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99"/>
              </w:rPr>
              <w:t>(1)</w:t>
            </w:r>
          </w:p>
        </w:tc>
      </w:tr>
      <w:tr>
        <w:trPr>
          <w:trHeight w:val="27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10,269.9</w:t>
            </w:r>
          </w:p>
        </w:tc>
        <w:tc>
          <w:tcPr>
            <w:tcW w:w="7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9,623.4</w:t>
            </w:r>
          </w:p>
        </w:tc>
        <w:tc>
          <w:tcPr>
            <w:tcW w:w="194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7</w:t>
            </w:r>
          </w:p>
        </w:tc>
      </w:tr>
    </w:tbl>
    <w:p>
      <w:pPr>
        <w:spacing w:after="0" w:line="95"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202"/>
        </w:trPr>
        <w:tc>
          <w:tcPr>
            <w:tcW w:w="2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1360" w:type="dxa"/>
            <w:vAlign w:val="bottom"/>
          </w:tcPr>
          <w:p>
            <w:pPr>
              <w:spacing w:after="0"/>
              <w:rPr>
                <w:sz w:val="17"/>
                <w:szCs w:val="17"/>
                <w:color w:val="auto"/>
              </w:rPr>
            </w:pPr>
          </w:p>
        </w:tc>
      </w:tr>
      <w:tr>
        <w:trPr>
          <w:trHeight w:val="271"/>
        </w:trPr>
        <w:tc>
          <w:tcPr>
            <w:tcW w:w="28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 vs. 2015</w:t>
            </w:r>
          </w:p>
        </w:tc>
        <w:tc>
          <w:tcPr>
            <w:tcW w:w="12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 vs. 2015</w:t>
            </w:r>
          </w:p>
        </w:tc>
        <w:tc>
          <w:tcPr>
            <w:tcW w:w="1360" w:type="dxa"/>
            <w:vAlign w:val="bottom"/>
            <w:tcBorders>
              <w:bottom w:val="single" w:sz="8" w:color="auto"/>
            </w:tcBorders>
          </w:tcPr>
          <w:p>
            <w:pPr>
              <w:spacing w:after="0"/>
              <w:rPr>
                <w:sz w:val="23"/>
                <w:szCs w:val="23"/>
                <w:color w:val="auto"/>
              </w:rPr>
            </w:pPr>
          </w:p>
        </w:tc>
      </w:tr>
      <w:tr>
        <w:trPr>
          <w:trHeight w:val="250"/>
        </w:trPr>
        <w:tc>
          <w:tcPr>
            <w:tcW w:w="2860" w:type="dxa"/>
            <w:vAlign w:val="bottom"/>
          </w:tcPr>
          <w:p>
            <w:pPr>
              <w:spacing w:after="0"/>
              <w:rPr>
                <w:sz w:val="21"/>
                <w:szCs w:val="21"/>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U.S.</w:t>
            </w: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U.S.</w:t>
            </w: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46"/>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580" w:type="dxa"/>
            <w:vAlign w:val="bottom"/>
          </w:tcPr>
          <w:p>
            <w:pPr>
              <w:jc w:val="right"/>
              <w:ind w:right="99"/>
              <w:spacing w:after="0"/>
              <w:rPr>
                <w:sz w:val="20"/>
                <w:szCs w:val="20"/>
                <w:color w:val="auto"/>
              </w:rPr>
            </w:pPr>
            <w:r>
              <w:rPr>
                <w:rFonts w:ascii="Arial" w:cs="Arial" w:eastAsia="Arial" w:hAnsi="Arial"/>
                <w:sz w:val="18"/>
                <w:szCs w:val="18"/>
                <w:color w:val="auto"/>
              </w:rPr>
              <w:t>6 %</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500" w:type="dxa"/>
            <w:vAlign w:val="bottom"/>
          </w:tcPr>
          <w:p>
            <w:pPr>
              <w:jc w:val="right"/>
              <w:ind w:right="79"/>
              <w:spacing w:after="0"/>
              <w:rPr>
                <w:sz w:val="20"/>
                <w:szCs w:val="20"/>
                <w:color w:val="auto"/>
              </w:rPr>
            </w:pPr>
            <w:r>
              <w:rPr>
                <w:rFonts w:ascii="Arial" w:cs="Arial" w:eastAsia="Arial" w:hAnsi="Arial"/>
                <w:sz w:val="18"/>
                <w:szCs w:val="18"/>
                <w:color w:val="auto"/>
              </w:rPr>
              <w:t>4 %</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5"/>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5"/>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220"/>
        <w:spacing w:after="0" w:line="289" w:lineRule="auto"/>
        <w:rPr>
          <w:sz w:val="20"/>
          <w:szCs w:val="20"/>
          <w:color w:val="auto"/>
        </w:rPr>
      </w:pPr>
      <w:r>
        <w:rPr>
          <w:rFonts w:ascii="Arial" w:cs="Arial" w:eastAsia="Arial" w:hAnsi="Arial"/>
          <w:sz w:val="18"/>
          <w:szCs w:val="18"/>
          <w:color w:val="auto"/>
        </w:rPr>
        <w:t>In the U.S., for the three and six months ended June 30, 2016, the volume increase was driven by several pharmaceutical products, primarily Trulicity</w:t>
      </w:r>
      <w:r>
        <w:rPr>
          <w:rFonts w:ascii="Arial" w:cs="Arial" w:eastAsia="Arial" w:hAnsi="Arial"/>
          <w:sz w:val="21"/>
          <w:szCs w:val="21"/>
          <w:color w:val="auto"/>
          <w:vertAlign w:val="superscript"/>
        </w:rPr>
        <w:t>®</w:t>
      </w:r>
      <w:r>
        <w:rPr>
          <w:rFonts w:ascii="Arial" w:cs="Arial" w:eastAsia="Arial" w:hAnsi="Arial"/>
          <w:sz w:val="18"/>
          <w:szCs w:val="18"/>
          <w:color w:val="auto"/>
        </w:rPr>
        <w:t>, Erbitux</w:t>
      </w:r>
      <w:r>
        <w:rPr>
          <w:rFonts w:ascii="Arial" w:cs="Arial" w:eastAsia="Arial" w:hAnsi="Arial"/>
          <w:sz w:val="21"/>
          <w:szCs w:val="21"/>
          <w:color w:val="auto"/>
          <w:vertAlign w:val="superscript"/>
        </w:rPr>
        <w:t>®</w:t>
      </w:r>
      <w:r>
        <w:rPr>
          <w:rFonts w:ascii="Arial" w:cs="Arial" w:eastAsia="Arial" w:hAnsi="Arial"/>
          <w:sz w:val="18"/>
          <w:szCs w:val="18"/>
          <w:color w:val="auto"/>
        </w:rPr>
        <w:t>, and Humalog.</w:t>
      </w:r>
    </w:p>
    <w:p>
      <w:pPr>
        <w:ind w:right="480"/>
        <w:spacing w:after="0" w:line="305" w:lineRule="auto"/>
        <w:rPr>
          <w:sz w:val="20"/>
          <w:szCs w:val="20"/>
          <w:color w:val="auto"/>
        </w:rPr>
      </w:pPr>
      <w:r>
        <w:rPr>
          <w:rFonts w:ascii="Arial" w:cs="Arial" w:eastAsia="Arial" w:hAnsi="Arial"/>
          <w:sz w:val="18"/>
          <w:szCs w:val="18"/>
          <w:color w:val="auto"/>
        </w:rPr>
        <w:t>Outside the U.S., for the three and six months ended June 30, 2016, the volume increase was driven by several pharmaceutical products, primarily Cyramza</w:t>
      </w:r>
      <w:r>
        <w:rPr>
          <w:rFonts w:ascii="Arial" w:cs="Arial" w:eastAsia="Arial" w:hAnsi="Arial"/>
          <w:sz w:val="21"/>
          <w:szCs w:val="21"/>
          <w:color w:val="auto"/>
          <w:vertAlign w:val="superscript"/>
        </w:rPr>
        <w:t>®</w:t>
      </w:r>
      <w:r>
        <w:rPr>
          <w:rFonts w:ascii="Arial" w:cs="Arial" w:eastAsia="Arial" w:hAnsi="Arial"/>
          <w:sz w:val="18"/>
          <w:szCs w:val="18"/>
          <w:color w:val="auto"/>
        </w:rPr>
        <w:t>, Trulicity, and Humalog, partially offset by the loss of exclusivity for Cymbalta in Europe.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rPr>
              <w:t>Ended</w:t>
            </w:r>
          </w:p>
        </w:tc>
        <w:tc>
          <w:tcPr>
            <w:tcW w:w="14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June 30, 2015</w:t>
            </w:r>
          </w:p>
        </w:tc>
        <w:tc>
          <w:tcPr>
            <w:tcW w:w="148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281.9</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654.3</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383.2</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247.3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630.5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567.9</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291.0</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316.1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664.3</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186.4</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181.2</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367.6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328.4</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204.3</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128.0</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316.4</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176.0</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236.5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274.1</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143.5</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81.1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191.8</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14.5</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196.2</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210.7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253.7</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161.4</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39.9</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44.3</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156.8</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23.8</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180.6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134.6</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67.9</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79.1</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116.8</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18.3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135.1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128.8</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48.6</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72.4</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80.0</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190.5</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258.3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448.8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411.6</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444.5</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415.3</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859.8</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840.8</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1"/>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2,889.9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2,514.9</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5,404.8</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4,978.7</w:t>
            </w:r>
          </w:p>
        </w:tc>
        <w:tc>
          <w:tcPr>
            <w:tcW w:w="148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781"/>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4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June 30, 2016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rPr>
              <w:t>June 30, 2015</w:t>
            </w:r>
          </w:p>
        </w:tc>
        <w:tc>
          <w:tcPr>
            <w:tcW w:w="148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14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526.6</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1,338.2</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707.2</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500.0</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1,207.2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1,106.2</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554.1</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617.2</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1,171.3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1,237.4</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444.4</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244.3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688.7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632.1</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334.5</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351.8</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621.4</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83.8</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351.4</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435.2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561.1</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52.4</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371.0</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473.2</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260.1</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152.6</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412.7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365.5</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297.1</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51.5</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222.8</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280.8</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64.1</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344.9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62.6</w:t>
            </w:r>
          </w:p>
        </w:tc>
        <w:tc>
          <w:tcPr>
            <w:tcW w:w="1480" w:type="dxa"/>
            <w:vAlign w:val="bottom"/>
          </w:tcPr>
          <w:p>
            <w:pPr>
              <w:jc w:val="center"/>
              <w:ind w:left="3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139.5</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138.5</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278.0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226.4</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40.2</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266.6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250.6</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87.0</w:t>
            </w: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128.4</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162.4</w:t>
            </w:r>
          </w:p>
        </w:tc>
        <w:tc>
          <w:tcPr>
            <w:tcW w:w="148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359.7</w:t>
            </w:r>
          </w:p>
        </w:tc>
        <w:tc>
          <w:tcPr>
            <w:tcW w:w="300" w:type="dxa"/>
            <w:vAlign w:val="bottom"/>
          </w:tcPr>
          <w:p>
            <w:pPr>
              <w:spacing w:after="0"/>
              <w:rPr>
                <w:sz w:val="23"/>
                <w:szCs w:val="23"/>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b w:val="1"/>
                <w:bCs w:val="1"/>
                <w:color w:val="auto"/>
              </w:rPr>
              <w:t>509.3</w:t>
            </w:r>
          </w:p>
        </w:tc>
        <w:tc>
          <w:tcPr>
            <w:tcW w:w="3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869.0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844.2</w:t>
            </w:r>
          </w:p>
        </w:tc>
        <w:tc>
          <w:tcPr>
            <w:tcW w:w="1480" w:type="dxa"/>
            <w:vAlign w:val="bottom"/>
          </w:tcPr>
          <w:p>
            <w:pPr>
              <w:jc w:val="center"/>
              <w:ind w:left="13"/>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836.9</w:t>
            </w:r>
          </w:p>
        </w:tc>
        <w:tc>
          <w:tcPr>
            <w:tcW w:w="3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777.5</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1,614.4</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1,590.5</w:t>
            </w:r>
          </w:p>
        </w:tc>
        <w:tc>
          <w:tcPr>
            <w:tcW w:w="148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1"/>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5,445.5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4,824.4</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10,269.9</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9,623.4</w:t>
            </w:r>
          </w:p>
        </w:tc>
        <w:tc>
          <w:tcPr>
            <w:tcW w:w="148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8320" w:firstLine="8"/>
        <w:spacing w:after="0" w:line="400" w:lineRule="auto"/>
        <w:tabs>
          <w:tab w:leader="none" w:pos="15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U.S. revenue includes revenue in Puerto Rico. NM - not meaningful</w:t>
      </w:r>
    </w:p>
    <w:p>
      <w:pPr>
        <w:sectPr>
          <w:pgSz w:w="11900" w:h="16838" w:orient="portrait"/>
          <w:cols w:equalWidth="0" w:num="1">
            <w:col w:w="11420"/>
          </w:cols>
          <w:pgMar w:left="240" w:top="684"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684" w:right="239" w:bottom="1440" w:gutter="0" w:footer="0" w:header="0"/>
          <w:type w:val="continuous"/>
        </w:sectPr>
      </w:pPr>
    </w:p>
    <w:bookmarkStart w:id="40" w:name="page41"/>
    <w:bookmarkEnd w:id="40"/>
    <w:p>
      <w:pPr>
        <w:ind w:right="60"/>
        <w:spacing w:after="0" w:line="257" w:lineRule="auto"/>
        <w:rPr>
          <w:sz w:val="20"/>
          <w:szCs w:val="20"/>
          <w:color w:val="auto"/>
        </w:rPr>
      </w:pPr>
      <w:r>
        <w:rPr>
          <w:rFonts w:ascii="Arial" w:cs="Arial" w:eastAsia="Arial" w:hAnsi="Arial"/>
          <w:sz w:val="18"/>
          <w:szCs w:val="18"/>
          <w:color w:val="auto"/>
        </w:rPr>
        <w:t>Revenues of Humalog, our injectable human insulin analog for the treatment of diabetes, increased 5 percent in the U.S. during the second quarter of 2016 driven by increased demand, partially offset by lower realized prices. For the first six months of 2016, U.S. revenue decreased 5 percent driven by lower realized prices, partially offset by increased demand. The decrease in realized prices for the first six months of 2016 primarily resulted from a first quarter change in estimate for rebates and discounts. Revenues outside the U.S. increased 11 percent during the second quarter primarily driven by increased volume, partially offset by the unfavorable impact of foreign exchange rates. For the first six months of 2016, revenues outside the U.S. increased 2 percent driven by increased volume, largely offset by the unfavorable impact of foreign exchange rates.</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24 percent and 27 percent in the U.S. during the second quarter and first six months of 2016, respectively, driven primarily by higher realized prices, and to a lesser extent, increased volume. Revenues outside the U.S. decreased 4 percent and 9 percent during the second quarter and first six months of 2016, respectively, primarily driven by the unfavorable impact of foreign exchange rates and decreased volume.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of Alimta, a treatment for various cancers, decreased 12 percent and 5 percent in the U.S. during the second quarter and first six months of 2016, respectively, driven primarily by decreased demand due to competitive pressure. For the first six months of 2016, the decrease in demand was partially offset by wholesaler buying patterns. Revenues outside the U.S. decreased 5 percent during the second quarter of 2016, driven by decreased volume and lower realized prices, partially offset by the favorable impact of foreign exchange rates. For the first six months of 2016, revenues outside the U.S. decreased 6 percent, driven by lower realized prices, decreased volume, and the unfavorable impact of foreign exchange rates. We are exposed to generic entry in multiple countries during 2016 that may erode revenues from current levels.</w:t>
      </w:r>
    </w:p>
    <w:p>
      <w:pPr>
        <w:spacing w:after="0" w:line="6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Revenues of Humulin, an injectable human insulin for the treatment of diabetes, increased 9 percent in the U.S. in the second quarter of 2016, driven by increased volume. For the first six months of 2016, revenues increased 21 percent in the U.S., driven by higher realized prices and, to a lesser extent, increased volume. The increase in our realized prices resulted from a first quarter change in estimate of a government rebate. Revenues outside the U.S. remained relatively flat in the second quarter of 2016. For the first six months of 2016, revenues outside the U.S. decreased 8 percent, driven by the unfavorable impact of foreign exchange rates and decreased volume.</w:t>
      </w:r>
    </w:p>
    <w:p>
      <w:pPr>
        <w:spacing w:after="0" w:line="6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29 percent and 25 percent in the U.S. in the second quarter and first six months of 2016, respectively, driven by higher realized prices. Revenues outside the U.S. decreased 1 percent in the second quarter of 2016, driven by lower realized prices, largely offset by increased volume and the favorable impact of foreign exchange rates. For the first six months of 2016, revenues outside the U.S. decreased 1 percent, as lower realized prices were essentially offset by increased volume.</w:t>
      </w:r>
    </w:p>
    <w:p>
      <w:pPr>
        <w:spacing w:after="0" w:line="6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for the treatment of chronic musculoskeletal pain and the management of fibromyalgia, increased 49 percent and decreased 12 percent in the U.S. in the second quarter and first six months of 2016, respectively. The revenue increase in the second quarter of 2016 was driven by adjustments to the return reserve resulting from the expiration of the period to return expired product for credit. Revenues outside the U.S. decreased 25 percent outside the U.S. in the second quarter and first six months of 2016, driven by the loss of exclusivity in Europe in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maintenance, remained flat outside the U.S. in the second quarter of 2016 as lower realized prices and decreased volume were essentially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the favorable impact of foreign exchange rates. For the first six months of 2016, revenues outside the U.S. decreased 5 percent,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lower realized prices and decreased volume, partially offset by the favorable impact of foreign exchange rates. We lost patent exclusivity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Zyprexa in Japan in December 2015 and generic competition launched in June 2016. Zyprexa revenues in Japan were $114.6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$208.2 million for the second quarter and first six months of 2016, respectively, compared with $106.4 million and $200.3 million for the second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and first six months of 2015, respectively.</w:t>
      </w:r>
    </w:p>
    <w:p>
      <w:pPr>
        <w:spacing w:after="0" w:line="95" w:lineRule="exact"/>
        <w:rPr>
          <w:sz w:val="20"/>
          <w:szCs w:val="20"/>
          <w:color w:val="auto"/>
        </w:rPr>
      </w:pPr>
    </w:p>
    <w:p>
      <w:pPr>
        <w:jc w:val="both"/>
        <w:ind w:right="320"/>
        <w:spacing w:after="0" w:line="294" w:lineRule="auto"/>
        <w:rPr>
          <w:sz w:val="20"/>
          <w:szCs w:val="20"/>
          <w:color w:val="auto"/>
        </w:rPr>
      </w:pPr>
      <w:r>
        <w:rPr>
          <w:rFonts w:ascii="Arial" w:cs="Arial" w:eastAsia="Arial" w:hAnsi="Arial"/>
          <w:sz w:val="17"/>
          <w:szCs w:val="17"/>
          <w:color w:val="auto"/>
        </w:rPr>
        <w:t>Revenues of Strattera, a treatment for attention-deficit hyperactivity disorder, increased 19 percent and 13 percent in the U.S. in the second quarter and first six months of 2016, driven by higher realized prices and, to a lesser extent, increased demand. Revenues outside the U.S. increased 15 percent and 12 percent during the second quarter and first six months of 2016, respectively, driven by increased volume.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84" w:right="259" w:bottom="1440" w:gutter="0" w:footer="0" w:header="0"/>
        </w:sectPr>
      </w:pPr>
    </w:p>
    <w:bookmarkStart w:id="41" w:name="page42"/>
    <w:bookmarkEnd w:id="41"/>
    <w:p>
      <w:pPr>
        <w:ind w:right="80"/>
        <w:spacing w:after="0" w:line="271" w:lineRule="auto"/>
        <w:rPr>
          <w:sz w:val="20"/>
          <w:szCs w:val="20"/>
          <w:color w:val="auto"/>
        </w:rPr>
      </w:pPr>
      <w:r>
        <w:rPr>
          <w:rFonts w:ascii="Arial" w:cs="Arial" w:eastAsia="Arial" w:hAnsi="Arial"/>
          <w:sz w:val="18"/>
          <w:szCs w:val="18"/>
          <w:color w:val="auto"/>
        </w:rPr>
        <w:t>Revenues of Erbitux, a treatment for various cancers, increased 36 percent and 67 percent in the U.S. in the second quarter and first six months of 2016, respectively, due to the transfer of commercialization rights in the U.S. and Canada (collectively, North America) that occurred on October 1, 2015.</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Revenues of Trulicity, a treatment for type 2 diabetes, were $161.4 million and $280.8 million in the U.S. during the second quarter and first six months of 2016, respectively, driven by growth in the GLP-1 market and increased share of market for Trulicity. Revenues of Trulicity outside the U.S. were $39.9 million and $64.1 million during the second quarter and first six months of 2016, respectively.</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Revenues of animal health products increased 8 percent and 9 percent in the U.S. in the second quarter and first six months of 2016, respectively, due to wholesaler buying patterns and uptake of new companion animal products. The increase in revenues for companion animal products was partially offset by decreased revenues for food animal products in the second quarter of 2016. Revenues outside the U.S. decreased 3 percent and 5 percent in the second quarter and first six months of 2016, respectively, primarily due to the unfavorable impact of foreign exchange rates.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7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Gross margin as a percent of revenue decreased 2.6 percentage points to 72.9 percent for the second quarter of 2016 compared with the second quarter of 2015 and decreased 2.0 percentage points to 72.9 percent for the first six months of 2016 compared with the first six months of 2015. The decline was primarily due to a lower benefit from foreign exchange rates on international inventories sold and, to a lesser extent, the transfer of Erbitux commercialization rights in North America, partially offset by 2015 inventory step-up costs related to the acquisition of Novartis AH.</w:t>
      </w:r>
    </w:p>
    <w:p>
      <w:pPr>
        <w:spacing w:after="0" w:line="6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Research and development expenses increased 14 percent to $1.34 billion for the second quarter of 2016 and increased 16 percent to $2.56 billion for the first six months of 2016. The increase was driven primarily by higher late-stage clinical development costs, including a $ 100.0 million charge related to a development milestone for AZD3293, a BACE inhibitor, in development with AstraZeneca UK Limited. The first six months of 2016 also included a charge of $55.0 million for milestone payments to Incyte Corporation for the regulatory submissions of baricitinib in the U.S. and Europe. See Note 4 to the consolidated condensed financial statements for additional information.</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Marketing, selling, and administrative expenses decreased 1 percent to $1.62 billion for the second quarter of 2016 and decreased 2 percent to $3.10 billion for the first six months of 2016. The decrease was primarily due to lower litigation expenses and reduced spending on late life-cycle products, partially offset by expenses related to new products. For the first six months of 2016, the favorable impact of foreign exchange rates also contributed to the decrease.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were no acquired IPR&amp;D charges recognized in the second quarter and first six months of 2016, compared with charges of $80.0 million and $336.0 million for the second quarter of 2016 and first six months ended June 30, 2015, respectively. The charges for the second quarter of 2015 included a $50.0 million payment to Hanmi related to an exclusive license and collaboration agreement for Hanmi's oral Bruton's tyrosine kinase inhibitor and a $30.0 million payment to BioNTech related to the research collaboration to discover novel cancer immunotherapies. The first six months of 2015 also included a $ 200.0 million payment to Pfizer following an FDA decision allowing the resumption of Phase III clinical trials for tanezumab and a $56.0 million payment to Innovent associated with a collaboration to develop potential oncology therapies. See Notes 3 and 4 to the consolidated condensed financial statements for additional information.</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recognized asset impairment, restructuring, and other special charges of $58.0 million and $72.4 million in the second quarters of 2016 and 2015, respectively, related to integration costs for Novartis AH, severance costs, and asset impairments. For the first six months of 2016 and 2015, we recognized asset impairment, restructuring, and other special charges of $189.4 million and $180.4 million, respectively. The charges for the first six months of 2016 were associated with asset impairments related to the closure of an animal health manufacturing facility in Ireland as well as integration and severance costs related to the acquisition of Novartis AH. The 2015 charges primarily related to integration costs and intangible asset impairments due to product rationalization resulting from the acquisition of Novartis AH. See Note 5 to the consolidated condensed financial statements for additional information.</w:t>
      </w:r>
    </w:p>
    <w:p>
      <w:pPr>
        <w:spacing w:after="0" w:line="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Other–net, (income) expense was income of $21.2 million and expense of $127.8 million for the second quarter and first six months of 2016, respectively, compared with expense of $123.3 million and $30.6 million for the same respective periods in 2015. Other expense during the first six months of 2016 was driven by a $203.9 million charge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84" w:right="259" w:bottom="1440" w:gutter="0" w:footer="0" w:header="0"/>
        </w:sectPr>
      </w:pPr>
    </w:p>
    <w:bookmarkStart w:id="42" w:name="page43"/>
    <w:bookmarkEnd w:id="42"/>
    <w:p>
      <w:pPr>
        <w:ind w:right="40"/>
        <w:spacing w:after="0" w:line="271" w:lineRule="auto"/>
        <w:rPr>
          <w:sz w:val="20"/>
          <w:szCs w:val="20"/>
          <w:color w:val="auto"/>
        </w:rPr>
      </w:pPr>
      <w:r>
        <w:rPr>
          <w:rFonts w:ascii="Arial" w:cs="Arial" w:eastAsia="Arial" w:hAnsi="Arial"/>
          <w:sz w:val="18"/>
          <w:szCs w:val="18"/>
          <w:color w:val="auto"/>
        </w:rPr>
        <w:t>related to the impact of the Venezuelan financial crisis, including the significant deterioration of the bolívar. Other expense during the second quarter and first six months of 2015 was driven by a net charge of $152.7 million related to the repurchase of $1.65 billion of debt. See Note 12 to the consolidated condensed financial statements for additional information.</w:t>
      </w:r>
    </w:p>
    <w:p>
      <w:pPr>
        <w:spacing w:after="0" w:line="5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effective tax rates were 20.8 percent and 21.4 percent for the second quarter and first six months of 2016, respectively, compared with 11.6 percent and 12.9 percent for the same respective periods in 2015. The increase in the effective tax rates for the second quarter and first six months of 2016 as compared with the same respective periods of 2015 is primarily due to the tax impact of 2015 charges, including acquired IPR&amp;D charges; asset impairment, restructuring, and other special charges; and a net charge related to the repurchase of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Cash and cash equivalents decreased to $3.24 billion as of June 30, 2016, compared with $3.67 billion as of December 31, 2015. Refer to the consolidated condensed statements of cash flows for additional details on the significant sources and uses of cash for the six months ended June 30, 2016 and 2015.</w:t>
      </w:r>
    </w:p>
    <w:p>
      <w:pPr>
        <w:spacing w:after="0" w:line="5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$5.15 billion and $4.43 billion as of June 30, 2016 and December 31, 2015, respectively. See Note 6 to the consolidated condensed financial statements for additional details.</w:t>
      </w:r>
    </w:p>
    <w:p>
      <w:pPr>
        <w:spacing w:after="0" w:line="3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Total debt increased to $ 9.33 billion as of June 30, 2016, compared with $7.98 billion as of December 31, 2015. The increase was primarily due to the issuance of $1.21 billion of fixed-rate notes. See Note 6 to the consolidated condensed financial statements for additional details. At June 30, 2016, we had approximately $1.2 billion available to us under our corporate credit facility, which is available to support our commercial paper program. We believe that amounts accessible through existing commercial paper markets should be adequate to fund short-term borrowings.</w:t>
      </w:r>
    </w:p>
    <w:p>
      <w:pPr>
        <w:spacing w:after="0" w:line="6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During the six months ended June 30, 2016, we purchased $300.1 million of shares associated with our previously announced $5.00 billion share repurchase program.</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See "Other Matters—Patent Matters" for information regarding recent and upcoming losses of patent protection for Cymbalta (Europe), Alimta (U.S., Europe, and Japan), Zyprexa (Japan), Strattera (U.S.), and Cialis (U.S. and Europe).</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"Other Matters—Foreign Currency Exchange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Expectations</w:t>
      </w:r>
    </w:p>
    <w:p>
      <w:pPr>
        <w:spacing w:after="0" w:line="17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have confirmed our 2016 financial guidance. Full-year 2016 EPS is still expected to be in the range of $2.68 to $2.78. We still expect 2016 revenue of between $20.6 billion and $21.1 billion.</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Gross margin as a percent of revenue is still expected to be approximately 73 percent. Research and development expenses are still expected to be in the range of $4.9 billion to $5.1 billion. Marketing, selling, and administrative expenses are still expected to be in the range of $6.1 billion to $6.3 billion. Other—net, (income) expense is still expected to be in a range between $125 million and $200 million of expense.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2016 tax rate is still expected to be approximately 21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$1.1 billion.</w:t>
      </w:r>
    </w:p>
    <w:p>
      <w:pPr>
        <w:spacing w:after="0" w:line="117"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Our financial expectations through the remainder of the decade include at least 5 percent average annual revenue growth driven by volume, along with an increase in gross margin as a percent of revenue, both on a constant currency basis. We also plan to return to annual dividend increases for shareholders and reaffirmed our commitment to achieve an operating expense-to-revenue ratio of 50 percent or less in 2018.</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84" w:right="259" w:bottom="1440" w:gutter="0" w:footer="0" w:header="0"/>
        </w:sectPr>
      </w:pPr>
    </w:p>
    <w:bookmarkStart w:id="43" w:name="page44"/>
    <w:bookmarkEnd w:id="43"/>
    <w:p>
      <w:pPr>
        <w:ind w:right="320"/>
        <w:spacing w:after="0" w:line="292" w:lineRule="auto"/>
        <w:rPr>
          <w:sz w:val="20"/>
          <w:szCs w:val="20"/>
          <w:color w:val="auto"/>
        </w:rPr>
      </w:pPr>
      <w:r>
        <w:rPr>
          <w:rFonts w:ascii="Arial" w:cs="Arial" w:eastAsia="Arial" w:hAnsi="Arial"/>
          <w:sz w:val="18"/>
          <w:szCs w:val="18"/>
          <w:color w:val="auto"/>
        </w:rPr>
        <w:t>Various risks and uncertainties, including those discussed in "Forward-Looking Statements" may cause our actual results to differ materially from these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on our Website</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1" w:lineRule="exact"/>
        <w:rPr>
          <w:sz w:val="20"/>
          <w:szCs w:val="20"/>
          <w:color w:val="auto"/>
        </w:rPr>
      </w:pPr>
    </w:p>
    <w:p>
      <w:pPr>
        <w:ind w:left="660" w:right="60" w:hanging="652"/>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67" w:lineRule="exact"/>
        <w:rPr>
          <w:rFonts w:ascii="Arial" w:cs="Arial" w:eastAsia="Arial" w:hAnsi="Arial"/>
          <w:sz w:val="18"/>
          <w:szCs w:val="18"/>
          <w:color w:val="auto"/>
        </w:rPr>
      </w:pPr>
    </w:p>
    <w:p>
      <w:pPr>
        <w:ind w:left="660" w:right="280"/>
        <w:spacing w:after="0" w:line="271"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June 30, 2016, and concluded that they are effective.</w:t>
      </w:r>
    </w:p>
    <w:p>
      <w:pPr>
        <w:spacing w:after="0" w:line="55" w:lineRule="exact"/>
        <w:rPr>
          <w:rFonts w:ascii="Arial" w:cs="Arial" w:eastAsia="Arial" w:hAnsi="Arial"/>
          <w:sz w:val="18"/>
          <w:szCs w:val="18"/>
          <w:color w:val="auto"/>
        </w:rPr>
      </w:pPr>
    </w:p>
    <w:p>
      <w:pPr>
        <w:ind w:left="660" w:right="100" w:hanging="652"/>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second quarter of 2016,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684" w:right="259" w:bottom="1440" w:gutter="0" w:footer="0" w:header="0"/>
        </w:sectPr>
      </w:pPr>
    </w:p>
    <w:bookmarkStart w:id="44" w:name="page45"/>
    <w:bookmarkEnd w:id="44"/>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See "Notes to Consolidated Condensed Financial Statements—Note 10, Contingencies" for information on various legal proceedings, including but not limited to:</w:t>
      </w:r>
    </w:p>
    <w:p>
      <w:pPr>
        <w:spacing w:after="0" w:line="64"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36"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Cymbalta,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040" w:hanging="384"/>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2015 (Part I, Item 3).</w:t>
      </w:r>
    </w:p>
    <w:p>
      <w:pPr>
        <w:spacing w:after="0" w:line="3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are engaged in U.S. patent litigation involving Forteo brought pursuant to procedures set out in the Drug Price Competition and Patent Term Restoration Act of 1984. Teva Pharmaceuticals USA, Inc. has filed an Abbreviated New Drug Application with the FDA seeking approval to market generic versions of Forteo and has filed a notice alleging that a number of our patents covering various formulations and methods of use for Forteo are invalid and/or not infringed. In March 2016, we filed a patent infringement suit against Teva Pharmaceuticals USA, Inc. and Teva Pharmaceutical Industries Ltd. asserting six different patents with expiration dates ranging from December 2018 to August 2019.</w:t>
      </w:r>
    </w:p>
    <w:p>
      <w:pPr>
        <w:spacing w:after="0" w:line="6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We have received a civil investigative demand from the U.S. Attorney’s Office for the Southern District of New York requesting documents and information relating to our contracts with, services performed by and payments to pharmacy benefit managers. We are cooperating with this investigation.</w:t>
      </w:r>
    </w:p>
    <w:p>
      <w:pPr>
        <w:spacing w:after="0" w:line="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2015. There have been no material changes from the risk factors previously disclosed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during the three months ended June 30,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171"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8"/>
          <w:szCs w:val="18"/>
          <w:color w:val="auto"/>
        </w:rPr>
        <w:t>Amended Articles of Incorporation</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By-laws, as amended</w:t>
      </w:r>
    </w:p>
    <w:p>
      <w:pPr>
        <w:spacing w:after="0" w:line="360"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12.</w:t>
      </w:r>
      <w:r>
        <w:rPr>
          <w:sz w:val="20"/>
          <w:szCs w:val="20"/>
          <w:color w:val="auto"/>
        </w:rPr>
        <w:tab/>
      </w:r>
      <w:r>
        <w:rPr>
          <w:rFonts w:ascii="Arial" w:cs="Arial" w:eastAsia="Arial" w:hAnsi="Arial"/>
          <w:sz w:val="18"/>
          <w:szCs w:val="18"/>
          <w:color w:val="auto"/>
        </w:rPr>
        <w:t>Statement re: Computation of Ratio of Earnings to Fixed Charges</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7"/>
          <w:szCs w:val="17"/>
          <w:color w:val="auto"/>
        </w:rPr>
        <w:t>Rule 13a-14(a) Certification of John C. Lechleiter, Ph.D., Chairman, President, and Chief Executive Officer</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7"/>
          <w:szCs w:val="17"/>
          <w:color w:val="auto"/>
        </w:rPr>
        <w:t>Rule 13a-14(a) Certification of Derica W. Rice, Executive Vice President, Global Services and Chief Financial</w:t>
      </w:r>
    </w:p>
    <w:p>
      <w:pPr>
        <w:spacing w:after="0" w:line="18"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Officer</w:t>
      </w:r>
    </w:p>
    <w:p>
      <w:pPr>
        <w:spacing w:after="0" w:line="352"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8"/>
          <w:szCs w:val="18"/>
          <w:color w:val="auto"/>
        </w:rPr>
        <w:t>Section 1350 Certification</w:t>
      </w:r>
    </w:p>
    <w:p>
      <w:pPr>
        <w:spacing w:after="0" w:line="374" w:lineRule="exact"/>
        <w:rPr>
          <w:sz w:val="20"/>
          <w:szCs w:val="20"/>
          <w:color w:val="auto"/>
        </w:rPr>
      </w:pPr>
    </w:p>
    <w:p>
      <w:pPr>
        <w:ind w:left="40"/>
        <w:spacing w:after="0"/>
        <w:tabs>
          <w:tab w:leader="none" w:pos="264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7"/>
          <w:szCs w:val="17"/>
          <w:color w:val="auto"/>
        </w:rPr>
        <w:t>Interactive Data File</w:t>
      </w: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576"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54" w:lineRule="exact"/>
        <w:rPr>
          <w:sz w:val="20"/>
          <w:szCs w:val="20"/>
          <w:color w:val="auto"/>
        </w:rPr>
      </w:pPr>
    </w:p>
    <w:p>
      <w:pPr>
        <w:ind w:right="160"/>
        <w:spacing w:after="0" w:line="4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5"/>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28,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July 28, 2016</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5"/>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574" w:right="239" w:bottom="1440" w:gutter="0" w:footer="0" w:header="0"/>
        </w:sectPr>
      </w:pPr>
    </w:p>
    <w:bookmarkStart w:id="47" w:name="page48"/>
    <w:bookmarkEnd w:id="47"/>
    <w:p>
      <w:pPr>
        <w:spacing w:after="0" w:line="211" w:lineRule="auto"/>
        <w:framePr w:w="8780" w:h="366" w:wrap="auto" w:vAnchor="page" w:hAnchor="page" w:x="2860" w:y="2408"/>
        <w:rPr>
          <w:rFonts w:ascii="Arial" w:cs="Arial" w:eastAsia="Arial" w:hAnsi="Arial"/>
          <w:sz w:val="18"/>
          <w:szCs w:val="18"/>
          <w:color w:val="auto"/>
        </w:rPr>
      </w:pPr>
      <w:r>
        <w:rPr>
          <w:rFonts w:ascii="Arial" w:cs="Arial" w:eastAsia="Arial" w:hAnsi="Arial"/>
          <w:sz w:val="18"/>
          <w:szCs w:val="18"/>
          <w:color w:val="auto"/>
        </w:rPr>
        <w:t>By-laws, as amended, are incorporated by reference to Exhibit 99 to the Company's Report on Form 8-K filed February 27, 2012.</w:t>
      </w:r>
    </w:p>
    <w:p>
      <w:pPr>
        <w:spacing w:after="0" w:line="188" w:lineRule="auto"/>
        <w:framePr w:w="5300" w:h="163" w:wrap="auto" w:vAnchor="page" w:hAnchor="page" w:x="2860" w:y="3191"/>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200" w:lineRule="auto"/>
        <w:framePr w:w="8540" w:h="163" w:wrap="auto" w:vAnchor="page" w:hAnchor="page" w:x="2860" w:y="3772"/>
        <w:rPr>
          <w:rFonts w:ascii="Arial" w:cs="Arial" w:eastAsia="Arial" w:hAnsi="Arial"/>
          <w:sz w:val="17"/>
          <w:szCs w:val="17"/>
          <w:color w:val="auto"/>
        </w:rPr>
      </w:pPr>
      <w:r>
        <w:rPr>
          <w:rFonts w:ascii="Arial" w:cs="Arial" w:eastAsia="Arial" w:hAnsi="Arial"/>
          <w:sz w:val="17"/>
          <w:szCs w:val="17"/>
          <w:color w:val="auto"/>
        </w:rPr>
        <w:t>Rule 13a-14(a) Certification of John C. Lechleiter, Ph.D., Chairman, President, and Chief Executive Officer</w:t>
      </w:r>
    </w:p>
    <w:p>
      <w:pPr>
        <w:spacing w:after="0" w:line="211" w:lineRule="auto"/>
        <w:framePr w:w="8760" w:h="366" w:wrap="auto" w:vAnchor="page" w:hAnchor="page" w:x="2860" w:y="4353"/>
        <w:rPr>
          <w:rFonts w:ascii="Arial" w:cs="Arial" w:eastAsia="Arial" w:hAnsi="Arial"/>
          <w:sz w:val="18"/>
          <w:szCs w:val="18"/>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188" w:lineRule="auto"/>
        <w:framePr w:w="2140" w:h="163" w:wrap="auto" w:vAnchor="page" w:hAnchor="page" w:x="2860" w:y="5136"/>
        <w:rPr>
          <w:rFonts w:ascii="Arial" w:cs="Arial" w:eastAsia="Arial" w:hAnsi="Arial"/>
          <w:sz w:val="18"/>
          <w:szCs w:val="18"/>
          <w:color w:val="auto"/>
        </w:rPr>
      </w:pPr>
      <w:r>
        <w:rPr>
          <w:rFonts w:ascii="Arial" w:cs="Arial" w:eastAsia="Arial" w:hAnsi="Arial"/>
          <w:sz w:val="18"/>
          <w:szCs w:val="18"/>
          <w:color w:val="auto"/>
        </w:rPr>
        <w:t>Section 1350 Certification</w:t>
      </w:r>
    </w:p>
    <w:p>
      <w:pPr>
        <w:spacing w:after="0" w:line="200" w:lineRule="auto"/>
        <w:framePr w:w="1680" w:h="163" w:wrap="auto" w:vAnchor="page" w:hAnchor="page" w:x="2860" w:y="5717"/>
        <w:rPr>
          <w:rFonts w:ascii="Arial" w:cs="Arial" w:eastAsia="Arial" w:hAnsi="Arial"/>
          <w:sz w:val="17"/>
          <w:szCs w:val="17"/>
          <w:color w:val="auto"/>
        </w:rPr>
      </w:pPr>
      <w:r>
        <w:rPr>
          <w:rFonts w:ascii="Arial" w:cs="Arial" w:eastAsia="Arial" w:hAnsi="Arial"/>
          <w:sz w:val="17"/>
          <w:szCs w:val="17"/>
          <w:color w:val="auto"/>
        </w:rPr>
        <w:t>Interactive Data File</w:t>
      </w:r>
    </w:p>
    <w:p>
      <w:pPr>
        <w:spacing w:after="0" w:line="200" w:lineRule="auto"/>
        <w:framePr w:w="280" w:h="163" w:wrap="auto" w:vAnchor="page" w:hAnchor="page" w:x="5820" w:y="6190"/>
        <w:rPr>
          <w:rFonts w:ascii="Arial" w:cs="Arial" w:eastAsia="Arial" w:hAnsi="Arial"/>
          <w:sz w:val="17"/>
          <w:szCs w:val="17"/>
          <w:color w:val="auto"/>
        </w:rPr>
      </w:pPr>
      <w:r>
        <w:rPr>
          <w:rFonts w:ascii="Arial" w:cs="Arial" w:eastAsia="Arial" w:hAnsi="Arial"/>
          <w:sz w:val="17"/>
          <w:szCs w:val="17"/>
          <w:color w:val="auto"/>
        </w:rPr>
        <w:t>48</w:t>
      </w:r>
    </w:p>
    <w:p>
      <w:pPr>
        <w:spacing w:after="0" w:line="211" w:lineRule="auto"/>
        <w:framePr w:w="8580" w:h="366" w:wrap="auto" w:vAnchor="page" w:hAnchor="page" w:x="2860" w:y="1625"/>
        <w:rPr>
          <w:rFonts w:ascii="Arial" w:cs="Arial" w:eastAsia="Arial" w:hAnsi="Arial"/>
          <w:sz w:val="18"/>
          <w:szCs w:val="18"/>
          <w:color w:val="auto"/>
        </w:rPr>
      </w:pPr>
      <w:r>
        <w:rPr>
          <w:rFonts w:ascii="Arial" w:cs="Arial" w:eastAsia="Arial" w:hAnsi="Arial"/>
          <w:sz w:val="18"/>
          <w:szCs w:val="18"/>
          <w:color w:val="auto"/>
        </w:rPr>
        <w:t>Amended Articles of Incorporation are incorporated by reference to Exhibit 3.1 to the Company's Report on Form 10-K for the year ended December 31, 2013.</w:t>
      </w:r>
    </w:p>
    <w:p>
      <w:pPr>
        <w:spacing w:after="0"/>
        <w:rPr>
          <w:sz w:val="20"/>
          <w:szCs w:val="20"/>
          <w:color w:val="auto"/>
        </w:rPr>
      </w:pPr>
      <w:r>
        <w:rPr>
          <w:rFonts w:ascii="Arial" w:cs="Arial" w:eastAsia="Arial" w:hAnsi="Arial"/>
          <w:sz w:val="18"/>
          <w:szCs w:val="18"/>
          <w:b w:val="1"/>
          <w:bCs w:val="1"/>
          <w:color w:val="auto"/>
        </w:rPr>
        <w:t>Index to Exhibits</w:t>
      </w:r>
    </w:p>
    <w:p>
      <w:pPr>
        <w:spacing w:after="0" w:line="17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32.</w:t>
      </w:r>
    </w:p>
    <w:p>
      <w:pPr>
        <w:spacing w:after="0" w:line="374"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EXHIBIT 101.</w:t>
      </w:r>
    </w:p>
    <w:p>
      <w:pPr>
        <w:sectPr>
          <w:pgSz w:w="11900" w:h="16838" w:orient="portrait"/>
          <w:cols w:equalWidth="0" w:num="1">
            <w:col w:w="10219"/>
          </w:cols>
          <w:pgMar w:left="240" w:top="574" w:right="1440" w:bottom="1440" w:gutter="0" w:footer="0" w:header="0"/>
        </w:sectPr>
      </w:pPr>
    </w:p>
    <w:bookmarkStart w:id="48" w:name="page49"/>
    <w:bookmarkEnd w:id="48"/>
    <w:p>
      <w:pPr>
        <w:jc w:val="center"/>
        <w:ind w:left="260" w:right="2540"/>
        <w:spacing w:after="0" w:line="448" w:lineRule="auto"/>
        <w:rPr>
          <w:sz w:val="20"/>
          <w:szCs w:val="20"/>
          <w:color w:val="auto"/>
        </w:rPr>
      </w:pPr>
      <w:r>
        <w:rPr>
          <w:rFonts w:ascii="Arial" w:cs="Arial" w:eastAsia="Arial" w:hAnsi="Arial"/>
          <w:sz w:val="18"/>
          <w:szCs w:val="18"/>
          <w:color w:val="auto"/>
        </w:rPr>
        <w:t>EXHIBIT 12. Statement Re: Computation of Ratio of Earnings to Fixed Charges ELI LILLY AND COMPANY AND SUBSIDIARIES (Dollars in millions)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64"/>
        </w:trPr>
        <w:tc>
          <w:tcPr>
            <w:tcW w:w="4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1,511.3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2,790.0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3,000.3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5,889.3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5,408.2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Interest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114.0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211.7</w:t>
            </w:r>
          </w:p>
        </w:tc>
      </w:tr>
      <w:tr>
        <w:trPr>
          <w:trHeight w:val="26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71"/>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1,597.9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2,951.2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3,149.1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6,049.4</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5,586.0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114.0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216.0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187.1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184.2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r>
      <w:tr>
        <w:trPr>
          <w:trHeight w:val="277"/>
        </w:trPr>
        <w:tc>
          <w:tcPr>
            <w:tcW w:w="40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32.8</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28.1</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r>
    </w:tbl>
    <w:p>
      <w:pPr>
        <w:spacing w:after="0" w:line="139" w:lineRule="exact"/>
        <w:rPr>
          <w:sz w:val="20"/>
          <w:szCs w:val="20"/>
          <w:color w:val="auto"/>
        </w:rPr>
      </w:pPr>
    </w:p>
    <w:p>
      <w:pPr>
        <w:ind w:left="500" w:right="180" w:hanging="465"/>
        <w:spacing w:after="0" w:line="232" w:lineRule="auto"/>
        <w:tabs>
          <w:tab w:leader="none" w:pos="50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7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19"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71"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340" w:right="320" w:hanging="332"/>
        <w:spacing w:after="0" w:line="32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340" w:right="300" w:hanging="332"/>
        <w:spacing w:after="0" w:line="27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jc w:val="both"/>
        <w:ind w:left="980" w:right="14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980" w:right="48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left="980" w:right="4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980" w:right="220" w:hanging="324"/>
        <w:spacing w:after="0" w:line="271"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7"/>
          <w:szCs w:val="17"/>
          <w:color w:val="auto"/>
        </w:rPr>
      </w:pPr>
    </w:p>
    <w:p>
      <w:pPr>
        <w:ind w:left="980" w:right="100" w:hanging="324"/>
        <w:spacing w:after="0" w:line="323"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7"/>
          <w:szCs w:val="17"/>
          <w:color w:val="auto"/>
        </w:rPr>
      </w:pPr>
    </w:p>
    <w:p>
      <w:pPr>
        <w:ind w:left="980" w:right="320" w:hanging="324"/>
        <w:spacing w:after="0" w:line="292"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July 28, 2016</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28575</wp:posOffset>
            </wp:positionV>
            <wp:extent cx="3747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1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0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Quarterly Report on Form 10-Q for the quarter ended June 30, 2016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9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July 28, 2016</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5680" w:type="dxa"/>
            <w:vAlign w:val="bottom"/>
          </w:tcPr>
          <w:p>
            <w:pPr>
              <w:spacing w:after="0"/>
              <w:rPr>
                <w:sz w:val="20"/>
                <w:szCs w:val="20"/>
                <w:color w:val="auto"/>
              </w:rPr>
            </w:pPr>
            <w:r>
              <w:rPr>
                <w:rFonts w:ascii="Arial" w:cs="Arial" w:eastAsia="Arial" w:hAnsi="Arial"/>
                <w:sz w:val="18"/>
                <w:szCs w:val="18"/>
                <w:color w:val="auto"/>
              </w:rPr>
              <w:t>Date:   July 28, 2016</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5"/>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16"/>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2019-12-29T11:39:36Z</dcterms:created>
  <dcterms:modified xsi:type="dcterms:W3CDTF">2019-12-29T11:39:36Z</dcterms:modified>
</cp:coreProperties>
</file>