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81708dsc13g.htm"/>
      <w:bookmarkStart w:id="1" w:name="ksd181708dsc13g"/>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center"/>
        <w:rPr>
          <w:rFonts w:ascii="Times New Roman" w:hAnsi="Times New Roman"/>
          <w:b/>
          <w:sz w:val="36"/>
        </w:rPr>
      </w:pPr>
      <w:r>
        <w:rPr>
          <w:rFonts w:ascii="Times New Roman" w:hAnsi="Times New Roman"/>
          <w:b/>
          <w:sz w:val="36"/>
        </w:rPr>
        <w:t xml:space="preserve">SCHEDULE 13G </w:t>
      </w:r>
    </w:p>
    <w:p>
      <w:pPr>
        <w:pStyle w:val="TextBody"/>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center"/>
        <w:rPr>
          <w:rFonts w:ascii="Times New Roman" w:hAnsi="Times New Roman"/>
          <w:b/>
          <w:sz w:val="44"/>
        </w:rPr>
      </w:pPr>
      <w:r>
        <w:rPr>
          <w:rFonts w:ascii="Times New Roman" w:hAnsi="Times New Roman"/>
          <w:b/>
          <w:sz w:val="44"/>
        </w:rPr>
        <w:t xml:space="preserve">ProQR Therapeutics N.V. </w:t>
      </w:r>
    </w:p>
    <w:p>
      <w:pPr>
        <w:pStyle w:val="TextBody"/>
        <w:spacing w:before="0" w:after="0"/>
        <w:jc w:val="center"/>
        <w:rPr>
          <w:rFonts w:ascii="Times New Roman" w:hAnsi="Times New Roman"/>
          <w:b/>
          <w:sz w:val="20"/>
        </w:rPr>
      </w:pPr>
      <w:r>
        <w:rPr>
          <w:rFonts w:ascii="Times New Roman" w:hAnsi="Times New Roman"/>
          <w:b/>
          <w:sz w:val="20"/>
        </w:rPr>
        <w:t xml:space="preserve">(Name of Issuer) </w:t>
      </w:r>
    </w:p>
    <w:p>
      <w:pPr>
        <w:pStyle w:val="TextBody"/>
        <w:spacing w:before="480" w:after="0"/>
        <w:jc w:val="center"/>
        <w:rPr>
          <w:rFonts w:ascii="Times New Roman" w:hAnsi="Times New Roman"/>
          <w:b/>
          <w:sz w:val="20"/>
        </w:rPr>
      </w:pPr>
      <w:r>
        <w:rPr>
          <w:rFonts w:ascii="Times New Roman" w:hAnsi="Times New Roman"/>
          <w:b/>
          <w:sz w:val="20"/>
        </w:rPr>
        <w:t xml:space="preserve">Ordinary Shares, nominal value 0.04 EUR per share </w:t>
      </w:r>
    </w:p>
    <w:p>
      <w:pPr>
        <w:pStyle w:val="TextBody"/>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spacing w:before="480" w:after="0"/>
        <w:jc w:val="center"/>
        <w:rPr>
          <w:rFonts w:ascii="Times New Roman" w:hAnsi="Times New Roman"/>
          <w:b/>
          <w:sz w:val="20"/>
        </w:rPr>
      </w:pPr>
      <w:r>
        <w:rPr>
          <w:rFonts w:ascii="Times New Roman" w:hAnsi="Times New Roman"/>
          <w:b/>
          <w:sz w:val="20"/>
        </w:rPr>
        <w:t xml:space="preserve">N71542109 </w:t>
      </w:r>
    </w:p>
    <w:p>
      <w:pPr>
        <w:pStyle w:val="TextBody"/>
        <w:spacing w:before="0" w:after="0"/>
        <w:jc w:val="center"/>
        <w:rPr>
          <w:rFonts w:ascii="Times New Roman" w:hAnsi="Times New Roman"/>
          <w:b/>
          <w:sz w:val="16"/>
        </w:rPr>
      </w:pPr>
      <w:r>
        <w:rPr>
          <w:rFonts w:ascii="Times New Roman" w:hAnsi="Times New Roman"/>
          <w:b/>
          <w:sz w:val="16"/>
        </w:rPr>
        <w:t xml:space="preserve">(CUSIP Number) </w:t>
      </w:r>
    </w:p>
    <w:p>
      <w:pPr>
        <w:pStyle w:val="TextBody"/>
        <w:spacing w:before="480" w:after="0"/>
        <w:jc w:val="center"/>
        <w:rPr>
          <w:rFonts w:ascii="Times New Roman" w:hAnsi="Times New Roman"/>
          <w:sz w:val="20"/>
        </w:rPr>
      </w:pPr>
      <w:r>
        <w:rPr>
          <w:rFonts w:ascii="Times New Roman" w:hAnsi="Times New Roman"/>
          <w:b/>
          <w:sz w:val="20"/>
        </w:rPr>
        <w:t xml:space="preserve">September </w:t>
      </w:r>
      <w:r>
        <w:rPr>
          <w:rFonts w:ascii="Times New Roman" w:hAnsi="Times New Roman"/>
          <w:sz w:val="20"/>
        </w:rPr>
        <w:t>3</w:t>
      </w:r>
      <w:r>
        <w:rPr>
          <w:rFonts w:ascii="Times New Roman" w:hAnsi="Times New Roman"/>
          <w:b/>
          <w:sz w:val="20"/>
        </w:rPr>
        <w:t xml:space="preserve">, 2021 </w:t>
      </w:r>
    </w:p>
    <w:p>
      <w:pPr>
        <w:pStyle w:val="TextBody"/>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240" w:after="0"/>
        <w:jc w:val="left"/>
        <w:rPr/>
      </w:pPr>
      <w:r>
        <w:rPr/>
        <w:t xml:space="preserve">☐ </w:t>
      </w:r>
      <w:r>
        <w:rPr>
          <w:rFonts w:ascii="Times New Roman" w:hAnsi="Times New Roman"/>
          <w:sz w:val="20"/>
        </w:rPr>
        <w:t xml:space="preserve">Rule 13d-1(b) </w:t>
      </w:r>
    </w:p>
    <w:p>
      <w:pPr>
        <w:pStyle w:val="TextBody"/>
        <w:spacing w:before="240" w:after="0"/>
        <w:jc w:val="left"/>
        <w:rPr/>
      </w:pPr>
      <w:r>
        <w:rPr/>
        <w:t xml:space="preserve">☒ </w:t>
      </w:r>
      <w:r>
        <w:rPr>
          <w:rFonts w:ascii="Times New Roman" w:hAnsi="Times New Roman"/>
          <w:sz w:val="20"/>
        </w:rPr>
        <w:t xml:space="preserve">Rule 13d-1(c) </w:t>
      </w:r>
    </w:p>
    <w:p>
      <w:pPr>
        <w:pStyle w:val="TextBody"/>
        <w:spacing w:before="240" w:after="0"/>
        <w:jc w:val="left"/>
        <w:rPr/>
      </w:pPr>
      <w:r>
        <w:rPr/>
        <w:t xml:space="preserve">☐ </w:t>
      </w:r>
      <w:r>
        <w:rPr>
          <w:rFonts w:ascii="Times New Roman" w:hAnsi="Times New Roman"/>
          <w:sz w:val="20"/>
        </w:rPr>
        <w:t xml:space="preserve">Rule 13d-1(d)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13G </w:t>
      </w:r>
    </w:p>
    <w:p>
      <w:pPr>
        <w:pStyle w:val="TextBody"/>
        <w:spacing w:before="240" w:after="0"/>
        <w:jc w:val="left"/>
        <w:rPr>
          <w:rFonts w:ascii="Times New Roman" w:hAnsi="Times New Roman"/>
          <w:sz w:val="20"/>
        </w:rPr>
      </w:pPr>
      <w:r>
        <w:rPr>
          <w:rFonts w:ascii="Times New Roman" w:hAnsi="Times New Roman"/>
          <w:sz w:val="20"/>
        </w:rPr>
        <w:t xml:space="preserve">CUSIP No. N71542109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98"/>
        <w:gridCol w:w="132"/>
        <w:gridCol w:w="758"/>
        <w:gridCol w:w="310"/>
        <w:gridCol w:w="307"/>
        <w:gridCol w:w="310"/>
        <w:gridCol w:w="8018"/>
      </w:tblGrid>
      <w:tr>
        <w:trPr/>
        <w:tc>
          <w:tcPr>
            <w:tcW w:w="59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8018" w:type="dxa"/>
            <w:tcBorders/>
            <w:shd w:fill="auto" w:val="clear"/>
            <w:vAlign w:val="center"/>
          </w:tcPr>
          <w:p>
            <w:pPr>
              <w:pStyle w:val="TableContents"/>
              <w:spacing w:before="0" w:after="283"/>
              <w:rPr>
                <w:sz w:val="4"/>
                <w:szCs w:val="4"/>
              </w:rPr>
            </w:pPr>
            <w:r>
              <w:rPr>
                <w:sz w:val="4"/>
                <w:szCs w:val="4"/>
              </w:rPr>
            </w:r>
          </w:p>
        </w:tc>
      </w:tr>
      <w:tr>
        <w:trPr/>
        <w:tc>
          <w:tcPr>
            <w:tcW w:w="59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703"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r>
              <w:rPr>
                <w:rFonts w:ascii="Times New Roman" w:hAnsi="Times New Roman"/>
                <w:sz w:val="20"/>
              </w:rPr>
              <w:t>I.R.S. IDENTIFICATION NO. OF ABOVE PERSON (entities only)</w:t>
            </w:r>
          </w:p>
          <w:p>
            <w:pPr>
              <w:pStyle w:val="TableContents"/>
              <w:spacing w:before="0" w:after="0"/>
              <w:rPr/>
            </w:pPr>
            <w:r>
              <w:rPr/>
              <w:t> </w:t>
            </w:r>
          </w:p>
          <w:p>
            <w:pPr>
              <w:pStyle w:val="TableContents"/>
              <w:spacing w:before="0" w:after="0"/>
              <w:rPr/>
            </w:pPr>
            <w:r>
              <w:rPr/>
              <w:t>  </w:t>
            </w:r>
            <w:r>
              <w:rPr>
                <w:rFonts w:ascii="Times New Roman" w:hAnsi="Times New Roman"/>
                <w:sz w:val="20"/>
              </w:rPr>
              <w:t>Eli Lilly and Company</w:t>
            </w:r>
          </w:p>
          <w:p>
            <w:pPr>
              <w:pStyle w:val="TableContents"/>
              <w:spacing w:before="0" w:after="20"/>
              <w:rPr/>
            </w:pPr>
            <w:r>
              <w:rPr/>
              <w:t>  </w:t>
            </w:r>
            <w:r>
              <w:rPr>
                <w:rFonts w:ascii="Times New Roman" w:hAnsi="Times New Roman"/>
                <w:sz w:val="20"/>
              </w:rPr>
              <w:t>35-0470950</w:t>
            </w:r>
          </w:p>
        </w:tc>
      </w:tr>
      <w:tr>
        <w:trPr/>
        <w:tc>
          <w:tcPr>
            <w:tcW w:w="5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Indiana</w:t>
            </w:r>
          </w:p>
        </w:tc>
      </w:tr>
    </w:tbl>
    <w:tbl>
      <w:tblPr>
        <w:tblW w:w="4950" w:type="pct"/>
        <w:jc w:val="left"/>
        <w:tblInd w:w="0" w:type="dxa"/>
        <w:tblCellMar>
          <w:top w:w="0" w:type="dxa"/>
          <w:left w:w="0" w:type="dxa"/>
          <w:bottom w:w="0" w:type="dxa"/>
          <w:right w:w="0" w:type="dxa"/>
        </w:tblCellMar>
      </w:tblPr>
      <w:tblGrid>
        <w:gridCol w:w="855"/>
        <w:gridCol w:w="638"/>
        <w:gridCol w:w="1004"/>
        <w:gridCol w:w="180"/>
        <w:gridCol w:w="411"/>
        <w:gridCol w:w="180"/>
        <w:gridCol w:w="7165"/>
      </w:tblGrid>
      <w:tr>
        <w:trPr/>
        <w:tc>
          <w:tcPr>
            <w:tcW w:w="85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bottom"/>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65" w:type="dxa"/>
            <w:tcBorders/>
            <w:shd w:fill="auto" w:val="clear"/>
            <w:vAlign w:val="center"/>
          </w:tcPr>
          <w:p>
            <w:pPr>
              <w:pStyle w:val="TableContents"/>
              <w:spacing w:before="0" w:after="283"/>
              <w:rPr>
                <w:sz w:val="4"/>
                <w:szCs w:val="4"/>
              </w:rPr>
            </w:pPr>
            <w:r>
              <w:rPr>
                <w:sz w:val="4"/>
                <w:szCs w:val="4"/>
              </w:rPr>
            </w:r>
          </w:p>
        </w:tc>
      </w:tr>
      <w:tr>
        <w:trPr/>
        <w:tc>
          <w:tcPr>
            <w:tcW w:w="2497" w:type="dxa"/>
            <w:gridSpan w:val="3"/>
            <w:vMerge w:val="restart"/>
            <w:tcBorders>
              <w:left w:val="single" w:sz="2" w:space="0" w:color="000000"/>
            </w:tcBorders>
            <w:shd w:fill="auto" w:val="clear"/>
            <w:tcMar>
              <w:left w:w="160" w:type="dxa"/>
            </w:tcMar>
            <w:vAlign w:val="center"/>
          </w:tcPr>
          <w:p>
            <w:pPr>
              <w:pStyle w:val="TableContents"/>
              <w:spacing w:before="0" w:after="283"/>
              <w:jc w:val="center"/>
              <w:rPr/>
            </w:pPr>
            <w:r>
              <w:rPr/>
              <w:t>NUMBER OF SHARES  BENEFICIALLY  OWNED BY EACH REPORTING PERSON WITH:</w:t>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11" w:type="dxa"/>
            <w:tcBorders>
              <w:bottom w:val="single" w:sz="2" w:space="0" w:color="000000"/>
            </w:tcBorders>
            <w:shd w:fill="auto" w:val="clear"/>
            <w:tcMar>
              <w:bottom w:w="28" w:type="dxa"/>
            </w:tcMar>
          </w:tcPr>
          <w:p>
            <w:pPr>
              <w:pStyle w:val="TableContents"/>
              <w:spacing w:before="0" w:after="283"/>
              <w:rPr/>
            </w:pPr>
            <w:r>
              <w:rPr/>
              <w:t>(5)  </w:t>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65"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3,989,976</w:t>
            </w:r>
          </w:p>
        </w:tc>
      </w:tr>
      <w:tr>
        <w:trPr/>
        <w:tc>
          <w:tcPr>
            <w:tcW w:w="2497" w:type="dxa"/>
            <w:gridSpan w:val="3"/>
            <w:vMerge w:val="continue"/>
            <w:tcBorders>
              <w:left w:val="single" w:sz="2" w:space="0" w:color="000000"/>
            </w:tcBorders>
            <w:shd w:fill="auto" w:val="clear"/>
            <w:tcMar>
              <w:left w:w="160" w:type="dxa"/>
            </w:tcMar>
            <w:vAlign w:val="center"/>
          </w:tcPr>
          <w:p>
            <w:pPr>
              <w:pStyle w:val="Normal"/>
              <w:rPr/>
            </w:pPr>
            <w:r>
              <w:rPr/>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11" w:type="dxa"/>
            <w:tcBorders>
              <w:bottom w:val="single" w:sz="2" w:space="0" w:color="000000"/>
            </w:tcBorders>
            <w:shd w:fill="auto" w:val="clear"/>
            <w:tcMar>
              <w:bottom w:w="28" w:type="dxa"/>
            </w:tcMar>
          </w:tcPr>
          <w:p>
            <w:pPr>
              <w:pStyle w:val="TableContents"/>
              <w:spacing w:before="0" w:after="283"/>
              <w:rPr/>
            </w:pPr>
            <w:r>
              <w:rPr/>
              <w:t>(6)</w:t>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65"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N/A</w:t>
            </w:r>
          </w:p>
        </w:tc>
      </w:tr>
      <w:tr>
        <w:trPr/>
        <w:tc>
          <w:tcPr>
            <w:tcW w:w="2497" w:type="dxa"/>
            <w:gridSpan w:val="3"/>
            <w:vMerge w:val="continue"/>
            <w:tcBorders>
              <w:left w:val="single" w:sz="2" w:space="0" w:color="000000"/>
            </w:tcBorders>
            <w:shd w:fill="auto" w:val="clear"/>
            <w:tcMar>
              <w:left w:w="160" w:type="dxa"/>
            </w:tcMar>
            <w:vAlign w:val="center"/>
          </w:tcPr>
          <w:p>
            <w:pPr>
              <w:pStyle w:val="Normal"/>
              <w:rPr/>
            </w:pPr>
            <w:r>
              <w:rPr/>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11" w:type="dxa"/>
            <w:tcBorders>
              <w:bottom w:val="single" w:sz="2" w:space="0" w:color="000000"/>
            </w:tcBorders>
            <w:shd w:fill="auto" w:val="clear"/>
            <w:tcMar>
              <w:bottom w:w="28" w:type="dxa"/>
            </w:tcMar>
          </w:tcPr>
          <w:p>
            <w:pPr>
              <w:pStyle w:val="TableContents"/>
              <w:spacing w:before="0" w:after="283"/>
              <w:rPr/>
            </w:pPr>
            <w:r>
              <w:rPr/>
              <w:t>(7)</w:t>
            </w:r>
          </w:p>
        </w:tc>
        <w:tc>
          <w:tcPr>
            <w:tcW w:w="18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65"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3,989,976</w:t>
            </w:r>
          </w:p>
        </w:tc>
      </w:tr>
      <w:tr>
        <w:trPr/>
        <w:tc>
          <w:tcPr>
            <w:tcW w:w="2497" w:type="dxa"/>
            <w:gridSpan w:val="3"/>
            <w:vMerge w:val="continue"/>
            <w:tcBorders>
              <w:left w:val="single" w:sz="2" w:space="0" w:color="000000"/>
            </w:tcBorders>
            <w:shd w:fill="auto" w:val="clear"/>
            <w:tcMar>
              <w:left w:w="160" w:type="dxa"/>
            </w:tcMar>
            <w:vAlign w:val="center"/>
          </w:tcPr>
          <w:p>
            <w:pPr>
              <w:pStyle w:val="Normal"/>
              <w:rPr/>
            </w:pPr>
            <w:r>
              <w:rPr/>
            </w:r>
          </w:p>
        </w:tc>
        <w:tc>
          <w:tcPr>
            <w:tcW w:w="180" w:type="dxa"/>
            <w:tcBorders>
              <w:left w:val="single" w:sz="2" w:space="0" w:color="000000"/>
            </w:tcBorders>
            <w:shd w:fill="auto" w:val="clear"/>
            <w:tcMar>
              <w:left w:w="28" w:type="dxa"/>
            </w:tcMar>
            <w:vAlign w:val="bottom"/>
          </w:tcPr>
          <w:p>
            <w:pPr>
              <w:pStyle w:val="TableContents"/>
              <w:spacing w:before="0" w:after="283"/>
              <w:rPr/>
            </w:pPr>
            <w:r>
              <w:rPr/>
              <w:t>  </w:t>
            </w:r>
          </w:p>
        </w:tc>
        <w:tc>
          <w:tcPr>
            <w:tcW w:w="411" w:type="dxa"/>
            <w:tcBorders/>
            <w:shd w:fill="auto" w:val="clear"/>
          </w:tcPr>
          <w:p>
            <w:pPr>
              <w:pStyle w:val="TableContents"/>
              <w:spacing w:before="0" w:after="283"/>
              <w:rPr/>
            </w:pPr>
            <w:r>
              <w:rPr/>
              <w:t>(8)</w:t>
            </w:r>
          </w:p>
        </w:tc>
        <w:tc>
          <w:tcPr>
            <w:tcW w:w="180" w:type="dxa"/>
            <w:tcBorders>
              <w:left w:val="single" w:sz="2" w:space="0" w:color="000000"/>
            </w:tcBorders>
            <w:shd w:fill="auto" w:val="clear"/>
            <w:tcMar>
              <w:left w:w="28" w:type="dxa"/>
            </w:tcMar>
            <w:vAlign w:val="bottom"/>
          </w:tcPr>
          <w:p>
            <w:pPr>
              <w:pStyle w:val="TableContents"/>
              <w:spacing w:before="0" w:after="283"/>
              <w:rPr/>
            </w:pPr>
            <w:r>
              <w:rPr/>
              <w:t>  </w:t>
            </w:r>
          </w:p>
        </w:tc>
        <w:tc>
          <w:tcPr>
            <w:tcW w:w="7165"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N/A</w:t>
            </w:r>
          </w:p>
        </w:tc>
      </w:tr>
    </w:tbl>
    <w:tbl>
      <w:tblPr>
        <w:tblW w:w="4950" w:type="pct"/>
        <w:jc w:val="left"/>
        <w:tblInd w:w="0" w:type="dxa"/>
        <w:tblCellMar>
          <w:top w:w="0" w:type="dxa"/>
          <w:left w:w="0" w:type="dxa"/>
          <w:bottom w:w="0" w:type="dxa"/>
          <w:right w:w="0" w:type="dxa"/>
        </w:tblCellMar>
      </w:tblPr>
      <w:tblGrid>
        <w:gridCol w:w="595"/>
        <w:gridCol w:w="132"/>
        <w:gridCol w:w="740"/>
        <w:gridCol w:w="285"/>
        <w:gridCol w:w="280"/>
        <w:gridCol w:w="285"/>
        <w:gridCol w:w="8116"/>
      </w:tblGrid>
      <w:tr>
        <w:trPr/>
        <w:tc>
          <w:tcPr>
            <w:tcW w:w="5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8116" w:type="dxa"/>
            <w:tcBorders/>
            <w:shd w:fill="auto" w:val="clear"/>
            <w:vAlign w:val="center"/>
          </w:tcPr>
          <w:p>
            <w:pPr>
              <w:pStyle w:val="TableContents"/>
              <w:spacing w:before="0" w:after="283"/>
              <w:rPr>
                <w:sz w:val="4"/>
                <w:szCs w:val="4"/>
              </w:rPr>
            </w:pPr>
            <w:r>
              <w:rPr>
                <w:sz w:val="4"/>
                <w:szCs w:val="4"/>
              </w:rPr>
            </w:r>
          </w:p>
        </w:tc>
      </w:tr>
      <w:tr>
        <w:trPr/>
        <w:tc>
          <w:tcPr>
            <w:tcW w:w="595"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706"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3,989,976</w:t>
            </w:r>
          </w:p>
        </w:tc>
      </w:tr>
      <w:tr>
        <w:trPr/>
        <w:tc>
          <w:tcPr>
            <w:tcW w:w="595"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6"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95"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6"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5.6%</w:t>
            </w:r>
          </w:p>
        </w:tc>
      </w:tr>
      <w:tr>
        <w:trPr/>
        <w:tc>
          <w:tcPr>
            <w:tcW w:w="595"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706"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CO</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SCHEDULE 13G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64"/>
        <w:gridCol w:w="121"/>
        <w:gridCol w:w="9354"/>
      </w:tblGrid>
      <w:tr>
        <w:trPr/>
        <w:tc>
          <w:tcPr>
            <w:tcW w:w="106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9354" w:type="dxa"/>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1    (a)</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Name of issuer:</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ProQR Therapeutics N.V.</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1    (b)</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Address of issuers principal executive offices: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Darwinweg 24</w:t>
            </w:r>
          </w:p>
          <w:p>
            <w:pPr>
              <w:pStyle w:val="TableContents"/>
              <w:spacing w:before="0" w:after="20"/>
              <w:rPr>
                <w:rFonts w:ascii="Times New Roman" w:hAnsi="Times New Roman"/>
                <w:sz w:val="20"/>
              </w:rPr>
            </w:pPr>
            <w:r>
              <w:rPr>
                <w:rFonts w:ascii="Times New Roman" w:hAnsi="Times New Roman"/>
                <w:sz w:val="20"/>
              </w:rPr>
              <w:t>Leiden P7 2333CR</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2    (a)</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Name of person filing:</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This Statement is filed on behalf of Eli Lilly and Company, an Indiana corporation</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2    (b)</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Address or principal business office or, if none, residence: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Eli Lilly and Company, Lilly Corporate Center, Indianapolis, Indiana 46285</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2    (c)</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Citizenship:</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Eli Lilly and Company is an Indiana corporation.</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2    (d)</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Title of class of securities: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Ordinary Shares, nominal value 0.04 EUR per share</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2    (e)</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CUSIP No.:</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N71542109</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3.        </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If this statement is filed pursuant to §§240.13d-1(b) or 240.13d-2(b) or (c), check whether the person filing is a:</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4.        </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Ownership:</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(a)</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Amount beneficially owned: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3,989,976</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(b)</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Percent of class: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5.6%</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(c)</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283"/>
              <w:rPr>
                <w:b/>
                <w:i/>
              </w:rPr>
            </w:pPr>
            <w:r>
              <w:rPr>
                <w:b/>
                <w:i/>
              </w:rPr>
              <w:t>Number of shares as to which the person has:</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(i) Sole power to vote or to direct the vote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3,989,976</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(ii)  Shared power to vote or to direct the vote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N/A</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(iii)  Sole power to dispose or to direct the disposition of</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3,989,976</w:t>
            </w:r>
          </w:p>
        </w:tc>
      </w:tr>
      <w:tr>
        <w:trPr>
          <w:trHeight w:val="12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(iv)  Shared power to dispose or to direct the disposition of</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N/A</w:t>
            </w:r>
          </w:p>
        </w:tc>
      </w:tr>
      <w:tr>
        <w:trPr>
          <w:trHeight w:val="240" w:hRule="atLeast"/>
        </w:trPr>
        <w:tc>
          <w:tcPr>
            <w:tcW w:w="1064" w:type="dxa"/>
            <w:tcBorders/>
            <w:shd w:fill="auto" w:val="clear"/>
            <w:vAlign w:val="center"/>
          </w:tcPr>
          <w:p>
            <w:pPr>
              <w:pStyle w:val="TableContents"/>
              <w:spacing w:before="0" w:after="283"/>
              <w:rPr>
                <w:sz w:val="4"/>
                <w:szCs w:val="4"/>
              </w:rPr>
            </w:pPr>
            <w:r>
              <w:rPr>
                <w:sz w:val="4"/>
                <w:szCs w:val="4"/>
              </w:rPr>
            </w:r>
          </w:p>
        </w:tc>
        <w:tc>
          <w:tcPr>
            <w:tcW w:w="9475" w:type="dxa"/>
            <w:gridSpan w:val="2"/>
            <w:tcBorders/>
            <w:shd w:fill="auto" w:val="clear"/>
            <w:vAlign w:val="center"/>
          </w:tcPr>
          <w:p>
            <w:pPr>
              <w:pStyle w:val="TableContents"/>
              <w:spacing w:before="0" w:after="283"/>
              <w:rPr>
                <w:sz w:val="4"/>
                <w:szCs w:val="4"/>
              </w:rPr>
            </w:pPr>
            <w:r>
              <w:rPr>
                <w:sz w:val="4"/>
                <w:szCs w:val="4"/>
              </w:rPr>
            </w:r>
          </w:p>
        </w:tc>
      </w:tr>
      <w:tr>
        <w:trPr/>
        <w:tc>
          <w:tcPr>
            <w:tcW w:w="106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5.        </w:t>
            </w:r>
          </w:p>
        </w:tc>
        <w:tc>
          <w:tcPr>
            <w:tcW w:w="121" w:type="dxa"/>
            <w:tcBorders/>
            <w:shd w:fill="auto" w:val="clear"/>
            <w:vAlign w:val="bottom"/>
          </w:tcPr>
          <w:p>
            <w:pPr>
              <w:pStyle w:val="TableContents"/>
              <w:spacing w:before="0" w:after="283"/>
              <w:rPr/>
            </w:pPr>
            <w:r>
              <w:rPr/>
              <w:t>  </w:t>
            </w:r>
          </w:p>
        </w:tc>
        <w:tc>
          <w:tcPr>
            <w:tcW w:w="9354"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Ownership of 5 Percent or Less of a Class.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022"/>
        <w:gridCol w:w="120"/>
        <w:gridCol w:w="9397"/>
      </w:tblGrid>
      <w:tr>
        <w:trPr/>
        <w:tc>
          <w:tcPr>
            <w:tcW w:w="10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397" w:type="dxa"/>
            <w:tcBorders/>
            <w:shd w:fill="auto" w:val="clear"/>
            <w:vAlign w:val="center"/>
          </w:tcPr>
          <w:p>
            <w:pPr>
              <w:pStyle w:val="TableContents"/>
              <w:spacing w:before="0" w:after="283"/>
              <w:rPr>
                <w:sz w:val="4"/>
                <w:szCs w:val="4"/>
              </w:rPr>
            </w:pPr>
            <w:r>
              <w:rPr>
                <w:sz w:val="4"/>
                <w:szCs w:val="4"/>
              </w:rPr>
            </w:r>
          </w:p>
        </w:tc>
      </w:tr>
      <w:tr>
        <w:trPr/>
        <w:tc>
          <w:tcPr>
            <w:tcW w:w="1022"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6.        </w:t>
            </w:r>
          </w:p>
        </w:tc>
        <w:tc>
          <w:tcPr>
            <w:tcW w:w="120" w:type="dxa"/>
            <w:tcBorders/>
            <w:shd w:fill="auto" w:val="clear"/>
            <w:vAlign w:val="bottom"/>
          </w:tcPr>
          <w:p>
            <w:pPr>
              <w:pStyle w:val="TableContents"/>
              <w:spacing w:before="0" w:after="283"/>
              <w:rPr/>
            </w:pPr>
            <w:r>
              <w:rPr/>
              <w:t>  </w:t>
            </w:r>
          </w:p>
        </w:tc>
        <w:tc>
          <w:tcPr>
            <w:tcW w:w="9397"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Ownership of More than 5 Percent on Behalf of Another Person.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r>
        <w:trPr>
          <w:trHeight w:val="240" w:hRule="atLeast"/>
        </w:trPr>
        <w:tc>
          <w:tcPr>
            <w:tcW w:w="1022" w:type="dxa"/>
            <w:tcBorders/>
            <w:shd w:fill="auto" w:val="clear"/>
            <w:vAlign w:val="center"/>
          </w:tcPr>
          <w:p>
            <w:pPr>
              <w:pStyle w:val="TableContents"/>
              <w:spacing w:before="0" w:after="283"/>
              <w:rPr>
                <w:sz w:val="4"/>
                <w:szCs w:val="4"/>
              </w:rPr>
            </w:pPr>
            <w:r>
              <w:rPr>
                <w:sz w:val="4"/>
                <w:szCs w:val="4"/>
              </w:rPr>
            </w:r>
          </w:p>
        </w:tc>
        <w:tc>
          <w:tcPr>
            <w:tcW w:w="9517" w:type="dxa"/>
            <w:gridSpan w:val="2"/>
            <w:tcBorders/>
            <w:shd w:fill="auto" w:val="clear"/>
            <w:vAlign w:val="center"/>
          </w:tcPr>
          <w:p>
            <w:pPr>
              <w:pStyle w:val="TableContents"/>
              <w:spacing w:before="0" w:after="283"/>
              <w:rPr>
                <w:sz w:val="4"/>
                <w:szCs w:val="4"/>
              </w:rPr>
            </w:pPr>
            <w:r>
              <w:rPr>
                <w:sz w:val="4"/>
                <w:szCs w:val="4"/>
              </w:rPr>
            </w:r>
          </w:p>
        </w:tc>
      </w:tr>
      <w:tr>
        <w:trPr/>
        <w:tc>
          <w:tcPr>
            <w:tcW w:w="1022"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7.        </w:t>
            </w:r>
          </w:p>
        </w:tc>
        <w:tc>
          <w:tcPr>
            <w:tcW w:w="120" w:type="dxa"/>
            <w:tcBorders/>
            <w:shd w:fill="auto" w:val="clear"/>
            <w:vAlign w:val="bottom"/>
          </w:tcPr>
          <w:p>
            <w:pPr>
              <w:pStyle w:val="TableContents"/>
              <w:spacing w:before="0" w:after="283"/>
              <w:rPr/>
            </w:pPr>
            <w:r>
              <w:rPr/>
              <w:t>  </w:t>
            </w:r>
          </w:p>
        </w:tc>
        <w:tc>
          <w:tcPr>
            <w:tcW w:w="9397"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Identification and Classification of the Subsidiary Which Acquired the Security Being Reported on by the Parent Holding Company or Control Person.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r>
        <w:trPr>
          <w:trHeight w:val="240" w:hRule="atLeast"/>
        </w:trPr>
        <w:tc>
          <w:tcPr>
            <w:tcW w:w="1022" w:type="dxa"/>
            <w:tcBorders/>
            <w:shd w:fill="auto" w:val="clear"/>
            <w:vAlign w:val="center"/>
          </w:tcPr>
          <w:p>
            <w:pPr>
              <w:pStyle w:val="TableContents"/>
              <w:spacing w:before="0" w:after="283"/>
              <w:rPr>
                <w:sz w:val="4"/>
                <w:szCs w:val="4"/>
              </w:rPr>
            </w:pPr>
            <w:r>
              <w:rPr>
                <w:sz w:val="4"/>
                <w:szCs w:val="4"/>
              </w:rPr>
            </w:r>
          </w:p>
        </w:tc>
        <w:tc>
          <w:tcPr>
            <w:tcW w:w="9517" w:type="dxa"/>
            <w:gridSpan w:val="2"/>
            <w:tcBorders/>
            <w:shd w:fill="auto" w:val="clear"/>
            <w:vAlign w:val="center"/>
          </w:tcPr>
          <w:p>
            <w:pPr>
              <w:pStyle w:val="TableContents"/>
              <w:spacing w:before="0" w:after="283"/>
              <w:rPr>
                <w:sz w:val="4"/>
                <w:szCs w:val="4"/>
              </w:rPr>
            </w:pPr>
            <w:r>
              <w:rPr>
                <w:sz w:val="4"/>
                <w:szCs w:val="4"/>
              </w:rPr>
            </w:r>
          </w:p>
        </w:tc>
      </w:tr>
      <w:tr>
        <w:trPr/>
        <w:tc>
          <w:tcPr>
            <w:tcW w:w="1022"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8.        </w:t>
            </w:r>
          </w:p>
        </w:tc>
        <w:tc>
          <w:tcPr>
            <w:tcW w:w="120" w:type="dxa"/>
            <w:tcBorders/>
            <w:shd w:fill="auto" w:val="clear"/>
            <w:vAlign w:val="bottom"/>
          </w:tcPr>
          <w:p>
            <w:pPr>
              <w:pStyle w:val="TableContents"/>
              <w:spacing w:before="0" w:after="283"/>
              <w:rPr/>
            </w:pPr>
            <w:r>
              <w:rPr/>
              <w:t>  </w:t>
            </w:r>
          </w:p>
        </w:tc>
        <w:tc>
          <w:tcPr>
            <w:tcW w:w="9397"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Identification and Classification of Members of the Group.</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r>
        <w:trPr>
          <w:trHeight w:val="240" w:hRule="atLeast"/>
        </w:trPr>
        <w:tc>
          <w:tcPr>
            <w:tcW w:w="1022" w:type="dxa"/>
            <w:tcBorders/>
            <w:shd w:fill="auto" w:val="clear"/>
            <w:vAlign w:val="center"/>
          </w:tcPr>
          <w:p>
            <w:pPr>
              <w:pStyle w:val="TableContents"/>
              <w:spacing w:before="0" w:after="283"/>
              <w:rPr>
                <w:sz w:val="4"/>
                <w:szCs w:val="4"/>
              </w:rPr>
            </w:pPr>
            <w:r>
              <w:rPr>
                <w:sz w:val="4"/>
                <w:szCs w:val="4"/>
              </w:rPr>
            </w:r>
          </w:p>
        </w:tc>
        <w:tc>
          <w:tcPr>
            <w:tcW w:w="9517" w:type="dxa"/>
            <w:gridSpan w:val="2"/>
            <w:tcBorders/>
            <w:shd w:fill="auto" w:val="clear"/>
            <w:vAlign w:val="center"/>
          </w:tcPr>
          <w:p>
            <w:pPr>
              <w:pStyle w:val="TableContents"/>
              <w:spacing w:before="0" w:after="283"/>
              <w:rPr>
                <w:sz w:val="4"/>
                <w:szCs w:val="4"/>
              </w:rPr>
            </w:pPr>
            <w:r>
              <w:rPr>
                <w:sz w:val="4"/>
                <w:szCs w:val="4"/>
              </w:rPr>
            </w:r>
          </w:p>
        </w:tc>
      </w:tr>
      <w:tr>
        <w:trPr/>
        <w:tc>
          <w:tcPr>
            <w:tcW w:w="1022"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9.        </w:t>
            </w:r>
          </w:p>
        </w:tc>
        <w:tc>
          <w:tcPr>
            <w:tcW w:w="120" w:type="dxa"/>
            <w:tcBorders/>
            <w:shd w:fill="auto" w:val="clear"/>
            <w:vAlign w:val="bottom"/>
          </w:tcPr>
          <w:p>
            <w:pPr>
              <w:pStyle w:val="TableContents"/>
              <w:spacing w:before="0" w:after="283"/>
              <w:rPr/>
            </w:pPr>
            <w:r>
              <w:rPr/>
              <w:t>  </w:t>
            </w:r>
          </w:p>
        </w:tc>
        <w:tc>
          <w:tcPr>
            <w:tcW w:w="9397"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Notice of Dissolution of Group.</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Not Applicable</w:t>
            </w:r>
          </w:p>
        </w:tc>
      </w:tr>
      <w:tr>
        <w:trPr>
          <w:trHeight w:val="240" w:hRule="atLeast"/>
        </w:trPr>
        <w:tc>
          <w:tcPr>
            <w:tcW w:w="1022" w:type="dxa"/>
            <w:tcBorders/>
            <w:shd w:fill="auto" w:val="clear"/>
            <w:vAlign w:val="center"/>
          </w:tcPr>
          <w:p>
            <w:pPr>
              <w:pStyle w:val="TableContents"/>
              <w:spacing w:before="0" w:after="283"/>
              <w:rPr>
                <w:sz w:val="4"/>
                <w:szCs w:val="4"/>
              </w:rPr>
            </w:pPr>
            <w:r>
              <w:rPr>
                <w:sz w:val="4"/>
                <w:szCs w:val="4"/>
              </w:rPr>
            </w:r>
          </w:p>
        </w:tc>
        <w:tc>
          <w:tcPr>
            <w:tcW w:w="9517" w:type="dxa"/>
            <w:gridSpan w:val="2"/>
            <w:tcBorders/>
            <w:shd w:fill="auto" w:val="clear"/>
            <w:vAlign w:val="center"/>
          </w:tcPr>
          <w:p>
            <w:pPr>
              <w:pStyle w:val="TableContents"/>
              <w:spacing w:before="0" w:after="283"/>
              <w:rPr>
                <w:sz w:val="4"/>
                <w:szCs w:val="4"/>
              </w:rPr>
            </w:pPr>
            <w:r>
              <w:rPr>
                <w:sz w:val="4"/>
                <w:szCs w:val="4"/>
              </w:rPr>
            </w:r>
          </w:p>
        </w:tc>
      </w:tr>
      <w:tr>
        <w:trPr/>
        <w:tc>
          <w:tcPr>
            <w:tcW w:w="1022"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Item 10.       </w:t>
            </w:r>
          </w:p>
        </w:tc>
        <w:tc>
          <w:tcPr>
            <w:tcW w:w="120" w:type="dxa"/>
            <w:tcBorders/>
            <w:shd w:fill="auto" w:val="clear"/>
            <w:vAlign w:val="bottom"/>
          </w:tcPr>
          <w:p>
            <w:pPr>
              <w:pStyle w:val="TableContents"/>
              <w:spacing w:before="0" w:after="283"/>
              <w:rPr/>
            </w:pPr>
            <w:r>
              <w:rPr/>
              <w:t>  </w:t>
            </w:r>
          </w:p>
        </w:tc>
        <w:tc>
          <w:tcPr>
            <w:tcW w:w="9397" w:type="dxa"/>
            <w:tcBorders/>
            <w:shd w:fill="auto" w:val="clear"/>
            <w:vAlign w:val="bottom"/>
          </w:tcPr>
          <w:p>
            <w:pPr>
              <w:pStyle w:val="TableContents"/>
              <w:spacing w:before="0" w:after="0"/>
              <w:rPr>
                <w:rFonts w:ascii="Times New Roman" w:hAnsi="Times New Roman"/>
                <w:b/>
                <w:i/>
                <w:sz w:val="20"/>
              </w:rPr>
            </w:pPr>
            <w:r>
              <w:rPr>
                <w:rFonts w:ascii="Times New Roman" w:hAnsi="Times New Roman"/>
                <w:b/>
                <w:i/>
                <w:sz w:val="20"/>
              </w:rPr>
              <w:t>Certifications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tc>
      </w:tr>
    </w:tbl>
    <w:p>
      <w:pPr>
        <w:pStyle w:val="TextBody"/>
        <w:spacing w:before="48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360" w:after="0"/>
        <w:jc w:val="left"/>
        <w:rPr>
          <w:rFonts w:ascii="Times New Roman" w:hAnsi="Times New Roman"/>
          <w:sz w:val="20"/>
        </w:rPr>
      </w:pPr>
      <w:r>
        <w:rPr>
          <w:rFonts w:ascii="Times New Roman" w:hAnsi="Times New Roman"/>
          <w:sz w:val="20"/>
        </w:rPr>
        <w:t xml:space="preserve">Date: September 10,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4"/>
        <w:gridCol w:w="60"/>
        <w:gridCol w:w="3781"/>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81"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Pr>
          <w:p>
            <w:pPr>
              <w:pStyle w:val="TableContents"/>
              <w:spacing w:before="0" w:after="283"/>
              <w:rPr/>
            </w:pPr>
            <w:r>
              <w:rPr/>
              <w:t>ELI LILLY AND COMPANY</w:t>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841"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vAlign w:val="bottom"/>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781"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w:t>
            </w:r>
          </w:p>
        </w:tc>
      </w:tr>
      <w:tr>
        <w:trPr/>
        <w:tc>
          <w:tcPr>
            <w:tcW w:w="3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81" w:type="dxa"/>
            <w:tcBorders/>
            <w:shd w:fill="auto" w:val="clear"/>
            <w:vAlign w:val="bottom"/>
          </w:tcPr>
          <w:p>
            <w:pPr>
              <w:pStyle w:val="TableContents"/>
              <w:spacing w:before="0" w:after="283"/>
              <w:rPr/>
            </w:pPr>
            <w:r>
              <w:rPr/>
              <w:t>Authorized Signatory</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525"/>
        <w:gridCol w:w="60"/>
        <w:gridCol w:w="3630"/>
      </w:tblGrid>
      <w:tr>
        <w:trPr/>
        <w:tc>
          <w:tcPr>
            <w:tcW w:w="5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0" w:type="dxa"/>
            <w:tcBorders/>
            <w:shd w:fill="auto" w:val="clear"/>
            <w:vAlign w:val="center"/>
          </w:tcPr>
          <w:p>
            <w:pPr>
              <w:pStyle w:val="TableContents"/>
              <w:spacing w:before="0" w:after="283"/>
              <w:rPr>
                <w:sz w:val="4"/>
                <w:szCs w:val="4"/>
              </w:rPr>
            </w:pPr>
            <w:r>
              <w:rPr>
                <w:sz w:val="4"/>
                <w:szCs w:val="4"/>
              </w:rPr>
            </w:r>
          </w:p>
        </w:tc>
      </w:tr>
      <w:tr>
        <w:trPr/>
        <w:tc>
          <w:tcPr>
            <w:tcW w:w="5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0"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Erin Conway</w:t>
            </w:r>
          </w:p>
        </w:tc>
      </w:tr>
      <w:tr>
        <w:trPr/>
        <w:tc>
          <w:tcPr>
            <w:tcW w:w="52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30" w:type="dxa"/>
            <w:tcBorders/>
            <w:shd w:fill="auto" w:val="clear"/>
          </w:tcPr>
          <w:p>
            <w:pPr>
              <w:pStyle w:val="TableContents"/>
              <w:spacing w:before="0" w:after="0"/>
              <w:rPr>
                <w:rFonts w:ascii="Times New Roman" w:hAnsi="Times New Roman"/>
                <w:sz w:val="20"/>
              </w:rPr>
            </w:pPr>
            <w:r>
              <w:rPr>
                <w:rFonts w:ascii="Times New Roman" w:hAnsi="Times New Roman"/>
                <w:sz w:val="20"/>
              </w:rPr>
              <w:t>Erin Conway</w:t>
            </w:r>
          </w:p>
          <w:p>
            <w:pPr>
              <w:pStyle w:val="TableContents"/>
              <w:spacing w:before="0" w:after="20"/>
              <w:rPr>
                <w:rFonts w:ascii="Times New Roman" w:hAnsi="Times New Roman"/>
                <w:sz w:val="20"/>
              </w:rPr>
            </w:pPr>
            <w:r>
              <w:rPr>
                <w:rFonts w:ascii="Times New Roman" w:hAnsi="Times New Roman"/>
                <w:sz w:val="20"/>
              </w:rPr>
              <w:t>Attorneyin-Fact</w:t>
            </w:r>
          </w:p>
        </w:tc>
      </w:tr>
    </w:tbl>
    <w:p>
      <w:pPr>
        <w:pStyle w:val="TextBody"/>
        <w:spacing w:before="240" w:after="0"/>
        <w:jc w:val="left"/>
        <w:rPr>
          <w:rFonts w:ascii="Times New Roman" w:hAnsi="Times New Roman"/>
          <w:sz w:val="20"/>
        </w:rPr>
      </w:pPr>
      <w:r>
        <w:rPr>
          <w:rFonts w:ascii="Times New Roman" w:hAnsi="Times New Roman"/>
          <w:sz w:val="20"/>
        </w:rPr>
        <w:t xml:space="preserve">This Schedule 13G was executed pursuant to a power of attorney previously filed with the Securities and Exchange Commission, and hereby incorporated by reference herein. The power of attorney for Eli Lilly and Company was filed as an attachment to a filing by Eli Lilly and Company on Schedule 13G for Sigilon Therapeutics, Inc. on February 12, 2021.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794</Words>
  <CharactersWithSpaces>4895</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dc:title>
</cp:coreProperties>
</file>