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2"/>
        <w:gridCol w:w="1530"/>
        <w:gridCol w:w="3061"/>
        <w:gridCol w:w="2552"/>
      </w:tblGrid>
      <w:tr>
        <w:trPr/>
        <w:tc>
          <w:tcPr>
            <w:tcW w:w="306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pPr>
                  <w:hyperlink r:id="rId2">
                    <w:r>
                      <w:rPr>
                        <w:rStyle w:val="InternetLink"/>
                      </w:rPr>
                      <w:t>ELI LILLY &amp; Co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LILLY CORPORATE CENTER</w:t>
                  </w:r>
                </w:p>
              </w:tc>
            </w:tr>
            <w:tr>
              <w:trPr/>
              <w:tc>
                <w:tcPr>
                  <w:tcW w:w="294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INDIANAPOLIS</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46285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10/22/2026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Lycia Therapeutics, Inc.</w:t>
              </w:r>
            </w:hyperlink>
            <w:r>
              <w:rPr/>
              <w:t xml:space="preserve"> [ </w:t>
            </w:r>
            <w:r>
              <w:rPr>
                <w:rFonts w:ascii="Times;serif" w:hAnsi="Times;serif"/>
                <w:color w:val="0000FF"/>
                <w:sz w:val="24"/>
                <w:shd w:fill="FFFFFF" w:val="clear"/>
              </w:rPr>
              <w:t>LYCA</w:t>
            </w:r>
            <w:r>
              <w:rPr/>
              <w:t xml:space="preserve"> ] </w:t>
              <w:br/>
            </w:r>
            <w:r>
              <w:rPr>
                <w:rFonts w:ascii="arial;helvetica;sans-serif" w:hAnsi="arial;helvetica;sans-serif"/>
                <w:sz w:val="20"/>
              </w:rPr>
              <w:t>Foreign Trading Symbol</w:t>
            </w:r>
          </w:p>
        </w:tc>
      </w:tr>
      <w:tr>
        <w:trPr/>
        <w:tc>
          <w:tcPr>
            <w:tcW w:w="306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1,104,558</w:t>
            </w:r>
            <w:r>
              <w:rPr>
                <w:rFonts w:ascii="Times;serif" w:hAnsi="Times;serif"/>
                <w:color w:val="008000"/>
                <w:position w:val="7"/>
                <w:sz w:val="16"/>
                <w:sz w:val="20"/>
                <w:shd w:fill="FFFFFF" w:val="clear"/>
              </w:rPr>
              <w:t>(1)</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securities represent shares of Common Stock issuable upon mandatory conversion of convertible preferred stock in the Issuer's initial public offering but do not include shares of Common Stock purchased in the initial public offering, as such amount was not known at the time of this filing. See Remarks below.</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After giving effect to the closing of the Issuer's initial public offering, including the Reporting Person's purchase in such offering, the Reporting Person will cease to be a 10% Owner and, accordingly, will have no further Section 16 reporting obligations.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Christopher Anderson, Vice President, Leader of Corporate Securities and Assistant Corporate Secretary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0059478" TargetMode="External"/><Relationship Id="rId3" Type="http://schemas.openxmlformats.org/officeDocument/2006/relationships/hyperlink" Target="http://www.sec.gov/cgi-bin/browse-edgar?action=getcompany&amp;CIK=000180654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488</Words>
  <Characters>2723</Characters>
  <CharactersWithSpaces>3163</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