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left="2040" w:right="1240"/>
        <w:spacing w:after="0" w:line="246" w:lineRule="auto"/>
        <w:rPr>
          <w:sz w:val="20"/>
          <w:szCs w:val="20"/>
          <w:color w:val="auto"/>
        </w:rPr>
      </w:pPr>
      <w:r>
        <w:rPr>
          <w:rFonts w:ascii="Times New Roman" w:cs="Times New Roman" w:eastAsia="Times New Roman" w:hAnsi="Times New Roman"/>
          <w:sz w:val="22"/>
          <w:szCs w:val="22"/>
          <w:b w:val="1"/>
          <w:bCs w:val="1"/>
          <w:color w:val="auto"/>
        </w:rPr>
        <w:t>Tender Offer Statement under Section 14(d)(1) or 13(e)(1) of the Securities Exchange Act of 1934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0"/>
          <w:szCs w:val="40"/>
          <w:b w:val="1"/>
          <w:bCs w:val="1"/>
          <w:color w:val="auto"/>
        </w:rPr>
        <w:t>AKOUOS, INC.</w:t>
      </w:r>
    </w:p>
    <w:p>
      <w:pPr>
        <w:spacing w:after="0" w:line="33" w:lineRule="exact"/>
        <w:rPr>
          <w:sz w:val="24"/>
          <w:szCs w:val="24"/>
          <w:color w:val="auto"/>
        </w:rPr>
      </w:pPr>
    </w:p>
    <w:p>
      <w:pPr>
        <w:ind w:left="4384"/>
        <w:spacing w:after="0"/>
        <w:rPr>
          <w:sz w:val="20"/>
          <w:szCs w:val="20"/>
          <w:color w:val="auto"/>
        </w:rPr>
      </w:pPr>
      <w:r>
        <w:rPr>
          <w:rFonts w:ascii="Times New Roman" w:cs="Times New Roman" w:eastAsia="Times New Roman" w:hAnsi="Times New Roman"/>
          <w:sz w:val="14"/>
          <w:szCs w:val="14"/>
          <w:b w:val="1"/>
          <w:bCs w:val="1"/>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0"/>
          <w:szCs w:val="40"/>
          <w:b w:val="1"/>
          <w:bCs w:val="1"/>
          <w:color w:val="auto"/>
        </w:rPr>
        <w:t>KEARNY ACQUISITION CORPORATION</w:t>
      </w:r>
    </w:p>
    <w:p>
      <w:pPr>
        <w:spacing w:after="0" w:line="3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(Offeror)</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 wholly-owned subsidiary of</w:t>
      </w:r>
    </w:p>
    <w:p>
      <w:pPr>
        <w:spacing w:after="0" w:line="19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0"/>
          <w:szCs w:val="40"/>
          <w:b w:val="1"/>
          <w:bCs w:val="1"/>
          <w:color w:val="auto"/>
        </w:rPr>
        <w:t>ELI LILLY AND COMPANY</w:t>
      </w:r>
    </w:p>
    <w:p>
      <w:pPr>
        <w:spacing w:after="0" w:line="2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(Parent of Offeror)</w:t>
      </w: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00973J101</w:t>
      </w:r>
    </w:p>
    <w:p>
      <w:pPr>
        <w:spacing w:after="0" w:line="25" w:lineRule="exact"/>
        <w:rPr>
          <w:sz w:val="24"/>
          <w:szCs w:val="24"/>
          <w:color w:val="auto"/>
        </w:rPr>
      </w:pPr>
    </w:p>
    <w:p>
      <w:pPr>
        <w:ind w:left="432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Anat Hakim</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Lilly Corporate Center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Indianapolis, Indiana 46285</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Telephone: (317) 276-2000</w:t>
      </w:r>
    </w:p>
    <w:p>
      <w:pPr>
        <w:spacing w:after="0" w:line="2" w:lineRule="exact"/>
        <w:rPr>
          <w:sz w:val="24"/>
          <w:szCs w:val="24"/>
          <w:color w:val="auto"/>
        </w:rPr>
      </w:pPr>
    </w:p>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Sophia Hudson, P.C.</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Sharon Freiman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601 Lexington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Telephone: (212)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424" w:right="5699" w:firstLine="8"/>
        <w:spacing w:after="0" w:line="226" w:lineRule="exact"/>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424" w:right="5559"/>
        <w:spacing w:after="0" w:line="22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4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964" w:hanging="532"/>
        <w:spacing w:after="0"/>
        <w:tabs>
          <w:tab w:leader="none" w:pos="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964" w:hanging="532"/>
        <w:spacing w:after="0"/>
        <w:tabs>
          <w:tab w:leader="none" w:pos="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ectPr>
          <w:pgSz w:w="11900" w:h="16838" w:orient="portrait"/>
          <w:cols w:equalWidth="0" w:num="1">
            <w:col w:w="10023"/>
          </w:cols>
          <w:pgMar w:left="436" w:top="511" w:right="1440" w:bottom="0" w:gutter="0" w:footer="0" w:header="0"/>
        </w:sectPr>
      </w:pPr>
    </w:p>
    <w:bookmarkStart w:id="1" w:name="page2"/>
    <w:bookmarkEnd w:id="1"/>
    <w:p>
      <w:pPr>
        <w:spacing w:after="0"/>
        <w:tabs>
          <w:tab w:leader="none" w:pos="96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252095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294640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Amendment No. 1 to the Tender Offer Statement on Schedule TO (this “Amendment”) amends and supplements the Tender Offer Statement on Schedule TO filed with the Securities and Exchange Commission on October 31, 2022 (as it may be further amended and supplemented from time to time, the “Schedule TO”) and relates to the offer by Kearny Acquisition Corporation (the “Purchaser”), a Delaware corporation and a wholly-owned subsidiary of Eli Lilly and Company, an Indiana corporation (“Lilly”), to purchase all of the issued and outstanding shares of common stock, par value $0.0001 per share (the “Shares”), of Akouos, Inc., a Delaware corporation (“Akouos”), in exchange for (a) $12.50 per Share, net to the stockholder in cash, without interest and less any applicable tax withholding,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one non-tradable contingent value right (“CVR”) per Share, which represents the contractual right to receive contingent payments of up to $3.00 per CVR, net to the stockholder in cash, without interest and less any applicable tax withholding, upon the achievement of certain specified milestones in accordance with the terms and subject to the conditions of a contingent value rights agreement to be entered into with a rights agent selected by Lilly and reasonably acceptable to Akouos, upon the terms and subject to the conditions set forth in the Offer to Purchase, dated October 31, 2022 (the “Offer to Purchase”), and in the related Letter of Transmittal (which, together with the Offer to Purchase, as each may be amended or supplemented from time to time, collectively constitute the “Offer”), copies of which are attached to the Schedule TO as Exhibits (a)(1)(A) and (a)(1)(B), respectively.</w:t>
      </w:r>
    </w:p>
    <w:p>
      <w:pPr>
        <w:spacing w:after="0" w:line="1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Offer will expire at one minute past 11:59 p.m., Eastern Time, on November 29, 2022, unless the Offer is extended or earlier terminated (such time or such subsequent time to which the expiration of the Offer is extended, the “Expiration Time”). In the case of an extension of the Expiration Time, a public announcement of such extension will be made no later than 9:00 a.m., Eastern Time, on the business day after the previously scheduled Expiration Time. The terms and conditions relating to the Offer, including the procedures regarding the extension of the Expiration Time, are described in Section 1 — “Terms of the Offer” of the Offer to Purchase.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respective meanings ascribed to them in the Schedule 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1 through 9 and Item 11.</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Offer to Purchase and Items 1 through 9 and Item 11 of the Schedule TO are hereby amended and supplemented by adding the following new sub-heading and paragraphs immediately following the end of the last paragraph in Section 16 — “Certain Legal Matters; Regulatory Approvals” of the Offer to Purchase: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Certain Litigation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October 31, 2022, Ryan O’Dell, a purported stockholder of Akouos, filed a complaint in the United States District Court for the Southern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District of New York, captioned </w:t>
      </w:r>
      <w:r>
        <w:rPr>
          <w:rFonts w:ascii="Times New Roman" w:cs="Times New Roman" w:eastAsia="Times New Roman" w:hAnsi="Times New Roman"/>
          <w:sz w:val="18"/>
          <w:szCs w:val="18"/>
          <w:i w:val="1"/>
          <w:iCs w:val="1"/>
          <w:color w:val="auto"/>
        </w:rPr>
        <w:t>O’Dell v. Akouos, Inc., et al.</w:t>
      </w:r>
      <w:r>
        <w:rPr>
          <w:rFonts w:ascii="Times New Roman" w:cs="Times New Roman" w:eastAsia="Times New Roman" w:hAnsi="Times New Roman"/>
          <w:sz w:val="18"/>
          <w:szCs w:val="18"/>
          <w:color w:val="auto"/>
        </w:rPr>
        <w:t>, Case No. 1:22-cv-9313 (the “O’Dell Complaint”). On November 10, 2022, Brian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Dixon, a purported stockholder of Akouos, filed a complaint in the United States District Court for the District of Delaware, captioned </w:t>
      </w:r>
      <w:r>
        <w:rPr>
          <w:rFonts w:ascii="Times New Roman" w:cs="Times New Roman" w:eastAsia="Times New Roman" w:hAnsi="Times New Roman"/>
          <w:sz w:val="18"/>
          <w:szCs w:val="18"/>
          <w:i w:val="1"/>
          <w:iCs w:val="1"/>
          <w:color w:val="auto"/>
        </w:rPr>
        <w:t>Dixon v.</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Akouos, et al.</w:t>
      </w:r>
      <w:r>
        <w:rPr>
          <w:rFonts w:ascii="Times New Roman" w:cs="Times New Roman" w:eastAsia="Times New Roman" w:hAnsi="Times New Roman"/>
          <w:sz w:val="18"/>
          <w:szCs w:val="18"/>
          <w:color w:val="auto"/>
        </w:rPr>
        <w:t>, Case No. 1:22-cv-01479-UNA (the “Dixon Complaint” and, together with the O’Dell Complaint, the “Complaints”).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Complaints name as defendants Akouos and each member of the Akouos Board. The Complaints allege, among other things, that the defendants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violated Sections 14(d), 14(e), and 20(a) of the Exchange Act and Rule 14d-9 promulgated thereunder by omitting and/or misrepresenting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material facts related to the transaction from the Schedule 14D-9 filed by Akouos on October 31, 2022. The Complaints seek, among other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relief, (i) injunctive relief preventing the consummation of the Merger, (ii) recission of the Merger Agreement or rescissory damages, (iii) other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damages purportedly incurred on account of the alleged omissions or misstatements, and (iv) an award of plaintiff’s costs and disbursements of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action, including attorneys’ and expert fees and expenses. In addition, the Dixon Compliant seeks a declaration that the defendants violated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14(a) and/or 20(a) of the Exchange Act.</w:t>
      </w:r>
    </w:p>
    <w:p>
      <w:pPr>
        <w:spacing w:after="0" w:line="99" w:lineRule="exact"/>
        <w:rPr>
          <w:sz w:val="20"/>
          <w:szCs w:val="20"/>
          <w:color w:val="auto"/>
        </w:rPr>
      </w:pPr>
    </w:p>
    <w:p>
      <w:pPr>
        <w:ind w:left="440" w:right="100"/>
        <w:spacing w:after="0" w:line="253" w:lineRule="auto"/>
        <w:rPr>
          <w:sz w:val="20"/>
          <w:szCs w:val="20"/>
          <w:color w:val="auto"/>
        </w:rPr>
      </w:pPr>
      <w:r>
        <w:rPr>
          <w:rFonts w:ascii="Times New Roman" w:cs="Times New Roman" w:eastAsia="Times New Roman" w:hAnsi="Times New Roman"/>
          <w:sz w:val="18"/>
          <w:szCs w:val="18"/>
          <w:color w:val="auto"/>
        </w:rPr>
        <w:t>Akouos also received (a) one demand letter on November 3, 2022, sent on behalf of Alex Ciccotelli, a purported stockholder of Akouos (the “Ciccotelli Demand”), (b) two demand letters on November 8, 2022, sent on behalf of Marc Waterman (the “Waterman Demand”) and Christopher Scott (the “Scott Demand”), each a purported stockholder of Akouos, (c) two demand letters on November 9, 2022, sent on behalf of James Ayer (the “Ayer Demand”) and Tim Chase (the “Chase Demand”), each a purported stockholder of Akouos, (d) two demand letters on November 10, 2022, sent on behalf of David Elliot (the “Elliot Demand”) and Miriam Nathan (the “Nathan Demand”), each a purported stockholder of Akouos, and (e) one demand letter on November 11, 2022, sent on behalf of Sean Riley (the “Riley Demand”), a purported stockholder of Akouos. Each of the Ciccotelli Demand, the Waterman Demand, the Scott Demand, the Ayer Demand, the Chase Demand, the Elliot Demand, the Nathan Demand and the Riley Demand alleges omissions of material information with respect to the transaction from the Schedule 14D-9 filed by Akouos on October 31, 2022 and demands that Akouos promptly provide stockholders with additional disclosure. In addition, each of the Ayer Demand and the Nathan Demand includes a draft complaint, which contains allegations and requests for relief substantially consistent with those set forth in the Complaints, and states an intention to file such complaint.</w:t>
      </w:r>
    </w:p>
    <w:p>
      <w:pPr>
        <w:sectPr>
          <w:pgSz w:w="11900" w:h="16838" w:orient="portrait"/>
          <w:cols w:equalWidth="0" w:num="1">
            <w:col w:w="11000"/>
          </w:cols>
          <w:pgMar w:left="440" w:top="270" w:right="45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outcome of the matters described above cannot be predicted with certainty. Additional complaints may be filed against Akouos, the Akouos Board, Lilly and/or Purchaser in connection with the transactions contemplated by the Merger Agreement, the Schedule TO and the Schedule 14D-9. If such additional complaints are filed, absent new or different allegations that are material, Lilly, Purchaser and/or Akouos will not necessarily announce such additional complaints.”</w:t>
      </w:r>
    </w:p>
    <w:p>
      <w:pPr>
        <w:sectPr>
          <w:pgSz w:w="11900" w:h="16838" w:orient="portrait"/>
          <w:cols w:equalWidth="0" w:num="1">
            <w:col w:w="10380"/>
          </w:cols>
          <w:pgMar w:left="880" w:top="270" w:right="6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KEARNY ACQUISITION CORPORATION</w:t>
            </w:r>
          </w:p>
        </w:tc>
      </w:tr>
      <w:tr>
        <w:trPr>
          <w:trHeight w:val="432"/>
        </w:trPr>
        <w:tc>
          <w:tcPr>
            <w:tcW w:w="55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Philip L. Johnson</w:t>
            </w:r>
          </w:p>
        </w:tc>
      </w:tr>
      <w:tr>
        <w:trPr>
          <w:trHeight w:val="205"/>
        </w:trPr>
        <w:tc>
          <w:tcPr>
            <w:tcW w:w="5520" w:type="dxa"/>
            <w:vAlign w:val="bottom"/>
          </w:tcPr>
          <w:p>
            <w:pPr>
              <w:spacing w:after="0"/>
              <w:rPr>
                <w:sz w:val="17"/>
                <w:szCs w:val="17"/>
                <w:color w:val="auto"/>
              </w:rPr>
            </w:pPr>
          </w:p>
        </w:tc>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Philip L. Johnson</w:t>
            </w:r>
          </w:p>
        </w:tc>
      </w:tr>
      <w:tr>
        <w:trPr>
          <w:trHeight w:val="234"/>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55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ELI LILLY AND COMPANY</w:t>
            </w:r>
          </w:p>
        </w:tc>
      </w:tr>
      <w:tr>
        <w:trPr>
          <w:trHeight w:val="432"/>
        </w:trPr>
        <w:tc>
          <w:tcPr>
            <w:tcW w:w="55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Anat Ashkenazi</w:t>
            </w:r>
          </w:p>
        </w:tc>
      </w:tr>
      <w:tr>
        <w:trPr>
          <w:trHeight w:val="205"/>
        </w:trPr>
        <w:tc>
          <w:tcPr>
            <w:tcW w:w="5520" w:type="dxa"/>
            <w:vAlign w:val="bottom"/>
          </w:tcPr>
          <w:p>
            <w:pPr>
              <w:spacing w:after="0"/>
              <w:rPr>
                <w:sz w:val="17"/>
                <w:szCs w:val="17"/>
                <w:color w:val="auto"/>
              </w:rPr>
            </w:pPr>
          </w:p>
        </w:tc>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Anat Ashkenazi</w:t>
            </w:r>
          </w:p>
        </w:tc>
      </w:tr>
      <w:tr>
        <w:trPr>
          <w:trHeight w:val="234"/>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2022-11-14T07:23:07Z</dcterms:created>
  <dcterms:modified xsi:type="dcterms:W3CDTF">2022-11-14T07:23:07Z</dcterms:modified>
</cp:coreProperties>
</file>