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TRex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Anat Hakim</w:t>
              <w:br/>
              <w:t xml:space="preserve">Lilly Corporate Center, </w:t>
              <w:br/>
              <w:t>Indianapolis, IN, 46285</w:t>
              <w:br/>
              <w:t>(317) 276-2000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ELI LILLY &amp; Co</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5,480,872.00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5,480,872.00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5,480,872.00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percentage is calculated based upon 27,577,535 outstanding shares of common stock of the Issuer ("Common Stock") outstanding on October 13, 2026, after giving effect to the consummation of its initial public offering ("IPO") as described in its Prospectus filed with the Securities and Exchange Commission pursuant to Rule 424(b)(4) of the Securities Act of 1933, as amended, on October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3"/>
        <w:gridCol w:w="9072"/>
      </w:tblGrid>
      <w:tr>
        <w:trPr/>
        <w:tc>
          <w:tcPr>
            <w:tcW w:w="1133" w:type="dxa"/>
            <w:tcBorders/>
            <w:vAlign w:val="center"/>
          </w:tcPr>
          <w:p>
            <w:pPr>
              <w:pStyle w:val="TableContents"/>
              <w:bidi w:val="0"/>
              <w:spacing w:before="0" w:after="283"/>
              <w:jc w:val="left"/>
              <w:rPr/>
            </w:pPr>
            <w:r>
              <w:rPr/>
              <w:t>Item 1.</w:t>
            </w:r>
          </w:p>
        </w:tc>
        <w:tc>
          <w:tcPr>
            <w:tcW w:w="9072" w:type="dxa"/>
            <w:tcBorders/>
            <w:vAlign w:val="center"/>
          </w:tcPr>
          <w:p>
            <w:pPr>
              <w:pStyle w:val="TableContents"/>
              <w:bidi w:val="0"/>
              <w:spacing w:before="0" w:after="283"/>
              <w:jc w:val="left"/>
              <w:rPr/>
            </w:pPr>
            <w:r>
              <w:rPr/>
              <w:t>Security and Issuer</w:t>
            </w:r>
          </w:p>
        </w:tc>
      </w:tr>
      <w:tr>
        <w:trPr/>
        <w:tc>
          <w:tcPr>
            <w:tcW w:w="1133"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33"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jc w:val="left"/>
              <w:rPr/>
            </w:pPr>
            <w:r>
              <w:rPr/>
              <w:t xml:space="preserve">Name of Issuer: </w:t>
            </w:r>
          </w:p>
          <w:p>
            <w:pPr>
              <w:pStyle w:val="TableContents"/>
              <w:bidi w:val="0"/>
              <w:spacing w:before="0" w:after="0"/>
              <w:jc w:val="left"/>
              <w:rPr/>
            </w:pPr>
            <w:r>
              <w:rPr/>
              <w:t>TRex Bio, Inc.</w:t>
            </w:r>
          </w:p>
        </w:tc>
      </w:tr>
      <w:tr>
        <w:trPr/>
        <w:tc>
          <w:tcPr>
            <w:tcW w:w="1133"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TREX BIO, INC., 269 EAST GRAND AVENUE SUITE 300, SOUTH SAN FRANCISCO, CALIFORNIA , 94080.</w:t>
            </w:r>
          </w:p>
        </w:tc>
      </w:tr>
      <w:tr>
        <w:trPr/>
        <w:tc>
          <w:tcPr>
            <w:tcW w:w="1133" w:type="dxa"/>
            <w:tcBorders/>
            <w:vAlign w:val="center"/>
          </w:tcPr>
          <w:p>
            <w:pPr>
              <w:pStyle w:val="TableContents"/>
              <w:bidi w:val="0"/>
              <w:spacing w:before="0" w:after="283"/>
              <w:jc w:val="left"/>
              <w:rPr/>
            </w:pPr>
            <w:r>
              <w:rPr/>
              <w:t>Item 2.</w:t>
            </w:r>
          </w:p>
        </w:tc>
        <w:tc>
          <w:tcPr>
            <w:tcW w:w="9072" w:type="dxa"/>
            <w:tcBorders/>
            <w:vAlign w:val="center"/>
          </w:tcPr>
          <w:p>
            <w:pPr>
              <w:pStyle w:val="TableContents"/>
              <w:bidi w:val="0"/>
              <w:spacing w:before="0" w:after="283"/>
              <w:jc w:val="left"/>
              <w:rPr/>
            </w:pPr>
            <w:r>
              <w:rPr/>
              <w:t>Identity and Background</w:t>
            </w:r>
          </w:p>
        </w:tc>
      </w:tr>
      <w:tr>
        <w:trPr/>
        <w:tc>
          <w:tcPr>
            <w:tcW w:w="1133"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spacing w:before="0" w:after="0"/>
              <w:jc w:val="left"/>
              <w:rPr/>
            </w:pPr>
            <w:r>
              <w:rPr/>
              <w:t>Eli Lilly and Company</w:t>
            </w:r>
          </w:p>
        </w:tc>
      </w:tr>
      <w:tr>
        <w:trPr/>
        <w:tc>
          <w:tcPr>
            <w:tcW w:w="1133"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spacing w:before="0" w:after="0"/>
              <w:jc w:val="left"/>
              <w:rPr/>
            </w:pPr>
            <w:r>
              <w:rPr/>
              <w:t xml:space="preserve">Lilly Corporate Center Indianapolis, Indiana 46285 </w:t>
            </w:r>
          </w:p>
        </w:tc>
      </w:tr>
      <w:tr>
        <w:trPr/>
        <w:tc>
          <w:tcPr>
            <w:tcW w:w="1133"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0"/>
              <w:jc w:val="left"/>
              <w:rPr/>
            </w:pPr>
            <w:r>
              <w:rPr/>
              <w:t>The principal business of Eli Lilly and Company is the discovery, development, manufacturing, marketing and sale of pharmaceutical products worldwide. The name, business address, present principal occupation or employment and citizenship of each director and executive officer (including a director and officer who may be a controlling person) of the Reporting Person is set forth on Schedule A.</w:t>
            </w:r>
          </w:p>
        </w:tc>
      </w:tr>
      <w:tr>
        <w:trPr/>
        <w:tc>
          <w:tcPr>
            <w:tcW w:w="1133"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spacing w:before="0" w:after="0"/>
              <w:jc w:val="left"/>
              <w:rPr/>
            </w:pPr>
            <w:r>
              <w:rPr/>
              <w:t>During the last five years, neither the Reporting Person nor, to the knowledge of the Reporting Person, any of the persons listed on Schedule A attached hereto, have been convicted in a criminal proceeding (excluding traffic violations or similar misdemeanors).</w:t>
            </w:r>
          </w:p>
        </w:tc>
      </w:tr>
      <w:tr>
        <w:trPr/>
        <w:tc>
          <w:tcPr>
            <w:tcW w:w="1133"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0"/>
              <w:jc w:val="left"/>
              <w:rPr/>
            </w:pPr>
            <w:r>
              <w:rPr/>
              <w:t>During the last five years, neither the Reporting Person nor, to the knowledge of the Reporting Person, any of the persons listed on Schedule A attached hereto,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3" w:type="dxa"/>
            <w:tcBorders/>
            <w:vAlign w:val="center"/>
          </w:tcPr>
          <w:p>
            <w:pPr>
              <w:pStyle w:val="TableContents"/>
              <w:bidi w:val="0"/>
              <w:spacing w:before="0" w:after="283"/>
              <w:jc w:val="left"/>
              <w:rPr/>
            </w:pPr>
            <w:r>
              <w:rPr/>
              <w:t>(f)</w:t>
            </w:r>
          </w:p>
        </w:tc>
        <w:tc>
          <w:tcPr>
            <w:tcW w:w="9072" w:type="dxa"/>
            <w:tcBorders/>
            <w:vAlign w:val="center"/>
          </w:tcPr>
          <w:p>
            <w:pPr>
              <w:pStyle w:val="TableContents"/>
              <w:bidi w:val="0"/>
              <w:spacing w:before="0" w:after="0"/>
              <w:jc w:val="left"/>
              <w:rPr/>
            </w:pPr>
            <w:r>
              <w:rPr/>
              <w:t>Indiana</w:t>
            </w:r>
          </w:p>
        </w:tc>
      </w:tr>
      <w:tr>
        <w:trPr/>
        <w:tc>
          <w:tcPr>
            <w:tcW w:w="1133" w:type="dxa"/>
            <w:tcBorders/>
            <w:vAlign w:val="center"/>
          </w:tcPr>
          <w:p>
            <w:pPr>
              <w:pStyle w:val="TableContents"/>
              <w:bidi w:val="0"/>
              <w:spacing w:before="0" w:after="283"/>
              <w:jc w:val="left"/>
              <w:rPr/>
            </w:pPr>
            <w:r>
              <w:rPr/>
              <w:t>Item 3.</w:t>
            </w:r>
          </w:p>
        </w:tc>
        <w:tc>
          <w:tcPr>
            <w:tcW w:w="9072" w:type="dxa"/>
            <w:tcBorders/>
            <w:vAlign w:val="center"/>
          </w:tcPr>
          <w:p>
            <w:pPr>
              <w:pStyle w:val="TableContents"/>
              <w:bidi w:val="0"/>
              <w:spacing w:before="0" w:after="283"/>
              <w:jc w:val="left"/>
              <w:rPr/>
            </w:pPr>
            <w:r>
              <w:rPr/>
              <w:t>Source and Amount of Funds or Other Consideration</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The Reporting Person beneficially owns an aggregate of 5,480,872 shares of Common Stock of the Issuer, consisting of (a) 2,510,411 shares of Common Stock that were issued to the Reporting Person upon conversion of Series A redeemable convertible preferred stock, (b) 2,095,461 shares of Common Stock that were issued to the Reporting Person upon conversion of Series B redeemable convertible preferred stock and (c) 875,000 shares of Common Stock purchased by the Reporting Person in the IPO at the public offering price of $14.00 per share, for an aggregate purchase price of approximately $12.3 million. The funds used by the Reporting Person to acquire the Common Stock purchased in the IPO consisted of cash on hand.</w:t>
            </w:r>
          </w:p>
        </w:tc>
      </w:tr>
      <w:tr>
        <w:trPr/>
        <w:tc>
          <w:tcPr>
            <w:tcW w:w="1133" w:type="dxa"/>
            <w:tcBorders/>
            <w:vAlign w:val="center"/>
          </w:tcPr>
          <w:p>
            <w:pPr>
              <w:pStyle w:val="TableContents"/>
              <w:bidi w:val="0"/>
              <w:spacing w:before="0" w:after="283"/>
              <w:jc w:val="left"/>
              <w:rPr/>
            </w:pPr>
            <w:r>
              <w:rPr/>
              <w:t>Item 4.</w:t>
            </w:r>
          </w:p>
        </w:tc>
        <w:tc>
          <w:tcPr>
            <w:tcW w:w="9072" w:type="dxa"/>
            <w:tcBorders/>
            <w:vAlign w:val="center"/>
          </w:tcPr>
          <w:p>
            <w:pPr>
              <w:pStyle w:val="TableContents"/>
              <w:bidi w:val="0"/>
              <w:spacing w:before="0" w:after="283"/>
              <w:jc w:val="left"/>
              <w:rPr/>
            </w:pPr>
            <w:r>
              <w:rPr/>
              <w:t>Purpose of Transaction</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The Reporting Person acquired the securities reported herein for investment purposes and intends to continue to review its investments in the Issuer on an ongoing basis. Except as set forth herein, the Reporting Person does not currently have any specific plan or proposal to acquire or dispose of Common Stock of the Issuer or any securities exercisable for or convertible into Common Stock of the Issuer, but the Reporting Person, consistent with its investment purpose, may at any time and from time to time directly or indirectly acquire additional or all shares of Common Stock, securities exercisable for or convertible into Common Stock of the Issuer, or other securities of the Issuer, or dispose of any or all of its shares of Common Stock, securities exercisable for or convertible into Common Stock of the Issuer, or other securities of the Issuer. The Reporting Person's determination to make any such acquisitions or dispositions, in each such case, will depend upon a variety of factors, including, but not limited to, an ongoing evaluation of its investment in such securities, applicable legal and/or contractual restrictions, prevailing market conditions, other investment opportunities, liquidity requirements of the Reporting Person and/or other investment considerations. In addition, in connection with the foregoing, the Reporting Person may engage in hedging or other transactions with respect to securities of the Issuer, including but not limited to, swaps and other derivative instruments. As part of its ongoing evaluation of its investment in the Issuer, the Reporting Person expects to engage in discussions with directors, officers, members of management and representatives of the Issuer, and may engage in discussions with stockholders, security holders or other interested parties, from time to time covering a range of topics concerning its investment and the Issuer, including operational, financial and strategic initiatives. In this regard, Julie Gilmore, a current employee of the Reporting Person, is a member of the Issuer's board of directors, provided that, the Reporting Person does not have any current agreements affording it the contractual right to maintain Ms. Gilmore's position, or otherwise designate a replacement to serve, as a member of the Issuer's board of directors. Furthermore, without limitation, the Reporting Person may also evaluate and discuss other ideas, that if effected, may relate to, or result in, any other matter listed in Items 4(a)-(j) of Schedule 13D. To facilitate its consideration of such matters, the Reporting Person may retain consultants and advisors and may enter into discussions with potential sources of capital and other third parties. The Reporting Person may exchange information with any such persons pursuant to appropriate confidentiality or similar agreements. The Reporting Person will likely take some or all of the foregoing steps at preliminary stages in its consideration of various possible courses of action before forming any intention to pursue any specific plan or proposal. Other than as described above, the Reporting Person reports that neither it nor, to its knowledge, any of the other persons listed on Schedule A attached to this Schedule 13D, currently has any specific plan or proposal which relates to, or may result in, any of the matters listed in Items 4(a)-(j) of Schedule 13D, although the Reporting Person may, at any time and from time to time, review or reconsider its position and/or change its purpose and/or formulate plans or proposals with respect thereto.</w:t>
            </w:r>
          </w:p>
        </w:tc>
      </w:tr>
      <w:tr>
        <w:trPr/>
        <w:tc>
          <w:tcPr>
            <w:tcW w:w="1133" w:type="dxa"/>
            <w:tcBorders/>
            <w:vAlign w:val="center"/>
          </w:tcPr>
          <w:p>
            <w:pPr>
              <w:pStyle w:val="TableContents"/>
              <w:bidi w:val="0"/>
              <w:spacing w:before="0" w:after="283"/>
              <w:jc w:val="left"/>
              <w:rPr/>
            </w:pPr>
            <w:r>
              <w:rPr/>
              <w:t>Item 5.</w:t>
            </w:r>
          </w:p>
        </w:tc>
        <w:tc>
          <w:tcPr>
            <w:tcW w:w="9072" w:type="dxa"/>
            <w:tcBorders/>
            <w:vAlign w:val="center"/>
          </w:tcPr>
          <w:p>
            <w:pPr>
              <w:pStyle w:val="TableContents"/>
              <w:bidi w:val="0"/>
              <w:spacing w:before="0" w:after="283"/>
              <w:jc w:val="left"/>
              <w:rPr/>
            </w:pPr>
            <w:r>
              <w:rPr/>
              <w:t>Interest in Securities of the Issuer</w:t>
            </w:r>
          </w:p>
        </w:tc>
      </w:tr>
      <w:tr>
        <w:trPr/>
        <w:tc>
          <w:tcPr>
            <w:tcW w:w="1133" w:type="dxa"/>
            <w:tcBorders/>
            <w:vAlign w:val="center"/>
          </w:tcPr>
          <w:p>
            <w:pPr>
              <w:pStyle w:val="TableContents"/>
              <w:bidi w:val="0"/>
              <w:spacing w:before="0" w:after="283"/>
              <w:jc w:val="left"/>
              <w:rPr/>
            </w:pPr>
            <w:r>
              <w:rPr/>
              <w:t>(a)</w:t>
            </w:r>
          </w:p>
        </w:tc>
        <w:tc>
          <w:tcPr>
            <w:tcW w:w="9072" w:type="dxa"/>
            <w:tcBorders/>
            <w:vAlign w:val="center"/>
          </w:tcPr>
          <w:p>
            <w:pPr>
              <w:pStyle w:val="TableContents"/>
              <w:bidi w:val="0"/>
              <w:spacing w:before="0" w:after="0"/>
              <w:jc w:val="left"/>
              <w:rPr/>
            </w:pPr>
            <w:r>
              <w:rPr/>
              <w:t>The Reporting Person directly holds an aggregate of 5,480,872 shares of Common Stock, representing approximately 19.9% of the issued and outstanding shares of Common Stock. Ownership percentages set forth in this Schedule 13D are based upon a total of 27,577,535 shares of Common Stock outstanding as of October 13, 2026, after giving effect to the consummation of the Issuer's IPO as described in its Prospectus filed under Rule 424(b)(4) of the Securities Act of 1933, as amended, on October 9, 2026.</w:t>
            </w:r>
          </w:p>
        </w:tc>
      </w:tr>
      <w:tr>
        <w:trPr/>
        <w:tc>
          <w:tcPr>
            <w:tcW w:w="1133" w:type="dxa"/>
            <w:tcBorders/>
            <w:vAlign w:val="center"/>
          </w:tcPr>
          <w:p>
            <w:pPr>
              <w:pStyle w:val="TableContents"/>
              <w:bidi w:val="0"/>
              <w:spacing w:before="0" w:after="283"/>
              <w:jc w:val="left"/>
              <w:rPr/>
            </w:pPr>
            <w:r>
              <w:rPr/>
              <w:t>(b)</w:t>
            </w:r>
          </w:p>
        </w:tc>
        <w:tc>
          <w:tcPr>
            <w:tcW w:w="9072" w:type="dxa"/>
            <w:tcBorders/>
            <w:vAlign w:val="center"/>
          </w:tcPr>
          <w:p>
            <w:pPr>
              <w:pStyle w:val="TableContents"/>
              <w:bidi w:val="0"/>
              <w:spacing w:before="0" w:after="0"/>
              <w:jc w:val="left"/>
              <w:rPr/>
            </w:pPr>
            <w:r>
              <w:rPr/>
              <w:t>The information included in part (a) of Item 5 above is incorporated by reference herein.</w:t>
            </w:r>
          </w:p>
        </w:tc>
      </w:tr>
      <w:tr>
        <w:trPr/>
        <w:tc>
          <w:tcPr>
            <w:tcW w:w="1133" w:type="dxa"/>
            <w:tcBorders/>
            <w:vAlign w:val="center"/>
          </w:tcPr>
          <w:p>
            <w:pPr>
              <w:pStyle w:val="TableContents"/>
              <w:bidi w:val="0"/>
              <w:spacing w:before="0" w:after="283"/>
              <w:jc w:val="left"/>
              <w:rPr/>
            </w:pPr>
            <w:r>
              <w:rPr/>
              <w:t>(c)</w:t>
            </w:r>
          </w:p>
        </w:tc>
        <w:tc>
          <w:tcPr>
            <w:tcW w:w="9072" w:type="dxa"/>
            <w:tcBorders/>
            <w:vAlign w:val="center"/>
          </w:tcPr>
          <w:p>
            <w:pPr>
              <w:pStyle w:val="TableContents"/>
              <w:bidi w:val="0"/>
              <w:spacing w:before="0" w:after="0"/>
              <w:jc w:val="left"/>
              <w:rPr/>
            </w:pPr>
            <w:r>
              <w:rPr/>
              <w:t>Other than as described in Item 3, the Reporting Person has not purchased or sold any shares of Common Stock during the past 60 days.</w:t>
            </w:r>
          </w:p>
        </w:tc>
      </w:tr>
      <w:tr>
        <w:trPr/>
        <w:tc>
          <w:tcPr>
            <w:tcW w:w="1133" w:type="dxa"/>
            <w:tcBorders/>
            <w:vAlign w:val="center"/>
          </w:tcPr>
          <w:p>
            <w:pPr>
              <w:pStyle w:val="TableContents"/>
              <w:bidi w:val="0"/>
              <w:spacing w:before="0" w:after="283"/>
              <w:jc w:val="left"/>
              <w:rPr/>
            </w:pPr>
            <w:r>
              <w:rPr/>
              <w:t>(d)</w:t>
            </w:r>
          </w:p>
        </w:tc>
        <w:tc>
          <w:tcPr>
            <w:tcW w:w="9072" w:type="dxa"/>
            <w:tcBorders/>
            <w:vAlign w:val="center"/>
          </w:tcPr>
          <w:p>
            <w:pPr>
              <w:pStyle w:val="TableContents"/>
              <w:bidi w:val="0"/>
              <w:spacing w:before="0" w:after="0"/>
              <w:jc w:val="left"/>
              <w:rPr/>
            </w:pPr>
            <w:r>
              <w:rPr/>
              <w:t>No other person is known by the Reporting Person to have the right to receive or the power to direct the receipt of dividends from, or the proceeds from the sale of, the shares of Common Stock beneficially owned by the Reporting Person.</w:t>
            </w:r>
          </w:p>
        </w:tc>
      </w:tr>
      <w:tr>
        <w:trPr/>
        <w:tc>
          <w:tcPr>
            <w:tcW w:w="1133" w:type="dxa"/>
            <w:tcBorders/>
            <w:vAlign w:val="center"/>
          </w:tcPr>
          <w:p>
            <w:pPr>
              <w:pStyle w:val="TableContents"/>
              <w:bidi w:val="0"/>
              <w:spacing w:before="0" w:after="283"/>
              <w:jc w:val="left"/>
              <w:rPr/>
            </w:pPr>
            <w:r>
              <w:rPr/>
              <w:t>(e)</w:t>
            </w:r>
          </w:p>
        </w:tc>
        <w:tc>
          <w:tcPr>
            <w:tcW w:w="9072" w:type="dxa"/>
            <w:tcBorders/>
            <w:vAlign w:val="center"/>
          </w:tcPr>
          <w:p>
            <w:pPr>
              <w:pStyle w:val="TableContents"/>
              <w:bidi w:val="0"/>
              <w:spacing w:before="0" w:after="0"/>
              <w:jc w:val="left"/>
              <w:rPr/>
            </w:pPr>
            <w:r>
              <w:rPr/>
              <w:t>N/A</w:t>
            </w:r>
          </w:p>
        </w:tc>
      </w:tr>
      <w:tr>
        <w:trPr/>
        <w:tc>
          <w:tcPr>
            <w:tcW w:w="1133" w:type="dxa"/>
            <w:tcBorders/>
            <w:vAlign w:val="center"/>
          </w:tcPr>
          <w:p>
            <w:pPr>
              <w:pStyle w:val="TableContents"/>
              <w:bidi w:val="0"/>
              <w:spacing w:before="0" w:after="283"/>
              <w:jc w:val="left"/>
              <w:rPr/>
            </w:pPr>
            <w:r>
              <w:rPr/>
              <w:t>Item 6.</w:t>
            </w:r>
          </w:p>
        </w:tc>
        <w:tc>
          <w:tcPr>
            <w:tcW w:w="907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Investors' Rights Agreement The Reporting Person and certain other stockholders of the Issuer have entered into an Amended and Restated Investors' Rights Agreement with the Issuer (the "Investors' Rights Agreement"), which provides such stockholders with customary registration rights under the Securities Act of 1933, including demand registration rights, piggyback registration rights and shelf registration rights. The Issuer is required to pay all expenses, subject to certain conditions and exceptions, relating to the exercise of such registration rights. The Investors' Rights Agreement also contains customary cross-indemnification provisions. The Reporting Person's registration rights will terminate upon the earlier of (i) the closing of certain deemed liquidation events, as defined in the Issuer's certificate of incorporation, (ii) when the Reporting Person is able to sell all of its shares pursuant to Rule 144 or another similar exemption during a three-month period without registration and (iii) the fifth anniversary of the IPO. Lock-Up Agreement The Reporting Person has entered into a lock-up agreement pursuant to which the Reporting Person has agreed not to, among other things and subject to various exceptions, sell or transfer Common Stock or securities convertible into or exercisable or exchangeable for Common Stock for 180 days after October 8, 2026 without first obtaining the prior written consent of J.P. Morgan Securities LLC and Evercore Group L.L.C. on behalf of the underwriters. The foregoing descriptions of the Investors' Rights Agreement and the lock-up agreement do not purport to be complete and are qualified in their entirety by reference to the Investors' Rights Agreement and form of lock-up agreement, listed as Exhibit 2.1 and Exhibit 2.2 hereto, respectively, and incorporated by reference herein.</w:t>
            </w:r>
          </w:p>
        </w:tc>
      </w:tr>
      <w:tr>
        <w:trPr/>
        <w:tc>
          <w:tcPr>
            <w:tcW w:w="1133" w:type="dxa"/>
            <w:tcBorders/>
            <w:vAlign w:val="center"/>
          </w:tcPr>
          <w:p>
            <w:pPr>
              <w:pStyle w:val="TableContents"/>
              <w:bidi w:val="0"/>
              <w:spacing w:before="0" w:after="283"/>
              <w:jc w:val="left"/>
              <w:rPr/>
            </w:pPr>
            <w:r>
              <w:rPr/>
              <w:t>Item 7.</w:t>
            </w:r>
          </w:p>
        </w:tc>
        <w:tc>
          <w:tcPr>
            <w:tcW w:w="9072" w:type="dxa"/>
            <w:tcBorders/>
            <w:vAlign w:val="center"/>
          </w:tcPr>
          <w:p>
            <w:pPr>
              <w:pStyle w:val="TableContents"/>
              <w:bidi w:val="0"/>
              <w:spacing w:before="0" w:after="283"/>
              <w:jc w:val="left"/>
              <w:rPr/>
            </w:pPr>
            <w:r>
              <w:rPr/>
              <w:t>Material to be Filed as Exhibits.</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jc w:val="left"/>
              <w:rPr/>
            </w:pPr>
            <w:r>
              <w:rPr/>
              <w:t>Exhibit 2.1: Amended and Restated Investors' Rights Agreement, by and among the Issuer and certain of its stockholders, dated November 7, 2024 (Incorporated by reference to Exhibit 4.2 to the Issuer's Registration Statement on Form S-1 (SEC File No. 333-299018), filed with the Securities and Exchange Commission on October 5, 2026). Exhibit 2.2: Form of Lock-Up Agreement (Incorporated by reference to the Form of the Lock-Up Agreement attached as Exhibit C to the Form of Underwriting Agreement filed as Exhibit 1.1 to the Issuer's Registration Statement on Form S-1 (SEC File No. 333-299018), filed with the Securities and Exchange Commission on October 5,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ELI LILLY &amp; Co</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Christopher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Christopher Anderson, Vice President - Leader of Corporate Securities and Assistant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1940</Words>
  <Characters>10418</Characters>
  <CharactersWithSpaces>12293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