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41"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39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5"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112" w:lineRule="exact"/>
        <w:rPr>
          <w:sz w:val="24"/>
          <w:szCs w:val="24"/>
          <w:color w:val="auto"/>
        </w:rPr>
      </w:pPr>
    </w:p>
    <w:p>
      <w:pPr>
        <w:jc w:val="center"/>
        <w:ind w:right="-1120"/>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4039870</wp:posOffset>
            </wp:positionH>
            <wp:positionV relativeFrom="paragraph">
              <wp:posOffset>-13335</wp:posOffset>
            </wp:positionV>
            <wp:extent cx="152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40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4"/>
          <w:szCs w:val="14"/>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57"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Preliminary Proxy Statement</w:t>
      </w:r>
    </w:p>
    <w:p>
      <w:pPr>
        <w:ind w:left="580" w:hanging="554"/>
        <w:spacing w:after="0" w:line="221" w:lineRule="auto"/>
        <w:tabs>
          <w:tab w:leader="none" w:pos="580" w:val="left"/>
        </w:tabs>
        <w:numPr>
          <w:ilvl w:val="0"/>
          <w:numId w:val="2"/>
        </w:numPr>
        <w:rPr>
          <w:rFonts w:ascii="Wingdings" w:cs="Wingdings" w:eastAsia="Wingdings" w:hAnsi="Wingdings"/>
          <w:sz w:val="25"/>
          <w:szCs w:val="25"/>
          <w:b w:val="1"/>
          <w:bCs w:val="1"/>
          <w:color w:val="auto"/>
          <w:vertAlign w:val="superscript"/>
        </w:rPr>
      </w:pPr>
      <w:r>
        <w:rPr>
          <w:rFonts w:ascii="Arial" w:cs="Arial" w:eastAsia="Arial" w:hAnsi="Arial"/>
          <w:sz w:val="13"/>
          <w:szCs w:val="13"/>
          <w:color w:val="auto"/>
        </w:rPr>
        <w:t>Confidential, for Use of the Commission Only (as permitted by Rule 14a-6(e)(2))</w:t>
      </w:r>
    </w:p>
    <w:p>
      <w:pPr>
        <w:spacing w:after="0" w:line="116" w:lineRule="exact"/>
        <w:rPr>
          <w:rFonts w:ascii="Wingdings" w:cs="Wingdings" w:eastAsia="Wingdings" w:hAnsi="Wingdings"/>
          <w:sz w:val="25"/>
          <w:szCs w:val="25"/>
          <w:b w:val="1"/>
          <w:bCs w:val="1"/>
          <w:color w:val="auto"/>
          <w:vertAlign w:val="superscript"/>
        </w:rPr>
      </w:pPr>
    </w:p>
    <w:p>
      <w:pPr>
        <w:ind w:left="580" w:hanging="554"/>
        <w:spacing w:after="0" w:line="185" w:lineRule="auto"/>
        <w:tabs>
          <w:tab w:leader="none" w:pos="580" w:val="left"/>
        </w:tabs>
        <w:numPr>
          <w:ilvl w:val="0"/>
          <w:numId w:val="2"/>
        </w:numPr>
        <w:rPr>
          <w:rFonts w:ascii="Wingdings" w:cs="Wingdings" w:eastAsia="Wingdings" w:hAnsi="Wingdings"/>
          <w:sz w:val="18"/>
          <w:szCs w:val="18"/>
          <w:b w:val="1"/>
          <w:bCs w:val="1"/>
          <w:color w:val="auto"/>
          <w:vertAlign w:val="superscript"/>
        </w:rPr>
      </w:pPr>
      <w:r>
        <w:rPr>
          <w:rFonts w:ascii="Arial" w:cs="Arial" w:eastAsia="Arial" w:hAnsi="Arial"/>
          <w:sz w:val="10"/>
          <w:szCs w:val="10"/>
          <w:color w:val="auto"/>
        </w:rPr>
        <w:t>Definitive Proxy Statement</w:t>
      </w:r>
    </w:p>
    <w:p>
      <w:pPr>
        <w:spacing w:after="0" w:line="116" w:lineRule="exact"/>
        <w:rPr>
          <w:rFonts w:ascii="Wingdings" w:cs="Wingdings" w:eastAsia="Wingdings" w:hAnsi="Wingdings"/>
          <w:sz w:val="18"/>
          <w:szCs w:val="18"/>
          <w:b w:val="1"/>
          <w:bCs w:val="1"/>
          <w:color w:val="auto"/>
          <w:vertAlign w:val="superscript"/>
        </w:rPr>
      </w:pPr>
    </w:p>
    <w:p>
      <w:pPr>
        <w:ind w:left="580" w:hanging="554"/>
        <w:spacing w:after="0" w:line="185" w:lineRule="auto"/>
        <w:tabs>
          <w:tab w:leader="none" w:pos="580" w:val="left"/>
        </w:tabs>
        <w:numPr>
          <w:ilvl w:val="0"/>
          <w:numId w:val="2"/>
        </w:numPr>
        <w:rPr>
          <w:rFonts w:ascii="Wingdings" w:cs="Wingdings" w:eastAsia="Wingdings" w:hAnsi="Wingdings"/>
          <w:sz w:val="18"/>
          <w:szCs w:val="18"/>
          <w:b w:val="1"/>
          <w:bCs w:val="1"/>
          <w:color w:val="auto"/>
          <w:vertAlign w:val="superscript"/>
        </w:rPr>
      </w:pPr>
      <w:r>
        <w:rPr>
          <w:rFonts w:ascii="Arial" w:cs="Arial" w:eastAsia="Arial" w:hAnsi="Arial"/>
          <w:sz w:val="10"/>
          <w:szCs w:val="10"/>
          <w:color w:val="auto"/>
        </w:rPr>
        <w:t>Definitive Additional Materials</w:t>
      </w:r>
    </w:p>
    <w:p>
      <w:pPr>
        <w:spacing w:after="0" w:line="116" w:lineRule="exact"/>
        <w:rPr>
          <w:rFonts w:ascii="Wingdings" w:cs="Wingdings" w:eastAsia="Wingdings" w:hAnsi="Wingdings"/>
          <w:sz w:val="18"/>
          <w:szCs w:val="18"/>
          <w:b w:val="1"/>
          <w:bCs w:val="1"/>
          <w:color w:val="auto"/>
          <w:vertAlign w:val="superscript"/>
        </w:rPr>
      </w:pPr>
    </w:p>
    <w:p>
      <w:pPr>
        <w:ind w:left="580" w:hanging="554"/>
        <w:spacing w:after="0" w:line="185" w:lineRule="auto"/>
        <w:tabs>
          <w:tab w:leader="none" w:pos="580" w:val="left"/>
        </w:tabs>
        <w:numPr>
          <w:ilvl w:val="0"/>
          <w:numId w:val="2"/>
        </w:numPr>
        <w:rPr>
          <w:rFonts w:ascii="Wingdings" w:cs="Wingdings" w:eastAsia="Wingdings" w:hAnsi="Wingdings"/>
          <w:sz w:val="18"/>
          <w:szCs w:val="18"/>
          <w:b w:val="1"/>
          <w:bCs w:val="1"/>
          <w:color w:val="auto"/>
          <w:vertAlign w:val="superscript"/>
        </w:rPr>
      </w:pPr>
      <w:r>
        <w:rPr>
          <w:rFonts w:ascii="Arial" w:cs="Arial" w:eastAsia="Arial" w:hAnsi="Arial"/>
          <w:sz w:val="10"/>
          <w:szCs w:val="10"/>
          <w:color w:val="auto"/>
        </w:rPr>
        <w:t>Soliciting Material Pursuant to §240.14a-12</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20"/>
        <w:spacing w:after="0"/>
        <w:rPr>
          <w:sz w:val="20"/>
          <w:szCs w:val="20"/>
          <w:color w:val="auto"/>
        </w:rPr>
      </w:pPr>
      <w:r>
        <w:rPr>
          <w:rFonts w:ascii="Arial" w:cs="Arial" w:eastAsia="Arial" w:hAnsi="Arial"/>
          <w:sz w:val="13"/>
          <w:szCs w:val="13"/>
          <w:color w:val="auto"/>
        </w:rPr>
        <w:t>Payment of Filing Fee (Check all boxes that apply):</w:t>
      </w:r>
    </w:p>
    <w:p>
      <w:pPr>
        <w:spacing w:after="0" w:line="188" w:lineRule="exact"/>
        <w:rPr>
          <w:sz w:val="24"/>
          <w:szCs w:val="24"/>
          <w:color w:val="auto"/>
        </w:rPr>
      </w:pPr>
    </w:p>
    <w:p>
      <w:pPr>
        <w:ind w:left="540" w:hanging="514"/>
        <w:spacing w:after="0"/>
        <w:tabs>
          <w:tab w:leader="none" w:pos="540" w:val="left"/>
        </w:tabs>
        <w:numPr>
          <w:ilvl w:val="0"/>
          <w:numId w:val="3"/>
        </w:numPr>
        <w:rPr>
          <w:rFonts w:ascii="Wingdings" w:cs="Wingdings" w:eastAsia="Wingdings" w:hAnsi="Wingdings"/>
          <w:sz w:val="13"/>
          <w:szCs w:val="13"/>
          <w:b w:val="1"/>
          <w:bCs w:val="1"/>
          <w:color w:val="auto"/>
        </w:rPr>
      </w:pPr>
      <w:r>
        <w:rPr>
          <w:rFonts w:ascii="Arial" w:cs="Arial" w:eastAsia="Arial" w:hAnsi="Arial"/>
          <w:sz w:val="13"/>
          <w:szCs w:val="13"/>
          <w:color w:val="auto"/>
        </w:rPr>
        <w:t>No fee required</w:t>
      </w:r>
    </w:p>
    <w:p>
      <w:pPr>
        <w:spacing w:after="0" w:line="188" w:lineRule="exact"/>
        <w:rPr>
          <w:sz w:val="24"/>
          <w:szCs w:val="24"/>
          <w:color w:val="auto"/>
        </w:rPr>
      </w:pPr>
    </w:p>
    <w:p>
      <w:pPr>
        <w:ind w:left="540" w:hanging="514"/>
        <w:spacing w:after="0"/>
        <w:tabs>
          <w:tab w:leader="none" w:pos="540" w:val="left"/>
        </w:tabs>
        <w:numPr>
          <w:ilvl w:val="0"/>
          <w:numId w:val="4"/>
        </w:numPr>
        <w:rPr>
          <w:rFonts w:ascii="Wingdings" w:cs="Wingdings" w:eastAsia="Wingdings" w:hAnsi="Wingdings"/>
          <w:sz w:val="13"/>
          <w:szCs w:val="13"/>
          <w:b w:val="1"/>
          <w:bCs w:val="1"/>
          <w:color w:val="auto"/>
        </w:rPr>
      </w:pPr>
      <w:r>
        <w:rPr>
          <w:rFonts w:ascii="Arial" w:cs="Arial" w:eastAsia="Arial" w:hAnsi="Arial"/>
          <w:sz w:val="13"/>
          <w:szCs w:val="13"/>
          <w:color w:val="auto"/>
        </w:rPr>
        <w:t>Fee paid previously with preliminary materials</w:t>
      </w:r>
    </w:p>
    <w:p>
      <w:pPr>
        <w:spacing w:after="0" w:line="188" w:lineRule="exact"/>
        <w:rPr>
          <w:rFonts w:ascii="Wingdings" w:cs="Wingdings" w:eastAsia="Wingdings" w:hAnsi="Wingdings"/>
          <w:sz w:val="13"/>
          <w:szCs w:val="13"/>
          <w:b w:val="1"/>
          <w:bCs w:val="1"/>
          <w:color w:val="auto"/>
        </w:rPr>
      </w:pPr>
    </w:p>
    <w:p>
      <w:pPr>
        <w:ind w:left="540" w:hanging="514"/>
        <w:spacing w:after="0"/>
        <w:tabs>
          <w:tab w:leader="none" w:pos="540" w:val="left"/>
        </w:tabs>
        <w:numPr>
          <w:ilvl w:val="0"/>
          <w:numId w:val="4"/>
        </w:numPr>
        <w:rPr>
          <w:rFonts w:ascii="Wingdings" w:cs="Wingdings" w:eastAsia="Wingdings" w:hAnsi="Wingdings"/>
          <w:sz w:val="13"/>
          <w:szCs w:val="13"/>
          <w:b w:val="1"/>
          <w:bCs w:val="1"/>
          <w:color w:val="auto"/>
        </w:rPr>
      </w:pPr>
      <w:r>
        <w:rPr>
          <w:rFonts w:ascii="Arial" w:cs="Arial" w:eastAsia="Arial" w:hAnsi="Arial"/>
          <w:sz w:val="13"/>
          <w:szCs w:val="13"/>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688975</wp:posOffset>
            </wp:positionV>
            <wp:extent cx="7157720" cy="9210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52"/>
          <w:szCs w:val="52"/>
          <w:b w:val="1"/>
          <w:bCs w:val="1"/>
          <w:color w:val="auto"/>
        </w:rPr>
        <w:t>Dear Fellow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Eli Lilly and Company.</w:t>
      </w:r>
    </w:p>
    <w:p>
      <w:pPr>
        <w:spacing w:after="0" w:line="153" w:lineRule="exact"/>
        <w:rPr>
          <w:sz w:val="20"/>
          <w:szCs w:val="20"/>
          <w:color w:val="auto"/>
        </w:rPr>
      </w:pPr>
    </w:p>
    <w:p>
      <w:pPr>
        <w:ind w:right="879"/>
        <w:spacing w:after="0" w:line="268" w:lineRule="auto"/>
        <w:rPr>
          <w:sz w:val="20"/>
          <w:szCs w:val="20"/>
          <w:color w:val="auto"/>
        </w:rPr>
      </w:pPr>
      <w:r>
        <w:rPr>
          <w:rFonts w:ascii="Arial" w:cs="Arial" w:eastAsia="Arial" w:hAnsi="Arial"/>
          <w:sz w:val="18"/>
          <w:szCs w:val="18"/>
          <w:color w:val="auto"/>
        </w:rPr>
        <w:t>2025 was another year of significant progress for our company. We delivered innovative medicines to more patients, advanced promising research, and expanded our capacity to meet rising global demand. Through year-end 2025, we achieved strong total shareholder returns, driven by share price appreciation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3729990</wp:posOffset>
            </wp:positionH>
            <wp:positionV relativeFrom="paragraph">
              <wp:posOffset>102870</wp:posOffset>
            </wp:positionV>
            <wp:extent cx="2134235" cy="4003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4003040"/>
                    </a:xfrm>
                    <a:prstGeom prst="rect">
                      <a:avLst/>
                    </a:prstGeom>
                    <a:noFill/>
                  </pic:spPr>
                </pic:pic>
              </a:graphicData>
            </a:graphic>
          </wp:anchor>
        </w:drawing>
      </w:r>
    </w:p>
    <w:p>
      <w:pPr>
        <w:spacing w:after="0" w:line="151" w:lineRule="exact"/>
        <w:rPr>
          <w:sz w:val="20"/>
          <w:szCs w:val="20"/>
          <w:color w:val="auto"/>
        </w:rPr>
      </w:pPr>
    </w:p>
    <w:p>
      <w:pPr>
        <w:ind w:right="4379"/>
        <w:spacing w:after="0" w:line="257" w:lineRule="auto"/>
        <w:rPr>
          <w:sz w:val="20"/>
          <w:szCs w:val="20"/>
          <w:color w:val="auto"/>
        </w:rPr>
      </w:pPr>
      <w:r>
        <w:rPr>
          <w:rFonts w:ascii="Arial" w:cs="Arial" w:eastAsia="Arial" w:hAnsi="Arial"/>
          <w:sz w:val="18"/>
          <w:szCs w:val="18"/>
          <w:color w:val="auto"/>
        </w:rPr>
        <w:t>We made significant progress this year with several drug approvals for treating cancer and digestive diseases and submitted orforglipron, our oral GLP-1 therapy, for obesity to regulatory authorities in the U.S. and Japan and for obesity and type 2 diabetes in the EU. We also advanced promising treatments for weight management, heart disease prevention, and various types of cancer through clinical testing.</w:t>
      </w:r>
    </w:p>
    <w:p>
      <w:pPr>
        <w:spacing w:after="0" w:line="128" w:lineRule="exact"/>
        <w:rPr>
          <w:sz w:val="20"/>
          <w:szCs w:val="20"/>
          <w:color w:val="auto"/>
        </w:rPr>
      </w:pPr>
    </w:p>
    <w:p>
      <w:pPr>
        <w:ind w:right="4379"/>
        <w:spacing w:after="0" w:line="255" w:lineRule="auto"/>
        <w:rPr>
          <w:sz w:val="20"/>
          <w:szCs w:val="20"/>
          <w:color w:val="auto"/>
        </w:rPr>
      </w:pPr>
      <w:r>
        <w:rPr>
          <w:rFonts w:ascii="Arial" w:cs="Arial" w:eastAsia="Arial" w:hAnsi="Arial"/>
          <w:sz w:val="18"/>
          <w:szCs w:val="18"/>
          <w:color w:val="auto"/>
        </w:rPr>
        <w:t>We worked to expand access to obesity medicines through a landmark agreement with the U.S. government to broaden availability through government programs. This initiative is designed to significantly reduce out-of-pocket costs for millions of Americans and reflects our commitment to affordability and patient access. To support future growth and patient needs, we announced record manufacturing investments, with new facilities and global expansions expected to strengthen our supply chain and enable delivery of medicines at scale.</w:t>
      </w:r>
    </w:p>
    <w:p>
      <w:pPr>
        <w:spacing w:after="0" w:line="131" w:lineRule="exact"/>
        <w:rPr>
          <w:sz w:val="20"/>
          <w:szCs w:val="20"/>
          <w:color w:val="auto"/>
        </w:rPr>
      </w:pPr>
    </w:p>
    <w:p>
      <w:pPr>
        <w:ind w:right="4339"/>
        <w:spacing w:after="0" w:line="254" w:lineRule="auto"/>
        <w:rPr>
          <w:sz w:val="20"/>
          <w:szCs w:val="20"/>
          <w:color w:val="auto"/>
        </w:rPr>
      </w:pPr>
      <w:r>
        <w:rPr>
          <w:rFonts w:ascii="Arial" w:cs="Arial" w:eastAsia="Arial" w:hAnsi="Arial"/>
          <w:sz w:val="18"/>
          <w:szCs w:val="18"/>
          <w:color w:val="auto"/>
        </w:rPr>
        <w:t>We pursued breakthrough discoveries on three fronts. Significant investments were made in expanding our research laboratories and capabilities, including building out advanced drug development platforms that could unlock new approaches to targeting disease. Partnerships were forged to deploy AI to help decode biology, with the potential to accelerate the discovery of new treatments with unprecedented speed and precision. We also expanded our network of collaborators, partners, and strategic biotech acquisitions, allowing us to harness collective expertise and assets. Together, these investments position us to strive toward delivering breakthrough therapies to patients faster than ever before.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Our global health and sustainability initiatives remain central to our</w:t>
      </w:r>
    </w:p>
    <w:p>
      <w:pPr>
        <w:spacing w:after="0" w:line="306" w:lineRule="exact"/>
        <w:rPr>
          <w:sz w:val="20"/>
          <w:szCs w:val="20"/>
          <w:color w:val="auto"/>
        </w:rPr>
      </w:pPr>
    </w:p>
    <w:p>
      <w:pPr>
        <w:ind w:right="899"/>
        <w:spacing w:after="0" w:line="259" w:lineRule="auto"/>
        <w:rPr>
          <w:sz w:val="20"/>
          <w:szCs w:val="20"/>
          <w:color w:val="auto"/>
        </w:rPr>
      </w:pPr>
      <w:r>
        <w:rPr>
          <w:rFonts w:ascii="Arial" w:cs="Arial" w:eastAsia="Arial" w:hAnsi="Arial"/>
          <w:sz w:val="18"/>
          <w:szCs w:val="18"/>
          <w:color w:val="auto"/>
        </w:rPr>
        <w:t>purpose. We continue to progress our 30x30 goal of improving quality health care access for 30 million people living in resource-limited settings annually by 2030. We remain committed to advancing healthcare access and ensuring our innovative medicines are available to more people living in resource-limited settings. We also advanced toward our 2030 climate goals, including generating or purchasing approximately 80% of our electricity in 2025 from renewable sources (including onsite-generation, purchased energy, and renewable energy certificates).</w:t>
      </w:r>
    </w:p>
    <w:p>
      <w:pPr>
        <w:spacing w:after="0" w:line="125" w:lineRule="exact"/>
        <w:rPr>
          <w:sz w:val="20"/>
          <w:szCs w:val="20"/>
          <w:color w:val="auto"/>
        </w:rPr>
      </w:pPr>
    </w:p>
    <w:p>
      <w:pPr>
        <w:jc w:val="both"/>
        <w:ind w:right="1219"/>
        <w:spacing w:after="0" w:line="318" w:lineRule="auto"/>
        <w:rPr>
          <w:sz w:val="20"/>
          <w:szCs w:val="20"/>
          <w:color w:val="auto"/>
        </w:rPr>
      </w:pPr>
      <w:r>
        <w:rPr>
          <w:rFonts w:ascii="Arial" w:cs="Arial" w:eastAsia="Arial" w:hAnsi="Arial"/>
          <w:sz w:val="17"/>
          <w:szCs w:val="17"/>
          <w:color w:val="auto"/>
        </w:rPr>
        <w:t>Your input continues to shape our governance priorities. Based on investor feedback, we again are proposing to eliminate the classified board structure and supermajority voting requirements from our articles of incorporation.</w:t>
      </w:r>
    </w:p>
    <w:p>
      <w:pPr>
        <w:spacing w:after="0" w:line="76" w:lineRule="exact"/>
        <w:rPr>
          <w:sz w:val="20"/>
          <w:szCs w:val="20"/>
          <w:color w:val="auto"/>
        </w:rPr>
      </w:pPr>
    </w:p>
    <w:p>
      <w:pPr>
        <w:ind w:right="979"/>
        <w:spacing w:after="0" w:line="268" w:lineRule="auto"/>
        <w:rPr>
          <w:sz w:val="20"/>
          <w:szCs w:val="20"/>
          <w:color w:val="auto"/>
        </w:rPr>
      </w:pPr>
      <w:r>
        <w:rPr>
          <w:rFonts w:ascii="Arial" w:cs="Arial" w:eastAsia="Arial" w:hAnsi="Arial"/>
          <w:sz w:val="18"/>
          <w:szCs w:val="18"/>
          <w:color w:val="auto"/>
        </w:rPr>
        <w:t>As we approach Lilly’s 150th anniversary in May, we remain committed to building on our legacy of innovation to improve human health for generations to come. With your support, we will continue to invest in pioneering research and deliver medicines that make a meaningful difference for more people worldwide.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welcoming you to the annual meeting.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1679575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29210</wp:posOffset>
            </wp:positionV>
            <wp:extent cx="5554980"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ectPr>
          <w:pgSz w:w="11900" w:h="16838" w:orient="portrait"/>
          <w:cols w:equalWidth="0" w:num="1">
            <w:col w:w="10119"/>
          </w:cols>
          <w:pgMar w:left="340" w:top="1206" w:right="1440" w:bottom="1440" w:gutter="0" w:footer="0" w:header="0"/>
        </w:sectPr>
      </w:pPr>
    </w:p>
    <w:bookmarkStart w:id="3" w:name="page4"/>
    <w:bookmarkEnd w:id="3"/>
    <w:p>
      <w:pPr>
        <w:spacing w:after="0"/>
        <w:rPr>
          <w:sz w:val="20"/>
          <w:szCs w:val="20"/>
          <w:color w:val="auto"/>
        </w:rPr>
      </w:pPr>
      <w:r>
        <w:rPr>
          <w:rFonts w:ascii="Arial" w:cs="Arial" w:eastAsia="Arial" w:hAnsi="Arial"/>
          <w:sz w:val="51"/>
          <w:szCs w:val="51"/>
          <w:b w:val="1"/>
          <w:bCs w:val="1"/>
          <w:color w:val="auto"/>
        </w:rPr>
        <w:t>Table of Contents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920" w:type="dxa"/>
            <w:vAlign w:val="bottom"/>
          </w:tcPr>
          <w:p>
            <w:pPr>
              <w:spacing w:after="0"/>
              <w:rPr>
                <w:sz w:val="20"/>
                <w:szCs w:val="20"/>
                <w:color w:val="auto"/>
              </w:rPr>
            </w:pPr>
            <w:r>
              <w:rPr>
                <w:rFonts w:ascii="Arial" w:cs="Arial" w:eastAsia="Arial" w:hAnsi="Arial"/>
                <w:sz w:val="19"/>
                <w:szCs w:val="19"/>
                <w:b w:val="1"/>
                <w:bCs w:val="1"/>
                <w:color w:val="auto"/>
              </w:rPr>
              <w:t>Notice of 2026 Annual Meeting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line="216" w:lineRule="exact"/>
              <w:rPr>
                <w:sz w:val="20"/>
                <w:szCs w:val="20"/>
                <w:color w:val="auto"/>
              </w:rPr>
            </w:pPr>
            <w:r>
              <w:rPr>
                <w:rFonts w:ascii="Arial" w:cs="Arial" w:eastAsia="Arial" w:hAnsi="Arial"/>
                <w:sz w:val="19"/>
                <w:szCs w:val="19"/>
                <w:b w:val="1"/>
                <w:bCs w:val="1"/>
                <w:color w:val="auto"/>
              </w:rPr>
              <w:t>Shareholders</w:t>
            </w: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0"/>
                <w:szCs w:val="20"/>
                <w:color w:val="auto"/>
              </w:rPr>
            </w:pPr>
            <w:r>
              <w:rPr>
                <w:rFonts w:ascii="Arial" w:cs="Arial" w:eastAsia="Arial" w:hAnsi="Arial"/>
                <w:sz w:val="19"/>
                <w:szCs w:val="19"/>
                <w:b w:val="1"/>
                <w:bCs w:val="1"/>
                <w:color w:val="auto"/>
              </w:rPr>
              <w:t>Proxy Statement Summary</w:t>
            </w: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0"/>
                <w:szCs w:val="20"/>
                <w:color w:val="auto"/>
              </w:rPr>
            </w:pPr>
            <w:r>
              <w:rPr>
                <w:rFonts w:ascii="Arial" w:cs="Arial" w:eastAsia="Arial" w:hAnsi="Arial"/>
                <w:sz w:val="19"/>
                <w:szCs w:val="19"/>
                <w:b w:val="1"/>
                <w:bCs w:val="1"/>
                <w:color w:val="auto"/>
              </w:rPr>
              <w:t>Governance</w:t>
            </w: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Director Qualifications</w:t>
            </w:r>
          </w:p>
        </w:tc>
        <w:tc>
          <w:tcPr>
            <w:tcW w:w="1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D52B1E"/>
              </w:rPr>
              <w:t>Item 1 - Election of Directors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Director Nominations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Director Compensation</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Leadership Structure</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Board Structure</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Governance Practices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Board Alignment</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Communication with the Board of Directors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20" w:type="dxa"/>
            <w:vAlign w:val="bottom"/>
          </w:tcPr>
          <w:p>
            <w:pPr>
              <w:ind w:left="420"/>
              <w:spacing w:after="0"/>
              <w:rPr>
                <w:sz w:val="20"/>
                <w:szCs w:val="20"/>
                <w:color w:val="auto"/>
              </w:rPr>
            </w:pPr>
            <w:r>
              <w:rPr>
                <w:rFonts w:ascii="Arial" w:cs="Arial" w:eastAsia="Arial" w:hAnsi="Arial"/>
                <w:sz w:val="16"/>
                <w:szCs w:val="16"/>
                <w:color w:val="auto"/>
              </w:rPr>
              <w:t>Shareholder Engagement on Governance</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79"/>
              </w:rPr>
              <w:t>41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920" w:type="dxa"/>
            <w:vAlign w:val="bottom"/>
          </w:tcPr>
          <w:p>
            <w:pPr>
              <w:ind w:left="420"/>
              <w:spacing w:after="0" w:line="143" w:lineRule="exact"/>
              <w:rPr>
                <w:sz w:val="20"/>
                <w:szCs w:val="20"/>
                <w:color w:val="auto"/>
              </w:rPr>
            </w:pPr>
            <w:r>
              <w:rPr>
                <w:rFonts w:ascii="Arial" w:cs="Arial" w:eastAsia="Arial" w:hAnsi="Arial"/>
                <w:sz w:val="16"/>
                <w:szCs w:val="16"/>
                <w:color w:val="auto"/>
              </w:rPr>
              <w:t>Issues</w:t>
            </w:r>
          </w:p>
        </w:tc>
        <w:tc>
          <w:tcPr>
            <w:tcW w:w="200" w:type="dxa"/>
            <w:vAlign w:val="bottom"/>
            <w:tcBorders>
              <w:bottom w:val="single" w:sz="8" w:color="0000FF"/>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0"/>
                <w:szCs w:val="20"/>
                <w:color w:val="auto"/>
              </w:rPr>
            </w:pPr>
            <w:r>
              <w:rPr>
                <w:rFonts w:ascii="Arial" w:cs="Arial" w:eastAsia="Arial" w:hAnsi="Arial"/>
                <w:sz w:val="19"/>
                <w:szCs w:val="19"/>
                <w:b w:val="1"/>
                <w:bCs w:val="1"/>
                <w:color w:val="auto"/>
              </w:rPr>
              <w:t>Ownership of Company Stock</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42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0"/>
                <w:szCs w:val="20"/>
                <w:color w:val="auto"/>
              </w:rPr>
            </w:pPr>
            <w:r>
              <w:rPr>
                <w:rFonts w:ascii="Arial" w:cs="Arial" w:eastAsia="Arial" w:hAnsi="Arial"/>
                <w:sz w:val="19"/>
                <w:szCs w:val="19"/>
                <w:b w:val="1"/>
                <w:bCs w:val="1"/>
                <w:color w:val="auto"/>
              </w:rPr>
              <w:t>Compensation</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tcPr>
          <w:p>
            <w:pPr>
              <w:ind w:left="420"/>
              <w:spacing w:after="0"/>
              <w:rPr>
                <w:sz w:val="20"/>
                <w:szCs w:val="20"/>
                <w:color w:val="auto"/>
              </w:rPr>
            </w:pPr>
            <w:r>
              <w:rPr>
                <w:rFonts w:ascii="Arial" w:cs="Arial" w:eastAsia="Arial" w:hAnsi="Arial"/>
                <w:sz w:val="16"/>
                <w:szCs w:val="16"/>
                <w:color w:val="D52B1E"/>
              </w:rPr>
              <w:t>Item 2 - Approval, on an Advisory Basis, of the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420"/>
              <w:spacing w:after="0"/>
              <w:rPr>
                <w:sz w:val="20"/>
                <w:szCs w:val="20"/>
                <w:color w:val="auto"/>
              </w:rPr>
            </w:pPr>
            <w:r>
              <w:rPr>
                <w:rFonts w:ascii="Arial" w:cs="Arial" w:eastAsia="Arial" w:hAnsi="Arial"/>
                <w:sz w:val="16"/>
                <w:szCs w:val="16"/>
                <w:color w:val="D52B1E"/>
              </w:rPr>
              <w:t>Compensation Paid to the Company’s Named</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79"/>
              </w:rPr>
              <w:t>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920" w:type="dxa"/>
            <w:vAlign w:val="bottom"/>
          </w:tcPr>
          <w:p>
            <w:pPr>
              <w:ind w:left="420"/>
              <w:spacing w:after="0" w:line="143" w:lineRule="exact"/>
              <w:rPr>
                <w:sz w:val="20"/>
                <w:szCs w:val="20"/>
                <w:color w:val="auto"/>
              </w:rPr>
            </w:pPr>
            <w:r>
              <w:rPr>
                <w:rFonts w:ascii="Arial" w:cs="Arial" w:eastAsia="Arial" w:hAnsi="Arial"/>
                <w:sz w:val="16"/>
                <w:szCs w:val="16"/>
                <w:color w:val="D52B1E"/>
              </w:rPr>
              <w:t>Executive Officers</w:t>
            </w:r>
          </w:p>
        </w:tc>
        <w:tc>
          <w:tcPr>
            <w:tcW w:w="200" w:type="dxa"/>
            <w:vAlign w:val="bottom"/>
            <w:tcBorders>
              <w:bottom w:val="single" w:sz="8" w:color="0000FF"/>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Talent and Compensation Committee Matters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Compensation Discussion and Analysis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Executive Compensation Tables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59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CEO Pay Ratio</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Pay versus Performance</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0"/>
                <w:szCs w:val="20"/>
                <w:color w:val="auto"/>
              </w:rPr>
            </w:pPr>
            <w:r>
              <w:rPr>
                <w:rFonts w:ascii="Arial" w:cs="Arial" w:eastAsia="Arial" w:hAnsi="Arial"/>
                <w:sz w:val="19"/>
                <w:szCs w:val="19"/>
                <w:b w:val="1"/>
                <w:bCs w:val="1"/>
                <w:color w:val="auto"/>
              </w:rPr>
              <w:t>Audit Matters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20" w:type="dxa"/>
            <w:vAlign w:val="bottom"/>
          </w:tcPr>
          <w:p>
            <w:pPr>
              <w:ind w:left="420"/>
              <w:spacing w:after="0"/>
              <w:rPr>
                <w:sz w:val="20"/>
                <w:szCs w:val="20"/>
                <w:color w:val="auto"/>
              </w:rPr>
            </w:pPr>
            <w:r>
              <w:rPr>
                <w:rFonts w:ascii="Arial" w:cs="Arial" w:eastAsia="Arial" w:hAnsi="Arial"/>
                <w:sz w:val="16"/>
                <w:szCs w:val="16"/>
                <w:color w:val="D52B1E"/>
              </w:rPr>
              <w:t>Item 3 - Ratification of the Appointment of the</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79"/>
              </w:rPr>
              <w:t>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920" w:type="dxa"/>
            <w:vAlign w:val="bottom"/>
          </w:tcPr>
          <w:p>
            <w:pPr>
              <w:ind w:left="420"/>
              <w:spacing w:after="0" w:line="143" w:lineRule="exact"/>
              <w:rPr>
                <w:sz w:val="20"/>
                <w:szCs w:val="20"/>
                <w:color w:val="auto"/>
              </w:rPr>
            </w:pPr>
            <w:r>
              <w:rPr>
                <w:rFonts w:ascii="Arial" w:cs="Arial" w:eastAsia="Arial" w:hAnsi="Arial"/>
                <w:sz w:val="16"/>
                <w:szCs w:val="16"/>
                <w:color w:val="D52B1E"/>
              </w:rPr>
              <w:t>Independent Auditor</w:t>
            </w:r>
          </w:p>
        </w:tc>
        <w:tc>
          <w:tcPr>
            <w:tcW w:w="200" w:type="dxa"/>
            <w:vAlign w:val="bottom"/>
            <w:tcBorders>
              <w:bottom w:val="single" w:sz="8" w:color="0000FF"/>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0"/>
                <w:szCs w:val="20"/>
                <w:color w:val="auto"/>
              </w:rPr>
            </w:pPr>
            <w:r>
              <w:rPr>
                <w:rFonts w:ascii="Arial" w:cs="Arial" w:eastAsia="Arial" w:hAnsi="Arial"/>
                <w:sz w:val="19"/>
                <w:szCs w:val="19"/>
                <w:b w:val="1"/>
                <w:bCs w:val="1"/>
                <w:color w:val="auto"/>
              </w:rPr>
              <w:t>Management Proposals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74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20" w:type="dxa"/>
            <w:vAlign w:val="bottom"/>
          </w:tcPr>
          <w:p>
            <w:pPr>
              <w:ind w:left="420"/>
              <w:spacing w:after="0"/>
              <w:rPr>
                <w:sz w:val="20"/>
                <w:szCs w:val="20"/>
                <w:color w:val="auto"/>
              </w:rPr>
            </w:pPr>
            <w:r>
              <w:rPr>
                <w:rFonts w:ascii="Arial" w:cs="Arial" w:eastAsia="Arial" w:hAnsi="Arial"/>
                <w:sz w:val="16"/>
                <w:szCs w:val="16"/>
                <w:color w:val="D52B1E"/>
              </w:rPr>
              <w:t>Item 4 - Proposal to Amend the Company’s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420"/>
              <w:spacing w:after="0"/>
              <w:rPr>
                <w:sz w:val="20"/>
                <w:szCs w:val="20"/>
                <w:color w:val="auto"/>
              </w:rPr>
            </w:pPr>
            <w:r>
              <w:rPr>
                <w:rFonts w:ascii="Arial" w:cs="Arial" w:eastAsia="Arial" w:hAnsi="Arial"/>
                <w:sz w:val="16"/>
                <w:szCs w:val="16"/>
                <w:color w:val="D52B1E"/>
              </w:rPr>
              <w:t>Articles of Incorporation to Eliminate the</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79"/>
              </w:rPr>
              <w:t>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920" w:type="dxa"/>
            <w:vAlign w:val="bottom"/>
          </w:tcPr>
          <w:p>
            <w:pPr>
              <w:ind w:left="420"/>
              <w:spacing w:after="0" w:line="143" w:lineRule="exact"/>
              <w:rPr>
                <w:sz w:val="20"/>
                <w:szCs w:val="20"/>
                <w:color w:val="auto"/>
              </w:rPr>
            </w:pPr>
            <w:r>
              <w:rPr>
                <w:rFonts w:ascii="Arial" w:cs="Arial" w:eastAsia="Arial" w:hAnsi="Arial"/>
                <w:sz w:val="16"/>
                <w:szCs w:val="16"/>
                <w:color w:val="D52B1E"/>
              </w:rPr>
              <w:t>Classified Board Structure</w:t>
            </w:r>
          </w:p>
        </w:tc>
        <w:tc>
          <w:tcPr>
            <w:tcW w:w="200" w:type="dxa"/>
            <w:vAlign w:val="bottom"/>
            <w:tcBorders>
              <w:bottom w:val="single" w:sz="8" w:color="0000FF"/>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3920" w:type="dxa"/>
            <w:vAlign w:val="bottom"/>
          </w:tcPr>
          <w:p>
            <w:pPr>
              <w:ind w:left="420"/>
              <w:spacing w:after="0"/>
              <w:rPr>
                <w:sz w:val="20"/>
                <w:szCs w:val="20"/>
                <w:color w:val="auto"/>
              </w:rPr>
            </w:pPr>
            <w:r>
              <w:rPr>
                <w:rFonts w:ascii="Arial" w:cs="Arial" w:eastAsia="Arial" w:hAnsi="Arial"/>
                <w:sz w:val="16"/>
                <w:szCs w:val="16"/>
                <w:color w:val="D52B1E"/>
              </w:rPr>
              <w:t>Item 5 - Proposal to Amend the Company’s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420"/>
              <w:spacing w:after="0"/>
              <w:rPr>
                <w:sz w:val="20"/>
                <w:szCs w:val="20"/>
                <w:color w:val="auto"/>
              </w:rPr>
            </w:pPr>
            <w:r>
              <w:rPr>
                <w:rFonts w:ascii="Arial" w:cs="Arial" w:eastAsia="Arial" w:hAnsi="Arial"/>
                <w:sz w:val="16"/>
                <w:szCs w:val="16"/>
                <w:color w:val="D52B1E"/>
              </w:rPr>
              <w:t>Articles of Incorporation to Eliminate</w:t>
            </w:r>
          </w:p>
        </w:tc>
        <w:tc>
          <w:tcPr>
            <w:tcW w:w="200" w:type="dxa"/>
            <w:vAlign w:val="bottom"/>
            <w:gridSpan w:val="2"/>
            <w:vMerge w:val="restart"/>
          </w:tcPr>
          <w:p>
            <w:pPr>
              <w:spacing w:after="0"/>
              <w:rPr>
                <w:sz w:val="20"/>
                <w:szCs w:val="20"/>
                <w:color w:val="auto"/>
              </w:rPr>
            </w:pPr>
            <w:r>
              <w:rPr>
                <w:rFonts w:ascii="Arial" w:cs="Arial" w:eastAsia="Arial" w:hAnsi="Arial"/>
                <w:sz w:val="18"/>
                <w:szCs w:val="18"/>
                <w:color w:val="0000FF"/>
                <w:w w:val="79"/>
              </w:rPr>
              <w:t>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920" w:type="dxa"/>
            <w:vAlign w:val="bottom"/>
          </w:tcPr>
          <w:p>
            <w:pPr>
              <w:ind w:left="420"/>
              <w:spacing w:after="0" w:line="143" w:lineRule="exact"/>
              <w:rPr>
                <w:sz w:val="20"/>
                <w:szCs w:val="20"/>
                <w:color w:val="auto"/>
              </w:rPr>
            </w:pPr>
            <w:r>
              <w:rPr>
                <w:rFonts w:ascii="Arial" w:cs="Arial" w:eastAsia="Arial" w:hAnsi="Arial"/>
                <w:sz w:val="16"/>
                <w:szCs w:val="16"/>
                <w:color w:val="D52B1E"/>
              </w:rPr>
              <w:t>Supermajority Voting Provisions</w:t>
            </w:r>
          </w:p>
        </w:tc>
        <w:tc>
          <w:tcPr>
            <w:tcW w:w="200" w:type="dxa"/>
            <w:vAlign w:val="bottom"/>
            <w:tcBorders>
              <w:bottom w:val="single" w:sz="8" w:color="0000FF"/>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920" w:type="dxa"/>
            <w:vAlign w:val="bottom"/>
          </w:tcPr>
          <w:p>
            <w:pPr>
              <w:spacing w:after="0"/>
              <w:rPr>
                <w:sz w:val="20"/>
                <w:szCs w:val="20"/>
                <w:color w:val="auto"/>
              </w:rPr>
            </w:pPr>
            <w:r>
              <w:rPr>
                <w:rFonts w:ascii="Arial" w:cs="Arial" w:eastAsia="Arial" w:hAnsi="Arial"/>
                <w:sz w:val="19"/>
                <w:szCs w:val="19"/>
                <w:b w:val="1"/>
                <w:bCs w:val="1"/>
                <w:color w:val="auto"/>
              </w:rPr>
              <w:t>Shareholder Proposals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D52B1E"/>
              </w:rPr>
              <w:t>Item 6 and Item 7</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0"/>
                <w:szCs w:val="20"/>
                <w:color w:val="auto"/>
              </w:rPr>
            </w:pPr>
            <w:r>
              <w:rPr>
                <w:rFonts w:ascii="Arial" w:cs="Arial" w:eastAsia="Arial" w:hAnsi="Arial"/>
                <w:sz w:val="19"/>
                <w:szCs w:val="19"/>
                <w:b w:val="1"/>
                <w:bCs w:val="1"/>
                <w:color w:val="auto"/>
              </w:rPr>
              <w:t>Other Information</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82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Meeting and Voting Logistics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420"/>
              <w:spacing w:after="0"/>
              <w:rPr>
                <w:sz w:val="20"/>
                <w:szCs w:val="20"/>
                <w:color w:val="auto"/>
              </w:rPr>
            </w:pPr>
            <w:r>
              <w:rPr>
                <w:rFonts w:ascii="Arial" w:cs="Arial" w:eastAsia="Arial" w:hAnsi="Arial"/>
                <w:sz w:val="16"/>
                <w:szCs w:val="16"/>
                <w:color w:val="auto"/>
              </w:rPr>
              <w:t>Other Matters</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3920" w:type="dxa"/>
            <w:vAlign w:val="bottom"/>
          </w:tcPr>
          <w:p>
            <w:pPr>
              <w:spacing w:after="0"/>
              <w:rPr>
                <w:sz w:val="20"/>
                <w:szCs w:val="20"/>
                <w:color w:val="auto"/>
              </w:rPr>
            </w:pPr>
            <w:r>
              <w:rPr>
                <w:rFonts w:ascii="Arial" w:cs="Arial" w:eastAsia="Arial" w:hAnsi="Arial"/>
                <w:sz w:val="19"/>
                <w:szCs w:val="19"/>
                <w:b w:val="1"/>
                <w:bCs w:val="1"/>
                <w:color w:val="auto"/>
              </w:rPr>
              <w:t>Appendix A - Summary of Adjustments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9"/>
                <w:szCs w:val="19"/>
                <w:b w:val="1"/>
                <w:bCs w:val="1"/>
                <w:color w:val="auto"/>
              </w:rPr>
              <w:t>Related to the Annual Cash Bonus</w:t>
            </w:r>
          </w:p>
        </w:tc>
        <w:tc>
          <w:tcPr>
            <w:tcW w:w="280" w:type="dxa"/>
            <w:vAlign w:val="bottom"/>
            <w:gridSpan w:val="3"/>
          </w:tcPr>
          <w:p>
            <w:pPr>
              <w:spacing w:after="0" w:line="202" w:lineRule="exact"/>
              <w:rPr>
                <w:sz w:val="20"/>
                <w:szCs w:val="20"/>
                <w:color w:val="auto"/>
              </w:rPr>
            </w:pPr>
            <w:r>
              <w:rPr>
                <w:rFonts w:ascii="Arial" w:cs="Arial" w:eastAsia="Arial" w:hAnsi="Arial"/>
                <w:sz w:val="18"/>
                <w:szCs w:val="18"/>
                <w:color w:val="auto"/>
                <w:w w:val="92"/>
              </w:rPr>
              <w:t>A-</w:t>
            </w:r>
            <w:r>
              <w:rPr>
                <w:rFonts w:ascii="Arial" w:cs="Arial" w:eastAsia="Arial" w:hAnsi="Arial"/>
                <w:sz w:val="18"/>
                <w:szCs w:val="18"/>
                <w:color w:val="0000FF"/>
                <w:w w:val="92"/>
              </w:rPr>
              <w:t>1</w:t>
            </w:r>
          </w:p>
        </w:tc>
        <w:tc>
          <w:tcPr>
            <w:tcW w:w="0" w:type="dxa"/>
            <w:vAlign w:val="bottom"/>
          </w:tcPr>
          <w:p>
            <w:pPr>
              <w:spacing w:after="0"/>
              <w:rPr>
                <w:sz w:val="1"/>
                <w:szCs w:val="1"/>
                <w:color w:val="auto"/>
              </w:rPr>
            </w:pPr>
          </w:p>
        </w:tc>
      </w:tr>
      <w:tr>
        <w:trPr>
          <w:trHeight w:val="290"/>
        </w:trPr>
        <w:tc>
          <w:tcPr>
            <w:tcW w:w="3920" w:type="dxa"/>
            <w:vAlign w:val="bottom"/>
          </w:tcPr>
          <w:p>
            <w:pPr>
              <w:spacing w:after="0"/>
              <w:rPr>
                <w:sz w:val="20"/>
                <w:szCs w:val="20"/>
                <w:color w:val="auto"/>
              </w:rPr>
            </w:pPr>
            <w:r>
              <w:rPr>
                <w:rFonts w:ascii="Arial" w:cs="Arial" w:eastAsia="Arial" w:hAnsi="Arial"/>
                <w:sz w:val="19"/>
                <w:szCs w:val="19"/>
                <w:b w:val="1"/>
                <w:bCs w:val="1"/>
                <w:color w:val="auto"/>
              </w:rPr>
              <w:t>Appendix B - Proposed Amendments to</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Arial" w:cs="Arial" w:eastAsia="Arial" w:hAnsi="Arial"/>
                <w:sz w:val="19"/>
                <w:szCs w:val="19"/>
                <w:b w:val="1"/>
                <w:bCs w:val="1"/>
                <w:color w:val="auto"/>
              </w:rPr>
              <w:t>the Company’s Articles of Incorporation</w:t>
            </w:r>
          </w:p>
        </w:tc>
        <w:tc>
          <w:tcPr>
            <w:tcW w:w="280" w:type="dxa"/>
            <w:vAlign w:val="bottom"/>
            <w:gridSpan w:val="3"/>
          </w:tcPr>
          <w:p>
            <w:pPr>
              <w:spacing w:after="0" w:line="202" w:lineRule="exact"/>
              <w:rPr>
                <w:sz w:val="20"/>
                <w:szCs w:val="20"/>
                <w:color w:val="auto"/>
              </w:rPr>
            </w:pPr>
            <w:r>
              <w:rPr>
                <w:rFonts w:ascii="Arial" w:cs="Arial" w:eastAsia="Arial" w:hAnsi="Arial"/>
                <w:sz w:val="18"/>
                <w:szCs w:val="18"/>
                <w:color w:val="auto"/>
                <w:w w:val="92"/>
              </w:rPr>
              <w:t>B-</w:t>
            </w:r>
            <w:r>
              <w:rPr>
                <w:rFonts w:ascii="Arial" w:cs="Arial" w:eastAsia="Arial" w:hAnsi="Arial"/>
                <w:sz w:val="18"/>
                <w:szCs w:val="18"/>
                <w:color w:val="0000FF"/>
                <w:w w:val="92"/>
              </w:rPr>
              <w:t>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D52B1E"/>
        </w:rPr>
        <w:t>Frequently Referenced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-86360</wp:posOffset>
            </wp:positionV>
            <wp:extent cx="2794635" cy="2520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2520315"/>
                    </a:xfrm>
                    <a:prstGeom prst="rect">
                      <a:avLst/>
                    </a:prstGeom>
                    <a:noFill/>
                  </pic:spPr>
                </pic:pic>
              </a:graphicData>
            </a:graphic>
          </wp:anchor>
        </w:drawing>
      </w:r>
    </w:p>
    <w:p>
      <w:pPr>
        <w:spacing w:after="0" w:line="129"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3680" w:type="dxa"/>
            <w:vAlign w:val="bottom"/>
          </w:tcPr>
          <w:p>
            <w:pPr>
              <w:spacing w:after="0"/>
              <w:rPr>
                <w:sz w:val="20"/>
                <w:szCs w:val="20"/>
                <w:color w:val="auto"/>
              </w:rPr>
            </w:pPr>
            <w:r>
              <w:rPr>
                <w:rFonts w:ascii="Arial" w:cs="Arial" w:eastAsia="Arial" w:hAnsi="Arial"/>
                <w:sz w:val="16"/>
                <w:szCs w:val="16"/>
                <w:color w:val="auto"/>
              </w:rPr>
              <w:t>Director Biographies</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10</w:t>
            </w:r>
          </w:p>
        </w:tc>
      </w:tr>
      <w:tr>
        <w:trPr>
          <w:trHeight w:val="250"/>
        </w:trPr>
        <w:tc>
          <w:tcPr>
            <w:tcW w:w="3680" w:type="dxa"/>
            <w:vAlign w:val="bottom"/>
          </w:tcPr>
          <w:p>
            <w:pPr>
              <w:spacing w:after="0"/>
              <w:rPr>
                <w:sz w:val="20"/>
                <w:szCs w:val="20"/>
                <w:color w:val="auto"/>
              </w:rPr>
            </w:pPr>
            <w:r>
              <w:rPr>
                <w:rFonts w:ascii="Arial" w:cs="Arial" w:eastAsia="Arial" w:hAnsi="Arial"/>
                <w:sz w:val="16"/>
                <w:szCs w:val="16"/>
                <w:color w:val="auto"/>
              </w:rPr>
              <w:t>Director Skills Matrix</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23</w:t>
            </w:r>
          </w:p>
        </w:tc>
      </w:tr>
      <w:tr>
        <w:trPr>
          <w:trHeight w:val="250"/>
        </w:trPr>
        <w:tc>
          <w:tcPr>
            <w:tcW w:w="3680" w:type="dxa"/>
            <w:vAlign w:val="bottom"/>
          </w:tcPr>
          <w:p>
            <w:pPr>
              <w:spacing w:after="0"/>
              <w:rPr>
                <w:sz w:val="20"/>
                <w:szCs w:val="20"/>
                <w:color w:val="auto"/>
              </w:rPr>
            </w:pPr>
            <w:r>
              <w:rPr>
                <w:rFonts w:ascii="Arial" w:cs="Arial" w:eastAsia="Arial" w:hAnsi="Arial"/>
                <w:sz w:val="16"/>
                <w:szCs w:val="16"/>
                <w:color w:val="auto"/>
              </w:rPr>
              <w:t>Director Compensation</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26</w:t>
            </w:r>
          </w:p>
        </w:tc>
      </w:tr>
      <w:tr>
        <w:trPr>
          <w:trHeight w:val="250"/>
        </w:trPr>
        <w:tc>
          <w:tcPr>
            <w:tcW w:w="3680" w:type="dxa"/>
            <w:vAlign w:val="bottom"/>
          </w:tcPr>
          <w:p>
            <w:pPr>
              <w:spacing w:after="0"/>
              <w:rPr>
                <w:sz w:val="20"/>
                <w:szCs w:val="20"/>
                <w:color w:val="auto"/>
              </w:rPr>
            </w:pPr>
            <w:r>
              <w:rPr>
                <w:rFonts w:ascii="Arial" w:cs="Arial" w:eastAsia="Arial" w:hAnsi="Arial"/>
                <w:sz w:val="16"/>
                <w:szCs w:val="16"/>
                <w:color w:val="auto"/>
              </w:rPr>
              <w:t>Board Leadership Structure</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29</w:t>
            </w:r>
          </w:p>
        </w:tc>
      </w:tr>
      <w:tr>
        <w:trPr>
          <w:trHeight w:val="288"/>
        </w:trPr>
        <w:tc>
          <w:tcPr>
            <w:tcW w:w="3680" w:type="dxa"/>
            <w:vAlign w:val="bottom"/>
          </w:tcPr>
          <w:p>
            <w:pPr>
              <w:spacing w:after="0"/>
              <w:rPr>
                <w:sz w:val="20"/>
                <w:szCs w:val="20"/>
                <w:color w:val="auto"/>
              </w:rPr>
            </w:pPr>
            <w:r>
              <w:rPr>
                <w:rFonts w:ascii="Arial" w:cs="Arial" w:eastAsia="Arial" w:hAnsi="Arial"/>
                <w:sz w:val="16"/>
                <w:szCs w:val="16"/>
                <w:color w:val="auto"/>
              </w:rPr>
              <w:t>Board and Committee Oversight of:</w:t>
            </w:r>
          </w:p>
        </w:tc>
        <w:tc>
          <w:tcPr>
            <w:tcW w:w="200" w:type="dxa"/>
            <w:vAlign w:val="bottom"/>
          </w:tcPr>
          <w:p>
            <w:pPr>
              <w:spacing w:after="0"/>
              <w:rPr>
                <w:sz w:val="24"/>
                <w:szCs w:val="24"/>
                <w:color w:val="auto"/>
              </w:rPr>
            </w:pPr>
          </w:p>
        </w:tc>
      </w:tr>
      <w:tr>
        <w:trPr>
          <w:trHeight w:val="218"/>
        </w:trPr>
        <w:tc>
          <w:tcPr>
            <w:tcW w:w="3680" w:type="dxa"/>
            <w:vAlign w:val="bottom"/>
          </w:tcPr>
          <w:p>
            <w:pPr>
              <w:ind w:left="160"/>
              <w:spacing w:after="0"/>
              <w:rPr>
                <w:sz w:val="20"/>
                <w:szCs w:val="20"/>
                <w:color w:val="auto"/>
              </w:rPr>
            </w:pPr>
            <w:r>
              <w:rPr>
                <w:rFonts w:ascii="Arial" w:cs="Arial" w:eastAsia="Arial" w:hAnsi="Arial"/>
                <w:sz w:val="16"/>
                <w:szCs w:val="16"/>
                <w:color w:val="auto"/>
              </w:rPr>
              <w:t>Sustainability</w:t>
            </w:r>
          </w:p>
        </w:tc>
        <w:tc>
          <w:tcPr>
            <w:tcW w:w="200" w:type="dxa"/>
            <w:vAlign w:val="bottom"/>
            <w:tcBorders>
              <w:bottom w:val="single" w:sz="8" w:color="0000FF"/>
            </w:tcBorders>
          </w:tcPr>
          <w:p>
            <w:pPr>
              <w:jc w:val="right"/>
              <w:spacing w:after="0" w:line="198" w:lineRule="exact"/>
              <w:rPr>
                <w:sz w:val="20"/>
                <w:szCs w:val="20"/>
                <w:color w:val="auto"/>
              </w:rPr>
            </w:pPr>
            <w:r>
              <w:rPr>
                <w:rFonts w:ascii="Arial" w:cs="Arial" w:eastAsia="Arial" w:hAnsi="Arial"/>
                <w:sz w:val="18"/>
                <w:szCs w:val="18"/>
                <w:color w:val="0000FF"/>
                <w:w w:val="89"/>
              </w:rPr>
              <w:t>37</w:t>
            </w:r>
          </w:p>
        </w:tc>
      </w:tr>
      <w:tr>
        <w:trPr>
          <w:trHeight w:val="250"/>
        </w:trPr>
        <w:tc>
          <w:tcPr>
            <w:tcW w:w="3680" w:type="dxa"/>
            <w:vAlign w:val="bottom"/>
          </w:tcPr>
          <w:p>
            <w:pPr>
              <w:ind w:left="160"/>
              <w:spacing w:after="0"/>
              <w:rPr>
                <w:sz w:val="20"/>
                <w:szCs w:val="20"/>
                <w:color w:val="auto"/>
              </w:rPr>
            </w:pPr>
            <w:r>
              <w:rPr>
                <w:rFonts w:ascii="Arial" w:cs="Arial" w:eastAsia="Arial" w:hAnsi="Arial"/>
                <w:sz w:val="16"/>
                <w:szCs w:val="16"/>
                <w:color w:val="auto"/>
              </w:rPr>
              <w:t>Cybersecurity</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37</w:t>
            </w:r>
          </w:p>
        </w:tc>
      </w:tr>
      <w:tr>
        <w:trPr>
          <w:trHeight w:val="250"/>
        </w:trPr>
        <w:tc>
          <w:tcPr>
            <w:tcW w:w="3680" w:type="dxa"/>
            <w:vAlign w:val="bottom"/>
          </w:tcPr>
          <w:p>
            <w:pPr>
              <w:ind w:left="160"/>
              <w:spacing w:after="0"/>
              <w:rPr>
                <w:sz w:val="20"/>
                <w:szCs w:val="20"/>
                <w:color w:val="auto"/>
              </w:rPr>
            </w:pPr>
            <w:r>
              <w:rPr>
                <w:rFonts w:ascii="Arial" w:cs="Arial" w:eastAsia="Arial" w:hAnsi="Arial"/>
                <w:sz w:val="16"/>
                <w:szCs w:val="16"/>
                <w:color w:val="auto"/>
              </w:rPr>
              <w:t>Artificial Intelligence</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37</w:t>
            </w:r>
          </w:p>
        </w:tc>
      </w:tr>
      <w:tr>
        <w:trPr>
          <w:trHeight w:val="250"/>
        </w:trPr>
        <w:tc>
          <w:tcPr>
            <w:tcW w:w="3680" w:type="dxa"/>
            <w:vAlign w:val="bottom"/>
          </w:tcPr>
          <w:p>
            <w:pPr>
              <w:ind w:left="160"/>
              <w:spacing w:after="0"/>
              <w:rPr>
                <w:sz w:val="20"/>
                <w:szCs w:val="20"/>
                <w:color w:val="auto"/>
              </w:rPr>
            </w:pPr>
            <w:r>
              <w:rPr>
                <w:rFonts w:ascii="Arial" w:cs="Arial" w:eastAsia="Arial" w:hAnsi="Arial"/>
                <w:sz w:val="16"/>
                <w:szCs w:val="16"/>
                <w:color w:val="auto"/>
              </w:rPr>
              <w:t>Political Activities</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37</w:t>
            </w:r>
          </w:p>
        </w:tc>
      </w:tr>
      <w:tr>
        <w:trPr>
          <w:trHeight w:val="250"/>
        </w:trPr>
        <w:tc>
          <w:tcPr>
            <w:tcW w:w="3680" w:type="dxa"/>
            <w:vAlign w:val="bottom"/>
          </w:tcPr>
          <w:p>
            <w:pPr>
              <w:ind w:left="160"/>
              <w:spacing w:after="0"/>
              <w:rPr>
                <w:sz w:val="20"/>
                <w:szCs w:val="20"/>
                <w:color w:val="auto"/>
              </w:rPr>
            </w:pPr>
            <w:r>
              <w:rPr>
                <w:rFonts w:ascii="Arial" w:cs="Arial" w:eastAsia="Arial" w:hAnsi="Arial"/>
                <w:sz w:val="16"/>
                <w:szCs w:val="16"/>
                <w:color w:val="auto"/>
              </w:rPr>
              <w:t>Human Capital Management</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38</w:t>
            </w:r>
          </w:p>
        </w:tc>
      </w:tr>
      <w:tr>
        <w:trPr>
          <w:trHeight w:val="250"/>
        </w:trPr>
        <w:tc>
          <w:tcPr>
            <w:tcW w:w="3680" w:type="dxa"/>
            <w:vAlign w:val="bottom"/>
          </w:tcPr>
          <w:p>
            <w:pPr>
              <w:spacing w:after="0"/>
              <w:rPr>
                <w:sz w:val="20"/>
                <w:szCs w:val="20"/>
                <w:color w:val="auto"/>
              </w:rPr>
            </w:pPr>
            <w:r>
              <w:rPr>
                <w:rFonts w:ascii="Arial" w:cs="Arial" w:eastAsia="Arial" w:hAnsi="Arial"/>
                <w:sz w:val="16"/>
                <w:szCs w:val="16"/>
                <w:color w:val="auto"/>
              </w:rPr>
              <w:t>Transactions with Related Persons</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39</w:t>
            </w:r>
          </w:p>
        </w:tc>
      </w:tr>
      <w:tr>
        <w:trPr>
          <w:trHeight w:val="250"/>
        </w:trPr>
        <w:tc>
          <w:tcPr>
            <w:tcW w:w="3680" w:type="dxa"/>
            <w:vAlign w:val="bottom"/>
          </w:tcPr>
          <w:p>
            <w:pPr>
              <w:spacing w:after="0"/>
              <w:rPr>
                <w:sz w:val="20"/>
                <w:szCs w:val="20"/>
                <w:color w:val="auto"/>
              </w:rPr>
            </w:pPr>
            <w:r>
              <w:rPr>
                <w:rFonts w:ascii="Arial" w:cs="Arial" w:eastAsia="Arial" w:hAnsi="Arial"/>
                <w:sz w:val="16"/>
                <w:szCs w:val="16"/>
                <w:color w:val="auto"/>
              </w:rPr>
              <w:t>Share Ownership and Retention Guidelines</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58</w:t>
            </w:r>
          </w:p>
        </w:tc>
      </w:tr>
      <w:tr>
        <w:trPr>
          <w:trHeight w:val="250"/>
        </w:trPr>
        <w:tc>
          <w:tcPr>
            <w:tcW w:w="3680" w:type="dxa"/>
            <w:vAlign w:val="bottom"/>
          </w:tcPr>
          <w:p>
            <w:pPr>
              <w:spacing w:after="0"/>
              <w:rPr>
                <w:sz w:val="20"/>
                <w:szCs w:val="20"/>
                <w:color w:val="auto"/>
              </w:rPr>
            </w:pPr>
            <w:r>
              <w:rPr>
                <w:rFonts w:ascii="Arial" w:cs="Arial" w:eastAsia="Arial" w:hAnsi="Arial"/>
                <w:sz w:val="16"/>
                <w:szCs w:val="16"/>
                <w:color w:val="auto"/>
              </w:rPr>
              <w:t>Compensation Recovery Policy (Clawback)</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58</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w:t>
      </w:r>
    </w:p>
    <w:p>
      <w:pPr>
        <w:spacing w:after="0" w:line="59"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This proxy statement contains forward-looking statements, including those regarding our strategies and financial performance; our development of new products, indications and technologies; our development and use of artificial intelligence and other emerging technologies, including through collaborations with third parties; global health and sustainability metrics, commitments, initiatives, and goals; and other statements that are not historical fact, and actual results could differ materially. Risks that could cause actual results to differ are set forth in the “Risk Factors” section of, and elsewhere in, our 2025 Annual Report on Form 10-K and our other filings with the</w:t>
      </w:r>
    </w:p>
    <w:p>
      <w:pPr>
        <w:spacing w:after="0" w:line="1"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Securities and Exchange Commission (SEC). Readers are cautioned not to place undue reliance on these forward-looking statements, which speak only as of the date</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hereof and are based on management estimates, projections, and assumptions, and we undertake no obligation to update any such statements.</w:t>
      </w:r>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Certain documents and information referenced in this proxy statement are available on our website. However, we are not including the information contained on our website, or any information that may be accessed by links on our website, as part of, or incorporating it by reference into, this proxy statement.</w:t>
      </w:r>
    </w:p>
    <w:p>
      <w:pPr>
        <w:spacing w:after="0" w:line="177"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information contained under the heading “Pay Versus Performance” shall not be incorporated by reference into any filing under the Securities Act of 1933 or the Securities Exchange Act of 1934 (the Exchange Act) except to the extent that we specifically incorporate it by reference in any such filing. All trademarks or trade names referred to in this proxy statement are the property of the company, or, to the extent trademarks or trade names belonging to other companies, the property of their respective owners. Solely for convenience, the trademarks and trade names in this proxy statement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26" w:lineRule="exact"/>
        <w:rPr>
          <w:sz w:val="20"/>
          <w:szCs w:val="20"/>
          <w:color w:val="auto"/>
        </w:rPr>
      </w:pPr>
    </w:p>
    <w:p>
      <w:pPr>
        <w:ind w:right="240"/>
        <w:spacing w:after="0" w:line="285" w:lineRule="auto"/>
        <w:rPr>
          <w:sz w:val="20"/>
          <w:szCs w:val="20"/>
          <w:color w:val="auto"/>
        </w:rPr>
      </w:pPr>
      <w:r>
        <w:rPr>
          <w:rFonts w:ascii="Arial" w:cs="Arial" w:eastAsia="Arial" w:hAnsi="Arial"/>
          <w:sz w:val="14"/>
          <w:szCs w:val="14"/>
          <w:color w:val="auto"/>
        </w:rPr>
        <w:t>Unless otherwise expressly stated or context requires otherwise, information in this proxy statement is as of 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924560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00" w:space="720"/>
            <w:col w:w="5500"/>
          </w:cols>
          <w:pgMar w:left="320" w:top="1044" w:right="459" w:bottom="1440" w:gutter="0" w:footer="0" w:header="0"/>
        </w:sectPr>
      </w:pPr>
    </w:p>
    <w:bookmarkStart w:id="4" w:name="page5"/>
    <w:bookmarkEnd w:id="4"/>
    <w:p>
      <w:pPr>
        <w:ind w:right="2740"/>
        <w:spacing w:after="0" w:line="298" w:lineRule="auto"/>
        <w:rPr>
          <w:sz w:val="20"/>
          <w:szCs w:val="20"/>
          <w:color w:val="auto"/>
        </w:rPr>
      </w:pPr>
      <w:r>
        <w:rPr>
          <w:rFonts w:ascii="Arial" w:cs="Arial" w:eastAsia="Arial" w:hAnsi="Arial"/>
          <w:sz w:val="52"/>
          <w:szCs w:val="52"/>
          <w:b w:val="1"/>
          <w:bCs w:val="1"/>
          <w:color w:val="auto"/>
        </w:rPr>
        <w:t>Notice of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-102235</wp:posOffset>
            </wp:positionV>
            <wp:extent cx="488315"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8315" cy="48831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-85090</wp:posOffset>
            </wp:positionV>
            <wp:extent cx="44577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-85090</wp:posOffset>
            </wp:positionV>
            <wp:extent cx="411480"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40" w:type="dxa"/>
            <w:vAlign w:val="bottom"/>
          </w:tcPr>
          <w:p>
            <w:pPr>
              <w:spacing w:after="0"/>
              <w:rPr>
                <w:sz w:val="21"/>
                <w:szCs w:val="21"/>
                <w:color w:val="auto"/>
              </w:rPr>
            </w:pPr>
          </w:p>
        </w:tc>
        <w:tc>
          <w:tcPr>
            <w:tcW w:w="2400" w:type="dxa"/>
            <w:vAlign w:val="bottom"/>
          </w:tcPr>
          <w:p>
            <w:pPr>
              <w:jc w:val="center"/>
              <w:ind w:right="552"/>
              <w:spacing w:after="0"/>
              <w:rPr>
                <w:sz w:val="20"/>
                <w:szCs w:val="20"/>
                <w:color w:val="auto"/>
              </w:rPr>
            </w:pPr>
            <w:r>
              <w:rPr>
                <w:rFonts w:ascii="Arial" w:cs="Arial" w:eastAsia="Arial" w:hAnsi="Arial"/>
                <w:sz w:val="20"/>
                <w:szCs w:val="20"/>
                <w:b w:val="1"/>
                <w:bCs w:val="1"/>
                <w:color w:val="D52B1E"/>
                <w:w w:val="98"/>
              </w:rPr>
              <w:t>WHEN</w:t>
            </w:r>
          </w:p>
        </w:tc>
        <w:tc>
          <w:tcPr>
            <w:tcW w:w="3740" w:type="dxa"/>
            <w:vAlign w:val="bottom"/>
          </w:tcPr>
          <w:p>
            <w:pPr>
              <w:jc w:val="center"/>
              <w:ind w:right="639"/>
              <w:spacing w:after="0"/>
              <w:rPr>
                <w:sz w:val="20"/>
                <w:szCs w:val="20"/>
                <w:color w:val="auto"/>
              </w:rPr>
            </w:pPr>
            <w:r>
              <w:rPr>
                <w:rFonts w:ascii="Arial" w:cs="Arial" w:eastAsia="Arial" w:hAnsi="Arial"/>
                <w:sz w:val="20"/>
                <w:szCs w:val="20"/>
                <w:b w:val="1"/>
                <w:bCs w:val="1"/>
                <w:color w:val="D52B1E"/>
                <w:w w:val="99"/>
              </w:rPr>
              <w:t>WHERE</w:t>
            </w:r>
          </w:p>
        </w:tc>
        <w:tc>
          <w:tcPr>
            <w:tcW w:w="1700" w:type="dxa"/>
            <w:vAlign w:val="bottom"/>
          </w:tcPr>
          <w:p>
            <w:pPr>
              <w:jc w:val="center"/>
              <w:ind w:right="11"/>
              <w:spacing w:after="0"/>
              <w:rPr>
                <w:sz w:val="20"/>
                <w:szCs w:val="20"/>
                <w:color w:val="auto"/>
              </w:rPr>
            </w:pPr>
            <w:r>
              <w:rPr>
                <w:rFonts w:ascii="Arial" w:cs="Arial" w:eastAsia="Arial" w:hAnsi="Arial"/>
                <w:sz w:val="20"/>
                <w:szCs w:val="20"/>
                <w:b w:val="1"/>
                <w:bCs w:val="1"/>
                <w:color w:val="D52B1E"/>
                <w:w w:val="98"/>
              </w:rPr>
              <w:t>RECORD DATE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89"/>
        </w:trPr>
        <w:tc>
          <w:tcPr>
            <w:tcW w:w="640" w:type="dxa"/>
            <w:vAlign w:val="bottom"/>
          </w:tcPr>
          <w:p>
            <w:pPr>
              <w:spacing w:after="0"/>
              <w:rPr>
                <w:sz w:val="16"/>
                <w:szCs w:val="16"/>
                <w:color w:val="auto"/>
              </w:rPr>
            </w:pPr>
          </w:p>
        </w:tc>
        <w:tc>
          <w:tcPr>
            <w:tcW w:w="2400" w:type="dxa"/>
            <w:vAlign w:val="bottom"/>
          </w:tcPr>
          <w:p>
            <w:pPr>
              <w:jc w:val="center"/>
              <w:ind w:right="552"/>
              <w:spacing w:after="0"/>
              <w:rPr>
                <w:sz w:val="20"/>
                <w:szCs w:val="20"/>
                <w:color w:val="auto"/>
              </w:rPr>
            </w:pPr>
            <w:r>
              <w:rPr>
                <w:rFonts w:ascii="Arial" w:cs="Arial" w:eastAsia="Arial" w:hAnsi="Arial"/>
                <w:sz w:val="14"/>
                <w:szCs w:val="14"/>
                <w:b w:val="1"/>
                <w:bCs w:val="1"/>
                <w:color w:val="auto"/>
              </w:rPr>
              <w:t>9:30 a.m. EDT</w:t>
            </w:r>
          </w:p>
        </w:tc>
        <w:tc>
          <w:tcPr>
            <w:tcW w:w="3740" w:type="dxa"/>
            <w:vAlign w:val="bottom"/>
          </w:tcPr>
          <w:p>
            <w:pPr>
              <w:jc w:val="center"/>
              <w:ind w:right="619"/>
              <w:spacing w:after="0"/>
              <w:rPr>
                <w:sz w:val="20"/>
                <w:szCs w:val="20"/>
                <w:color w:val="auto"/>
              </w:rPr>
            </w:pPr>
            <w:r>
              <w:rPr>
                <w:rFonts w:ascii="Arial" w:cs="Arial" w:eastAsia="Arial" w:hAnsi="Arial"/>
                <w:sz w:val="14"/>
                <w:szCs w:val="14"/>
                <w:b w:val="1"/>
                <w:bCs w:val="1"/>
                <w:color w:val="auto"/>
              </w:rPr>
              <w:t>Virtually at www.virtualshareholder</w:t>
            </w:r>
          </w:p>
        </w:tc>
        <w:tc>
          <w:tcPr>
            <w:tcW w:w="1700" w:type="dxa"/>
            <w:vAlign w:val="bottom"/>
          </w:tcPr>
          <w:p>
            <w:pPr>
              <w:jc w:val="center"/>
              <w:ind w:right="31"/>
              <w:spacing w:after="0"/>
              <w:rPr>
                <w:sz w:val="20"/>
                <w:szCs w:val="20"/>
                <w:color w:val="auto"/>
              </w:rPr>
            </w:pPr>
            <w:r>
              <w:rPr>
                <w:rFonts w:ascii="Arial" w:cs="Arial" w:eastAsia="Arial" w:hAnsi="Arial"/>
                <w:sz w:val="14"/>
                <w:szCs w:val="14"/>
                <w:b w:val="1"/>
                <w:bCs w:val="1"/>
                <w:color w:val="auto"/>
              </w:rPr>
              <w:t>February 25, 2026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640" w:type="dxa"/>
            <w:vAlign w:val="bottom"/>
          </w:tcPr>
          <w:p>
            <w:pPr>
              <w:spacing w:after="0"/>
              <w:rPr>
                <w:sz w:val="17"/>
                <w:szCs w:val="17"/>
                <w:color w:val="auto"/>
              </w:rPr>
            </w:pPr>
          </w:p>
        </w:tc>
        <w:tc>
          <w:tcPr>
            <w:tcW w:w="2400" w:type="dxa"/>
            <w:vAlign w:val="bottom"/>
          </w:tcPr>
          <w:p>
            <w:pPr>
              <w:jc w:val="center"/>
              <w:ind w:right="552"/>
              <w:spacing w:after="0"/>
              <w:rPr>
                <w:sz w:val="20"/>
                <w:szCs w:val="20"/>
                <w:color w:val="auto"/>
              </w:rPr>
            </w:pPr>
            <w:r>
              <w:rPr>
                <w:rFonts w:ascii="Arial" w:cs="Arial" w:eastAsia="Arial" w:hAnsi="Arial"/>
                <w:sz w:val="14"/>
                <w:szCs w:val="14"/>
                <w:b w:val="1"/>
                <w:bCs w:val="1"/>
                <w:color w:val="auto"/>
              </w:rPr>
              <w:t>Monday, May 4, 2026</w:t>
            </w:r>
          </w:p>
        </w:tc>
        <w:tc>
          <w:tcPr>
            <w:tcW w:w="3740" w:type="dxa"/>
            <w:vAlign w:val="bottom"/>
          </w:tcPr>
          <w:p>
            <w:pPr>
              <w:jc w:val="center"/>
              <w:ind w:right="639"/>
              <w:spacing w:after="0"/>
              <w:rPr>
                <w:sz w:val="20"/>
                <w:szCs w:val="20"/>
                <w:color w:val="auto"/>
              </w:rPr>
            </w:pPr>
            <w:r>
              <w:rPr>
                <w:rFonts w:ascii="Arial" w:cs="Arial" w:eastAsia="Arial" w:hAnsi="Arial"/>
                <w:sz w:val="14"/>
                <w:szCs w:val="14"/>
                <w:b w:val="1"/>
                <w:bCs w:val="1"/>
                <w:color w:val="auto"/>
              </w:rPr>
              <w:t>meeting.com/LLY2026</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24"/>
        </w:trPr>
        <w:tc>
          <w:tcPr>
            <w:tcW w:w="640" w:type="dxa"/>
            <w:vAlign w:val="bottom"/>
            <w:tcBorders>
              <w:bottom w:val="single" w:sz="8" w:color="6D6D6D"/>
            </w:tcBorders>
          </w:tcPr>
          <w:p>
            <w:pPr>
              <w:spacing w:after="0"/>
              <w:rPr>
                <w:sz w:val="10"/>
                <w:szCs w:val="10"/>
                <w:color w:val="auto"/>
              </w:rPr>
            </w:pPr>
          </w:p>
        </w:tc>
        <w:tc>
          <w:tcPr>
            <w:tcW w:w="2400" w:type="dxa"/>
            <w:vAlign w:val="bottom"/>
            <w:tcBorders>
              <w:bottom w:val="single" w:sz="8" w:color="6D6D6D"/>
            </w:tcBorders>
          </w:tcPr>
          <w:p>
            <w:pPr>
              <w:spacing w:after="0"/>
              <w:rPr>
                <w:sz w:val="10"/>
                <w:szCs w:val="10"/>
                <w:color w:val="auto"/>
              </w:rPr>
            </w:pPr>
          </w:p>
        </w:tc>
        <w:tc>
          <w:tcPr>
            <w:tcW w:w="3740" w:type="dxa"/>
            <w:vAlign w:val="bottom"/>
            <w:tcBorders>
              <w:bottom w:val="single" w:sz="8" w:color="6D6D6D"/>
            </w:tcBorders>
          </w:tcPr>
          <w:p>
            <w:pPr>
              <w:spacing w:after="0"/>
              <w:rPr>
                <w:sz w:val="10"/>
                <w:szCs w:val="10"/>
                <w:color w:val="auto"/>
              </w:rPr>
            </w:pPr>
          </w:p>
        </w:tc>
        <w:tc>
          <w:tcPr>
            <w:tcW w:w="1700" w:type="dxa"/>
            <w:vAlign w:val="bottom"/>
            <w:tcBorders>
              <w:bottom w:val="single" w:sz="8" w:color="6D6D6D"/>
            </w:tcBorders>
          </w:tcPr>
          <w:p>
            <w:pPr>
              <w:spacing w:after="0"/>
              <w:rPr>
                <w:sz w:val="10"/>
                <w:szCs w:val="10"/>
                <w:color w:val="auto"/>
              </w:rPr>
            </w:pPr>
          </w:p>
        </w:tc>
        <w:tc>
          <w:tcPr>
            <w:tcW w:w="200" w:type="dxa"/>
            <w:vAlign w:val="bottom"/>
            <w:tcBorders>
              <w:bottom w:val="single" w:sz="8" w:color="6D6D6D"/>
            </w:tcBorders>
          </w:tcPr>
          <w:p>
            <w:pPr>
              <w:spacing w:after="0"/>
              <w:rPr>
                <w:sz w:val="10"/>
                <w:szCs w:val="10"/>
                <w:color w:val="auto"/>
              </w:rPr>
            </w:pPr>
          </w:p>
        </w:tc>
        <w:tc>
          <w:tcPr>
            <w:tcW w:w="200" w:type="dxa"/>
            <w:vAlign w:val="bottom"/>
            <w:tcBorders>
              <w:bottom w:val="single" w:sz="8" w:color="6D6D6D"/>
            </w:tcBorders>
          </w:tcPr>
          <w:p>
            <w:pPr>
              <w:spacing w:after="0"/>
              <w:rPr>
                <w:sz w:val="10"/>
                <w:szCs w:val="10"/>
                <w:color w:val="auto"/>
              </w:rPr>
            </w:pPr>
          </w:p>
        </w:tc>
        <w:tc>
          <w:tcPr>
            <w:tcW w:w="200" w:type="dxa"/>
            <w:vAlign w:val="bottom"/>
            <w:tcBorders>
              <w:bottom w:val="single" w:sz="8" w:color="6D6D6D"/>
            </w:tcBorders>
          </w:tcPr>
          <w:p>
            <w:pPr>
              <w:spacing w:after="0"/>
              <w:rPr>
                <w:sz w:val="10"/>
                <w:szCs w:val="10"/>
                <w:color w:val="auto"/>
              </w:rPr>
            </w:pPr>
          </w:p>
        </w:tc>
      </w:tr>
      <w:tr>
        <w:trPr>
          <w:trHeight w:val="218"/>
        </w:trPr>
        <w:tc>
          <w:tcPr>
            <w:tcW w:w="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7"/>
              </w:rPr>
              <w:t>Board Vote</w:t>
            </w:r>
          </w:p>
        </w:tc>
        <w:tc>
          <w:tcPr>
            <w:tcW w:w="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See</w:t>
            </w:r>
          </w:p>
        </w:tc>
      </w:tr>
      <w:tr>
        <w:trPr>
          <w:trHeight w:val="255"/>
        </w:trPr>
        <w:tc>
          <w:tcPr>
            <w:tcW w:w="3040" w:type="dxa"/>
            <w:vAlign w:val="bottom"/>
            <w:tcBorders>
              <w:bottom w:val="single" w:sz="8" w:color="6D6D6D"/>
            </w:tcBorders>
            <w:gridSpan w:val="2"/>
          </w:tcPr>
          <w:p>
            <w:pPr>
              <w:ind w:left="20"/>
              <w:spacing w:after="0"/>
              <w:rPr>
                <w:sz w:val="20"/>
                <w:szCs w:val="20"/>
                <w:color w:val="auto"/>
              </w:rPr>
            </w:pPr>
            <w:r>
              <w:rPr>
                <w:rFonts w:ascii="Arial" w:cs="Arial" w:eastAsia="Arial" w:hAnsi="Arial"/>
                <w:sz w:val="18"/>
                <w:szCs w:val="18"/>
                <w:b w:val="1"/>
                <w:bCs w:val="1"/>
                <w:color w:val="auto"/>
              </w:rPr>
              <w:t>Items of Business</w:t>
            </w:r>
          </w:p>
        </w:tc>
        <w:tc>
          <w:tcPr>
            <w:tcW w:w="3740" w:type="dxa"/>
            <w:vAlign w:val="bottom"/>
            <w:tcBorders>
              <w:bottom w:val="single" w:sz="8" w:color="6D6D6D"/>
            </w:tcBorders>
          </w:tcPr>
          <w:p>
            <w:pPr>
              <w:spacing w:after="0"/>
              <w:rPr>
                <w:sz w:val="22"/>
                <w:szCs w:val="22"/>
                <w:color w:val="auto"/>
              </w:rPr>
            </w:pPr>
          </w:p>
        </w:tc>
        <w:tc>
          <w:tcPr>
            <w:tcW w:w="1700" w:type="dxa"/>
            <w:vAlign w:val="bottom"/>
            <w:tcBorders>
              <w:bottom w:val="single" w:sz="8" w:color="6D6D6D"/>
            </w:tcBorders>
          </w:tcPr>
          <w:p>
            <w:pPr>
              <w:jc w:val="center"/>
              <w:spacing w:after="0"/>
              <w:rPr>
                <w:sz w:val="20"/>
                <w:szCs w:val="20"/>
                <w:color w:val="auto"/>
              </w:rPr>
            </w:pPr>
            <w:r>
              <w:rPr>
                <w:rFonts w:ascii="Arial" w:cs="Arial" w:eastAsia="Arial" w:hAnsi="Arial"/>
                <w:sz w:val="18"/>
                <w:szCs w:val="18"/>
                <w:b w:val="1"/>
                <w:bCs w:val="1"/>
                <w:color w:val="auto"/>
                <w:w w:val="99"/>
              </w:rPr>
              <w:t>Recommendation</w:t>
            </w:r>
          </w:p>
        </w:tc>
        <w:tc>
          <w:tcPr>
            <w:tcW w:w="600" w:type="dxa"/>
            <w:vAlign w:val="bottom"/>
            <w:tcBorders>
              <w:bottom w:val="single" w:sz="8" w:color="6D6D6D"/>
            </w:tcBorders>
            <w:gridSpan w:val="3"/>
          </w:tcPr>
          <w:p>
            <w:pPr>
              <w:jc w:val="center"/>
              <w:spacing w:after="0"/>
              <w:rPr>
                <w:sz w:val="20"/>
                <w:szCs w:val="20"/>
                <w:color w:val="auto"/>
              </w:rPr>
            </w:pPr>
            <w:r>
              <w:rPr>
                <w:rFonts w:ascii="Arial" w:cs="Arial" w:eastAsia="Arial" w:hAnsi="Arial"/>
                <w:sz w:val="18"/>
                <w:szCs w:val="18"/>
                <w:b w:val="1"/>
                <w:bCs w:val="1"/>
                <w:color w:val="auto"/>
              </w:rPr>
              <w:t>Page</w:t>
            </w:r>
          </w:p>
        </w:tc>
      </w:tr>
      <w:tr>
        <w:trPr>
          <w:trHeight w:val="203"/>
        </w:trPr>
        <w:tc>
          <w:tcPr>
            <w:tcW w:w="6780" w:type="dxa"/>
            <w:vAlign w:val="bottom"/>
            <w:gridSpan w:val="3"/>
            <w:shd w:val="clear" w:color="auto" w:fill="F2F2F2"/>
          </w:tcPr>
          <w:p>
            <w:pPr>
              <w:ind w:left="20"/>
              <w:spacing w:after="0" w:line="202" w:lineRule="exact"/>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Election of each of the four director nominees to serve three-year terms</w:t>
            </w:r>
          </w:p>
        </w:tc>
        <w:tc>
          <w:tcPr>
            <w:tcW w:w="1700" w:type="dxa"/>
            <w:vAlign w:val="bottom"/>
            <w:shd w:val="clear" w:color="auto" w:fill="F2F2F2"/>
          </w:tcPr>
          <w:p>
            <w:pPr>
              <w:jc w:val="center"/>
              <w:spacing w:after="0" w:line="202" w:lineRule="exact"/>
              <w:rPr>
                <w:sz w:val="20"/>
                <w:szCs w:val="20"/>
                <w:color w:val="auto"/>
              </w:rPr>
            </w:pPr>
            <w:r>
              <w:rPr>
                <w:rFonts w:ascii="Arial" w:cs="Arial" w:eastAsia="Arial" w:hAnsi="Arial"/>
                <w:sz w:val="18"/>
                <w:szCs w:val="18"/>
                <w:color w:val="auto"/>
                <w:w w:val="99"/>
              </w:rPr>
              <w:t>FOR each nominee</w:t>
            </w:r>
          </w:p>
        </w:tc>
        <w:tc>
          <w:tcPr>
            <w:tcW w:w="600" w:type="dxa"/>
            <w:vAlign w:val="bottom"/>
            <w:gridSpan w:val="3"/>
            <w:shd w:val="clear" w:color="auto" w:fill="F2F2F2"/>
          </w:tcPr>
          <w:p>
            <w:pPr>
              <w:jc w:val="center"/>
              <w:spacing w:after="0" w:line="202" w:lineRule="exact"/>
              <w:rPr>
                <w:sz w:val="20"/>
                <w:szCs w:val="20"/>
                <w:color w:val="auto"/>
              </w:rPr>
            </w:pPr>
            <w:r>
              <w:rPr>
                <w:rFonts w:ascii="Arial" w:cs="Arial" w:eastAsia="Arial" w:hAnsi="Arial"/>
                <w:sz w:val="18"/>
                <w:szCs w:val="18"/>
                <w:color w:val="0000FF"/>
                <w:w w:val="99"/>
              </w:rPr>
              <w:t>10</w:t>
            </w:r>
          </w:p>
        </w:tc>
      </w:tr>
      <w:tr>
        <w:trPr>
          <w:trHeight w:val="75"/>
        </w:trPr>
        <w:tc>
          <w:tcPr>
            <w:tcW w:w="640" w:type="dxa"/>
            <w:vAlign w:val="bottom"/>
            <w:tcBorders>
              <w:top w:val="single" w:sz="8" w:color="F2F2F2"/>
            </w:tcBorders>
            <w:shd w:val="clear" w:color="auto" w:fill="F2F2F2"/>
          </w:tcPr>
          <w:p>
            <w:pPr>
              <w:spacing w:after="0"/>
              <w:rPr>
                <w:sz w:val="6"/>
                <w:szCs w:val="6"/>
                <w:color w:val="auto"/>
              </w:rPr>
            </w:pPr>
          </w:p>
        </w:tc>
        <w:tc>
          <w:tcPr>
            <w:tcW w:w="2400" w:type="dxa"/>
            <w:vAlign w:val="bottom"/>
            <w:tcBorders>
              <w:top w:val="single" w:sz="8" w:color="F2F2F2"/>
            </w:tcBorders>
            <w:shd w:val="clear" w:color="auto" w:fill="F2F2F2"/>
          </w:tcPr>
          <w:p>
            <w:pPr>
              <w:spacing w:after="0"/>
              <w:rPr>
                <w:sz w:val="6"/>
                <w:szCs w:val="6"/>
                <w:color w:val="auto"/>
              </w:rPr>
            </w:pPr>
          </w:p>
        </w:tc>
        <w:tc>
          <w:tcPr>
            <w:tcW w:w="3740" w:type="dxa"/>
            <w:vAlign w:val="bottom"/>
            <w:tcBorders>
              <w:top w:val="single" w:sz="8" w:color="F2F2F2"/>
            </w:tcBorders>
            <w:shd w:val="clear" w:color="auto" w:fill="F2F2F2"/>
          </w:tcPr>
          <w:p>
            <w:pPr>
              <w:spacing w:after="0"/>
              <w:rPr>
                <w:sz w:val="6"/>
                <w:szCs w:val="6"/>
                <w:color w:val="auto"/>
              </w:rPr>
            </w:pPr>
          </w:p>
        </w:tc>
        <w:tc>
          <w:tcPr>
            <w:tcW w:w="1700" w:type="dxa"/>
            <w:vAlign w:val="bottom"/>
            <w:tcBorders>
              <w:top w:val="single" w:sz="8" w:color="F2F2F2"/>
            </w:tcBorders>
            <w:shd w:val="clear" w:color="auto" w:fill="F2F2F2"/>
          </w:tcPr>
          <w:p>
            <w:pPr>
              <w:spacing w:after="0"/>
              <w:rPr>
                <w:sz w:val="6"/>
                <w:szCs w:val="6"/>
                <w:color w:val="auto"/>
              </w:rPr>
            </w:pPr>
          </w:p>
        </w:tc>
        <w:tc>
          <w:tcPr>
            <w:tcW w:w="200" w:type="dxa"/>
            <w:vAlign w:val="bottom"/>
            <w:tcBorders>
              <w:top w:val="single" w:sz="8" w:color="F2F2F2"/>
            </w:tcBorders>
            <w:shd w:val="clear" w:color="auto" w:fill="F2F2F2"/>
          </w:tcPr>
          <w:p>
            <w:pPr>
              <w:spacing w:after="0"/>
              <w:rPr>
                <w:sz w:val="6"/>
                <w:szCs w:val="6"/>
                <w:color w:val="auto"/>
              </w:rPr>
            </w:pPr>
          </w:p>
        </w:tc>
        <w:tc>
          <w:tcPr>
            <w:tcW w:w="200" w:type="dxa"/>
            <w:vAlign w:val="bottom"/>
            <w:tcBorders>
              <w:top w:val="single" w:sz="8" w:color="0000FF"/>
            </w:tcBorders>
            <w:shd w:val="clear" w:color="auto" w:fill="F2F2F2"/>
          </w:tcPr>
          <w:p>
            <w:pPr>
              <w:spacing w:after="0"/>
              <w:rPr>
                <w:sz w:val="6"/>
                <w:szCs w:val="6"/>
                <w:color w:val="auto"/>
              </w:rPr>
            </w:pPr>
          </w:p>
        </w:tc>
        <w:tc>
          <w:tcPr>
            <w:tcW w:w="200" w:type="dxa"/>
            <w:vAlign w:val="bottom"/>
            <w:tcBorders>
              <w:top w:val="single" w:sz="8" w:color="F2F2F2"/>
            </w:tcBorders>
            <w:shd w:val="clear" w:color="auto" w:fill="F2F2F2"/>
          </w:tcPr>
          <w:p>
            <w:pPr>
              <w:spacing w:after="0"/>
              <w:rPr>
                <w:sz w:val="6"/>
                <w:szCs w:val="6"/>
                <w:color w:val="auto"/>
              </w:rPr>
            </w:pPr>
          </w:p>
        </w:tc>
      </w:tr>
      <w:tr>
        <w:trPr>
          <w:trHeight w:val="203"/>
        </w:trPr>
        <w:tc>
          <w:tcPr>
            <w:tcW w:w="67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Approval, on an advisory basis, of the compensation paid to the company’s</w:t>
            </w: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FOR</w:t>
            </w:r>
          </w:p>
        </w:tc>
        <w:tc>
          <w:tcPr>
            <w:tcW w:w="600" w:type="dxa"/>
            <w:vAlign w:val="bottom"/>
            <w:gridSpan w:val="3"/>
          </w:tcPr>
          <w:p>
            <w:pPr>
              <w:jc w:val="center"/>
              <w:spacing w:after="0" w:line="202" w:lineRule="exact"/>
              <w:rPr>
                <w:sz w:val="20"/>
                <w:szCs w:val="20"/>
                <w:color w:val="auto"/>
              </w:rPr>
            </w:pPr>
            <w:r>
              <w:rPr>
                <w:rFonts w:ascii="Arial" w:cs="Arial" w:eastAsia="Arial" w:hAnsi="Arial"/>
                <w:sz w:val="18"/>
                <w:szCs w:val="18"/>
                <w:color w:val="0000FF"/>
                <w:w w:val="99"/>
              </w:rPr>
              <w:t>44</w:t>
            </w:r>
          </w:p>
        </w:tc>
      </w:tr>
      <w:tr>
        <w:trPr>
          <w:trHeight w:val="241"/>
        </w:trPr>
        <w:tc>
          <w:tcPr>
            <w:tcW w:w="64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named executive officers</w:t>
            </w:r>
          </w:p>
        </w:tc>
        <w:tc>
          <w:tcPr>
            <w:tcW w:w="3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r>
      <w:tr>
        <w:trPr>
          <w:trHeight w:val="23"/>
        </w:trPr>
        <w:tc>
          <w:tcPr>
            <w:tcW w:w="6780" w:type="dxa"/>
            <w:vAlign w:val="bottom"/>
            <w:gridSpan w:val="3"/>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6780" w:type="dxa"/>
            <w:vAlign w:val="bottom"/>
            <w:gridSpan w:val="3"/>
            <w:shd w:val="clear" w:color="auto" w:fill="F2F2F2"/>
          </w:tcPr>
          <w:p>
            <w:pPr>
              <w:ind w:left="20"/>
              <w:spacing w:after="0" w:line="202" w:lineRule="exact"/>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Ratification of the appointment of Ernst &amp; Young LLP as the independent</w:t>
            </w:r>
          </w:p>
        </w:tc>
        <w:tc>
          <w:tcPr>
            <w:tcW w:w="1700" w:type="dxa"/>
            <w:vAlign w:val="bottom"/>
            <w:shd w:val="clear" w:color="auto" w:fill="F2F2F2"/>
          </w:tcPr>
          <w:p>
            <w:pPr>
              <w:jc w:val="center"/>
              <w:spacing w:after="0" w:line="202" w:lineRule="exact"/>
              <w:rPr>
                <w:sz w:val="20"/>
                <w:szCs w:val="20"/>
                <w:color w:val="auto"/>
              </w:rPr>
            </w:pPr>
            <w:r>
              <w:rPr>
                <w:rFonts w:ascii="Arial" w:cs="Arial" w:eastAsia="Arial" w:hAnsi="Arial"/>
                <w:sz w:val="18"/>
                <w:szCs w:val="18"/>
                <w:color w:val="auto"/>
                <w:w w:val="99"/>
              </w:rPr>
              <w:t>FOR</w:t>
            </w:r>
          </w:p>
        </w:tc>
        <w:tc>
          <w:tcPr>
            <w:tcW w:w="600" w:type="dxa"/>
            <w:vAlign w:val="bottom"/>
            <w:gridSpan w:val="3"/>
            <w:shd w:val="clear" w:color="auto" w:fill="F2F2F2"/>
          </w:tcPr>
          <w:p>
            <w:pPr>
              <w:jc w:val="center"/>
              <w:spacing w:after="0" w:line="202" w:lineRule="exact"/>
              <w:rPr>
                <w:sz w:val="20"/>
                <w:szCs w:val="20"/>
                <w:color w:val="auto"/>
              </w:rPr>
            </w:pPr>
            <w:r>
              <w:rPr>
                <w:rFonts w:ascii="Arial" w:cs="Arial" w:eastAsia="Arial" w:hAnsi="Arial"/>
                <w:sz w:val="18"/>
                <w:szCs w:val="18"/>
                <w:color w:val="0000FF"/>
                <w:w w:val="99"/>
              </w:rPr>
              <w:t>71</w:t>
            </w:r>
          </w:p>
        </w:tc>
      </w:tr>
      <w:tr>
        <w:trPr>
          <w:trHeight w:val="243"/>
        </w:trPr>
        <w:tc>
          <w:tcPr>
            <w:tcW w:w="640" w:type="dxa"/>
            <w:vAlign w:val="bottom"/>
            <w:tcBorders>
              <w:top w:val="single" w:sz="8" w:color="F2F2F2"/>
              <w:bottom w:val="single" w:sz="8" w:color="F2F2F2"/>
            </w:tcBorders>
            <w:shd w:val="clear" w:color="auto" w:fill="F2F2F2"/>
          </w:tcPr>
          <w:p>
            <w:pPr>
              <w:spacing w:after="0"/>
              <w:rPr>
                <w:sz w:val="21"/>
                <w:szCs w:val="21"/>
                <w:color w:val="auto"/>
              </w:rPr>
            </w:pPr>
          </w:p>
        </w:tc>
        <w:tc>
          <w:tcPr>
            <w:tcW w:w="2400" w:type="dxa"/>
            <w:vAlign w:val="bottom"/>
            <w:tcBorders>
              <w:top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8"/>
                <w:szCs w:val="18"/>
                <w:color w:val="auto"/>
              </w:rPr>
              <w:t>auditor for 2026</w:t>
            </w:r>
          </w:p>
        </w:tc>
        <w:tc>
          <w:tcPr>
            <w:tcW w:w="3740" w:type="dxa"/>
            <w:vAlign w:val="bottom"/>
            <w:tcBorders>
              <w:top w:val="single" w:sz="8" w:color="F2F2F2"/>
              <w:bottom w:val="single" w:sz="8" w:color="F2F2F2"/>
            </w:tcBorders>
            <w:shd w:val="clear" w:color="auto" w:fill="F2F2F2"/>
          </w:tcPr>
          <w:p>
            <w:pPr>
              <w:spacing w:after="0"/>
              <w:rPr>
                <w:sz w:val="21"/>
                <w:szCs w:val="21"/>
                <w:color w:val="auto"/>
              </w:rPr>
            </w:pPr>
          </w:p>
        </w:tc>
        <w:tc>
          <w:tcPr>
            <w:tcW w:w="1700" w:type="dxa"/>
            <w:vAlign w:val="bottom"/>
            <w:tcBorders>
              <w:top w:val="single" w:sz="8" w:color="F2F2F2"/>
              <w:bottom w:val="single" w:sz="8" w:color="F2F2F2"/>
            </w:tcBorders>
            <w:shd w:val="clear" w:color="auto" w:fill="F2F2F2"/>
          </w:tcPr>
          <w:p>
            <w:pPr>
              <w:spacing w:after="0"/>
              <w:rPr>
                <w:sz w:val="21"/>
                <w:szCs w:val="21"/>
                <w:color w:val="auto"/>
              </w:rPr>
            </w:pPr>
          </w:p>
        </w:tc>
        <w:tc>
          <w:tcPr>
            <w:tcW w:w="200" w:type="dxa"/>
            <w:vAlign w:val="bottom"/>
            <w:tcBorders>
              <w:top w:val="single" w:sz="8" w:color="F2F2F2"/>
              <w:bottom w:val="single" w:sz="8" w:color="F2F2F2"/>
            </w:tcBorders>
            <w:shd w:val="clear" w:color="auto" w:fill="F2F2F2"/>
          </w:tcPr>
          <w:p>
            <w:pPr>
              <w:spacing w:after="0"/>
              <w:rPr>
                <w:sz w:val="21"/>
                <w:szCs w:val="21"/>
                <w:color w:val="auto"/>
              </w:rPr>
            </w:pPr>
          </w:p>
        </w:tc>
        <w:tc>
          <w:tcPr>
            <w:tcW w:w="200" w:type="dxa"/>
            <w:vAlign w:val="bottom"/>
            <w:tcBorders>
              <w:top w:val="single" w:sz="8" w:color="0000FF"/>
              <w:bottom w:val="single" w:sz="8" w:color="F2F2F2"/>
            </w:tcBorders>
            <w:shd w:val="clear" w:color="auto" w:fill="F2F2F2"/>
          </w:tcPr>
          <w:p>
            <w:pPr>
              <w:spacing w:after="0"/>
              <w:rPr>
                <w:sz w:val="21"/>
                <w:szCs w:val="21"/>
                <w:color w:val="auto"/>
              </w:rPr>
            </w:pPr>
          </w:p>
        </w:tc>
        <w:tc>
          <w:tcPr>
            <w:tcW w:w="200" w:type="dxa"/>
            <w:vAlign w:val="bottom"/>
            <w:tcBorders>
              <w:top w:val="single" w:sz="8" w:color="F2F2F2"/>
              <w:bottom w:val="single" w:sz="8" w:color="F2F2F2"/>
            </w:tcBorders>
            <w:shd w:val="clear" w:color="auto" w:fill="F2F2F2"/>
          </w:tcPr>
          <w:p>
            <w:pPr>
              <w:spacing w:after="0"/>
              <w:rPr>
                <w:sz w:val="21"/>
                <w:szCs w:val="21"/>
                <w:color w:val="auto"/>
              </w:rPr>
            </w:pPr>
          </w:p>
        </w:tc>
      </w:tr>
      <w:tr>
        <w:trPr>
          <w:trHeight w:val="203"/>
        </w:trPr>
        <w:tc>
          <w:tcPr>
            <w:tcW w:w="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Item 4</w:t>
            </w:r>
          </w:p>
        </w:tc>
        <w:tc>
          <w:tcPr>
            <w:tcW w:w="61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Approval of amendments to the company’s articles of incorporation to</w:t>
            </w: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FOR</w:t>
            </w:r>
          </w:p>
        </w:tc>
        <w:tc>
          <w:tcPr>
            <w:tcW w:w="600" w:type="dxa"/>
            <w:vAlign w:val="bottom"/>
            <w:gridSpan w:val="3"/>
          </w:tcPr>
          <w:p>
            <w:pPr>
              <w:jc w:val="center"/>
              <w:spacing w:after="0" w:line="202" w:lineRule="exact"/>
              <w:rPr>
                <w:sz w:val="20"/>
                <w:szCs w:val="20"/>
                <w:color w:val="auto"/>
              </w:rPr>
            </w:pPr>
            <w:r>
              <w:rPr>
                <w:rFonts w:ascii="Arial" w:cs="Arial" w:eastAsia="Arial" w:hAnsi="Arial"/>
                <w:sz w:val="18"/>
                <w:szCs w:val="18"/>
                <w:color w:val="0000FF"/>
                <w:w w:val="99"/>
              </w:rPr>
              <w:t>74</w:t>
            </w:r>
          </w:p>
        </w:tc>
      </w:tr>
      <w:tr>
        <w:trPr>
          <w:trHeight w:val="241"/>
        </w:trPr>
        <w:tc>
          <w:tcPr>
            <w:tcW w:w="640" w:type="dxa"/>
            <w:vAlign w:val="bottom"/>
          </w:tcPr>
          <w:p>
            <w:pPr>
              <w:spacing w:after="0"/>
              <w:rPr>
                <w:sz w:val="20"/>
                <w:szCs w:val="20"/>
                <w:color w:val="auto"/>
              </w:rPr>
            </w:pPr>
          </w:p>
        </w:tc>
        <w:tc>
          <w:tcPr>
            <w:tcW w:w="6140" w:type="dxa"/>
            <w:vAlign w:val="bottom"/>
            <w:gridSpan w:val="2"/>
          </w:tcPr>
          <w:p>
            <w:pPr>
              <w:ind w:left="80"/>
              <w:spacing w:after="0"/>
              <w:rPr>
                <w:sz w:val="20"/>
                <w:szCs w:val="20"/>
                <w:color w:val="auto"/>
              </w:rPr>
            </w:pPr>
            <w:r>
              <w:rPr>
                <w:rFonts w:ascii="Arial" w:cs="Arial" w:eastAsia="Arial" w:hAnsi="Arial"/>
                <w:sz w:val="18"/>
                <w:szCs w:val="18"/>
                <w:color w:val="auto"/>
              </w:rPr>
              <w:t>eliminate the classified board structure</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r>
      <w:tr>
        <w:trPr>
          <w:trHeight w:val="23"/>
        </w:trPr>
        <w:tc>
          <w:tcPr>
            <w:tcW w:w="640" w:type="dxa"/>
            <w:vAlign w:val="bottom"/>
          </w:tcPr>
          <w:p>
            <w:pPr>
              <w:spacing w:after="0"/>
              <w:rPr>
                <w:sz w:val="2"/>
                <w:szCs w:val="2"/>
                <w:color w:val="auto"/>
              </w:rPr>
            </w:pPr>
          </w:p>
        </w:tc>
        <w:tc>
          <w:tcPr>
            <w:tcW w:w="614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64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b w:val="1"/>
                <w:bCs w:val="1"/>
                <w:color w:val="auto"/>
              </w:rPr>
              <w:t>Item 5</w:t>
            </w:r>
          </w:p>
        </w:tc>
        <w:tc>
          <w:tcPr>
            <w:tcW w:w="6140" w:type="dxa"/>
            <w:vAlign w:val="bottom"/>
            <w:gridSpan w:val="2"/>
            <w:shd w:val="clear" w:color="auto" w:fill="F2F2F2"/>
          </w:tcPr>
          <w:p>
            <w:pPr>
              <w:ind w:left="80"/>
              <w:spacing w:after="0" w:line="202" w:lineRule="exact"/>
              <w:rPr>
                <w:sz w:val="20"/>
                <w:szCs w:val="20"/>
                <w:color w:val="auto"/>
              </w:rPr>
            </w:pPr>
            <w:r>
              <w:rPr>
                <w:rFonts w:ascii="Arial" w:cs="Arial" w:eastAsia="Arial" w:hAnsi="Arial"/>
                <w:sz w:val="18"/>
                <w:szCs w:val="18"/>
                <w:color w:val="auto"/>
              </w:rPr>
              <w:t>Approval of amendments to the company’s articles of incorporation to</w:t>
            </w:r>
          </w:p>
        </w:tc>
        <w:tc>
          <w:tcPr>
            <w:tcW w:w="1700" w:type="dxa"/>
            <w:vAlign w:val="bottom"/>
            <w:shd w:val="clear" w:color="auto" w:fill="F2F2F2"/>
          </w:tcPr>
          <w:p>
            <w:pPr>
              <w:jc w:val="center"/>
              <w:spacing w:after="0" w:line="202" w:lineRule="exact"/>
              <w:rPr>
                <w:sz w:val="20"/>
                <w:szCs w:val="20"/>
                <w:color w:val="auto"/>
              </w:rPr>
            </w:pPr>
            <w:r>
              <w:rPr>
                <w:rFonts w:ascii="Arial" w:cs="Arial" w:eastAsia="Arial" w:hAnsi="Arial"/>
                <w:sz w:val="18"/>
                <w:szCs w:val="18"/>
                <w:color w:val="auto"/>
                <w:w w:val="99"/>
              </w:rPr>
              <w:t>FOR</w:t>
            </w:r>
          </w:p>
        </w:tc>
        <w:tc>
          <w:tcPr>
            <w:tcW w:w="600" w:type="dxa"/>
            <w:vAlign w:val="bottom"/>
            <w:gridSpan w:val="3"/>
            <w:shd w:val="clear" w:color="auto" w:fill="F2F2F2"/>
          </w:tcPr>
          <w:p>
            <w:pPr>
              <w:jc w:val="center"/>
              <w:spacing w:after="0" w:line="202" w:lineRule="exact"/>
              <w:rPr>
                <w:sz w:val="20"/>
                <w:szCs w:val="20"/>
                <w:color w:val="auto"/>
              </w:rPr>
            </w:pPr>
            <w:r>
              <w:rPr>
                <w:rFonts w:ascii="Arial" w:cs="Arial" w:eastAsia="Arial" w:hAnsi="Arial"/>
                <w:sz w:val="18"/>
                <w:szCs w:val="18"/>
                <w:color w:val="0000FF"/>
                <w:w w:val="99"/>
              </w:rPr>
              <w:t>75</w:t>
            </w:r>
          </w:p>
        </w:tc>
      </w:tr>
      <w:tr>
        <w:trPr>
          <w:trHeight w:val="243"/>
        </w:trPr>
        <w:tc>
          <w:tcPr>
            <w:tcW w:w="640" w:type="dxa"/>
            <w:vAlign w:val="bottom"/>
            <w:tcBorders>
              <w:top w:val="single" w:sz="8" w:color="F2F2F2"/>
              <w:bottom w:val="single" w:sz="8" w:color="F2F2F2"/>
            </w:tcBorders>
            <w:shd w:val="clear" w:color="auto" w:fill="F2F2F2"/>
          </w:tcPr>
          <w:p>
            <w:pPr>
              <w:spacing w:after="0"/>
              <w:rPr>
                <w:sz w:val="21"/>
                <w:szCs w:val="21"/>
                <w:color w:val="auto"/>
              </w:rPr>
            </w:pPr>
          </w:p>
        </w:tc>
        <w:tc>
          <w:tcPr>
            <w:tcW w:w="6140" w:type="dxa"/>
            <w:vAlign w:val="bottom"/>
            <w:tcBorders>
              <w:top w:val="single" w:sz="8" w:color="F2F2F2"/>
              <w:bottom w:val="single" w:sz="8" w:color="F2F2F2"/>
            </w:tcBorders>
            <w:gridSpan w:val="2"/>
            <w:shd w:val="clear" w:color="auto" w:fill="F2F2F2"/>
          </w:tcPr>
          <w:p>
            <w:pPr>
              <w:ind w:left="80"/>
              <w:spacing w:after="0"/>
              <w:rPr>
                <w:sz w:val="20"/>
                <w:szCs w:val="20"/>
                <w:color w:val="auto"/>
              </w:rPr>
            </w:pPr>
            <w:r>
              <w:rPr>
                <w:rFonts w:ascii="Arial" w:cs="Arial" w:eastAsia="Arial" w:hAnsi="Arial"/>
                <w:sz w:val="18"/>
                <w:szCs w:val="18"/>
                <w:color w:val="auto"/>
              </w:rPr>
              <w:t>eliminate supermajority voting provisions</w:t>
            </w:r>
          </w:p>
        </w:tc>
        <w:tc>
          <w:tcPr>
            <w:tcW w:w="1700" w:type="dxa"/>
            <w:vAlign w:val="bottom"/>
            <w:tcBorders>
              <w:top w:val="single" w:sz="8" w:color="F2F2F2"/>
              <w:bottom w:val="single" w:sz="8" w:color="F2F2F2"/>
            </w:tcBorders>
            <w:shd w:val="clear" w:color="auto" w:fill="F2F2F2"/>
          </w:tcPr>
          <w:p>
            <w:pPr>
              <w:spacing w:after="0"/>
              <w:rPr>
                <w:sz w:val="21"/>
                <w:szCs w:val="21"/>
                <w:color w:val="auto"/>
              </w:rPr>
            </w:pPr>
          </w:p>
        </w:tc>
        <w:tc>
          <w:tcPr>
            <w:tcW w:w="200" w:type="dxa"/>
            <w:vAlign w:val="bottom"/>
            <w:tcBorders>
              <w:top w:val="single" w:sz="8" w:color="F2F2F2"/>
              <w:bottom w:val="single" w:sz="8" w:color="F2F2F2"/>
            </w:tcBorders>
            <w:shd w:val="clear" w:color="auto" w:fill="F2F2F2"/>
          </w:tcPr>
          <w:p>
            <w:pPr>
              <w:spacing w:after="0"/>
              <w:rPr>
                <w:sz w:val="21"/>
                <w:szCs w:val="21"/>
                <w:color w:val="auto"/>
              </w:rPr>
            </w:pPr>
          </w:p>
        </w:tc>
        <w:tc>
          <w:tcPr>
            <w:tcW w:w="200" w:type="dxa"/>
            <w:vAlign w:val="bottom"/>
            <w:tcBorders>
              <w:top w:val="single" w:sz="8" w:color="0000FF"/>
              <w:bottom w:val="single" w:sz="8" w:color="F2F2F2"/>
            </w:tcBorders>
            <w:shd w:val="clear" w:color="auto" w:fill="F2F2F2"/>
          </w:tcPr>
          <w:p>
            <w:pPr>
              <w:spacing w:after="0"/>
              <w:rPr>
                <w:sz w:val="21"/>
                <w:szCs w:val="21"/>
                <w:color w:val="auto"/>
              </w:rPr>
            </w:pPr>
          </w:p>
        </w:tc>
        <w:tc>
          <w:tcPr>
            <w:tcW w:w="200" w:type="dxa"/>
            <w:vAlign w:val="bottom"/>
            <w:tcBorders>
              <w:top w:val="single" w:sz="8" w:color="F2F2F2"/>
              <w:bottom w:val="single" w:sz="8" w:color="F2F2F2"/>
            </w:tcBorders>
            <w:shd w:val="clear" w:color="auto" w:fill="F2F2F2"/>
          </w:tcPr>
          <w:p>
            <w:pPr>
              <w:spacing w:after="0"/>
              <w:rPr>
                <w:sz w:val="21"/>
                <w:szCs w:val="21"/>
                <w:color w:val="auto"/>
              </w:rPr>
            </w:pPr>
          </w:p>
        </w:tc>
      </w:tr>
      <w:tr>
        <w:trPr>
          <w:trHeight w:val="203"/>
        </w:trPr>
        <w:tc>
          <w:tcPr>
            <w:tcW w:w="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Item 6</w:t>
            </w:r>
          </w:p>
        </w:tc>
        <w:tc>
          <w:tcPr>
            <w:tcW w:w="61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Shareholder proposal to adopt a policy and amend the bylaws to require an</w:t>
            </w: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Against</w:t>
            </w:r>
          </w:p>
        </w:tc>
        <w:tc>
          <w:tcPr>
            <w:tcW w:w="600" w:type="dxa"/>
            <w:vAlign w:val="bottom"/>
            <w:gridSpan w:val="3"/>
          </w:tcPr>
          <w:p>
            <w:pPr>
              <w:jc w:val="center"/>
              <w:spacing w:after="0" w:line="202" w:lineRule="exact"/>
              <w:rPr>
                <w:sz w:val="20"/>
                <w:szCs w:val="20"/>
                <w:color w:val="auto"/>
              </w:rPr>
            </w:pPr>
            <w:r>
              <w:rPr>
                <w:rFonts w:ascii="Arial" w:cs="Arial" w:eastAsia="Arial" w:hAnsi="Arial"/>
                <w:sz w:val="18"/>
                <w:szCs w:val="18"/>
                <w:color w:val="0000FF"/>
                <w:w w:val="99"/>
              </w:rPr>
              <w:t>77</w:t>
            </w:r>
          </w:p>
        </w:tc>
      </w:tr>
      <w:tr>
        <w:trPr>
          <w:trHeight w:val="240"/>
        </w:trPr>
        <w:tc>
          <w:tcPr>
            <w:tcW w:w="640" w:type="dxa"/>
            <w:vAlign w:val="bottom"/>
          </w:tcPr>
          <w:p>
            <w:pPr>
              <w:spacing w:after="0"/>
              <w:rPr>
                <w:sz w:val="20"/>
                <w:szCs w:val="20"/>
                <w:color w:val="auto"/>
              </w:rPr>
            </w:pPr>
          </w:p>
        </w:tc>
        <w:tc>
          <w:tcPr>
            <w:tcW w:w="2400" w:type="dxa"/>
            <w:vAlign w:val="bottom"/>
          </w:tcPr>
          <w:p>
            <w:pPr>
              <w:ind w:left="80"/>
              <w:spacing w:after="0"/>
              <w:rPr>
                <w:sz w:val="20"/>
                <w:szCs w:val="20"/>
                <w:color w:val="auto"/>
              </w:rPr>
            </w:pPr>
            <w:r>
              <w:rPr>
                <w:rFonts w:ascii="Arial" w:cs="Arial" w:eastAsia="Arial" w:hAnsi="Arial"/>
                <w:sz w:val="18"/>
                <w:szCs w:val="18"/>
                <w:color w:val="auto"/>
              </w:rPr>
              <w:t>independent board chair</w:t>
            </w:r>
          </w:p>
        </w:tc>
        <w:tc>
          <w:tcPr>
            <w:tcW w:w="3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r>
      <w:tr>
        <w:trPr>
          <w:trHeight w:val="23"/>
        </w:trPr>
        <w:tc>
          <w:tcPr>
            <w:tcW w:w="640" w:type="dxa"/>
            <w:vAlign w:val="bottom"/>
          </w:tcPr>
          <w:p>
            <w:pPr>
              <w:spacing w:after="0"/>
              <w:rPr>
                <w:sz w:val="2"/>
                <w:szCs w:val="2"/>
                <w:color w:val="auto"/>
              </w:rPr>
            </w:pPr>
          </w:p>
        </w:tc>
        <w:tc>
          <w:tcPr>
            <w:tcW w:w="614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640" w:type="dxa"/>
            <w:vAlign w:val="bottom"/>
            <w:shd w:val="clear" w:color="auto" w:fill="F2F2F2"/>
          </w:tcPr>
          <w:p>
            <w:pPr>
              <w:ind w:left="20"/>
              <w:spacing w:after="0" w:line="202" w:lineRule="exact"/>
              <w:rPr>
                <w:sz w:val="20"/>
                <w:szCs w:val="20"/>
                <w:color w:val="auto"/>
              </w:rPr>
            </w:pPr>
            <w:r>
              <w:rPr>
                <w:rFonts w:ascii="Arial" w:cs="Arial" w:eastAsia="Arial" w:hAnsi="Arial"/>
                <w:sz w:val="18"/>
                <w:szCs w:val="18"/>
                <w:b w:val="1"/>
                <w:bCs w:val="1"/>
                <w:color w:val="auto"/>
              </w:rPr>
              <w:t>Item 7</w:t>
            </w:r>
          </w:p>
        </w:tc>
        <w:tc>
          <w:tcPr>
            <w:tcW w:w="6140" w:type="dxa"/>
            <w:vAlign w:val="bottom"/>
            <w:gridSpan w:val="2"/>
            <w:shd w:val="clear" w:color="auto" w:fill="F2F2F2"/>
          </w:tcPr>
          <w:p>
            <w:pPr>
              <w:ind w:left="80"/>
              <w:spacing w:after="0" w:line="202" w:lineRule="exact"/>
              <w:rPr>
                <w:sz w:val="20"/>
                <w:szCs w:val="20"/>
                <w:color w:val="auto"/>
              </w:rPr>
            </w:pPr>
            <w:r>
              <w:rPr>
                <w:rFonts w:ascii="Arial" w:cs="Arial" w:eastAsia="Arial" w:hAnsi="Arial"/>
                <w:sz w:val="18"/>
                <w:szCs w:val="18"/>
                <w:color w:val="auto"/>
              </w:rPr>
              <w:t>Shareholder proposal to prepare an annual lobbying report</w:t>
            </w:r>
          </w:p>
        </w:tc>
        <w:tc>
          <w:tcPr>
            <w:tcW w:w="1700" w:type="dxa"/>
            <w:vAlign w:val="bottom"/>
            <w:shd w:val="clear" w:color="auto" w:fill="F2F2F2"/>
          </w:tcPr>
          <w:p>
            <w:pPr>
              <w:jc w:val="center"/>
              <w:spacing w:after="0" w:line="202" w:lineRule="exact"/>
              <w:rPr>
                <w:sz w:val="20"/>
                <w:szCs w:val="20"/>
                <w:color w:val="auto"/>
              </w:rPr>
            </w:pPr>
            <w:r>
              <w:rPr>
                <w:rFonts w:ascii="Arial" w:cs="Arial" w:eastAsia="Arial" w:hAnsi="Arial"/>
                <w:sz w:val="18"/>
                <w:szCs w:val="18"/>
                <w:color w:val="auto"/>
                <w:w w:val="99"/>
              </w:rPr>
              <w:t>Against</w:t>
            </w:r>
          </w:p>
        </w:tc>
        <w:tc>
          <w:tcPr>
            <w:tcW w:w="600" w:type="dxa"/>
            <w:vAlign w:val="bottom"/>
            <w:gridSpan w:val="3"/>
            <w:shd w:val="clear" w:color="auto" w:fill="F2F2F2"/>
          </w:tcPr>
          <w:p>
            <w:pPr>
              <w:jc w:val="center"/>
              <w:spacing w:after="0" w:line="202" w:lineRule="exact"/>
              <w:rPr>
                <w:sz w:val="20"/>
                <w:szCs w:val="20"/>
                <w:color w:val="auto"/>
              </w:rPr>
            </w:pPr>
            <w:r>
              <w:rPr>
                <w:rFonts w:ascii="Arial" w:cs="Arial" w:eastAsia="Arial" w:hAnsi="Arial"/>
                <w:sz w:val="18"/>
                <w:szCs w:val="18"/>
                <w:color w:val="0000FF"/>
                <w:w w:val="99"/>
              </w:rPr>
              <w:t>80</w:t>
            </w:r>
          </w:p>
        </w:tc>
      </w:tr>
      <w:tr>
        <w:trPr>
          <w:trHeight w:val="101"/>
        </w:trPr>
        <w:tc>
          <w:tcPr>
            <w:tcW w:w="640" w:type="dxa"/>
            <w:vAlign w:val="bottom"/>
            <w:tcBorders>
              <w:top w:val="single" w:sz="8" w:color="F2F2F2"/>
              <w:bottom w:val="single" w:sz="8" w:color="494949"/>
            </w:tcBorders>
            <w:shd w:val="clear" w:color="auto" w:fill="F2F2F2"/>
          </w:tcPr>
          <w:p>
            <w:pPr>
              <w:spacing w:after="0"/>
              <w:rPr>
                <w:sz w:val="8"/>
                <w:szCs w:val="8"/>
                <w:color w:val="auto"/>
              </w:rPr>
            </w:pPr>
          </w:p>
        </w:tc>
        <w:tc>
          <w:tcPr>
            <w:tcW w:w="2400" w:type="dxa"/>
            <w:vAlign w:val="bottom"/>
            <w:tcBorders>
              <w:top w:val="single" w:sz="8" w:color="F2F2F2"/>
              <w:bottom w:val="single" w:sz="8" w:color="494949"/>
            </w:tcBorders>
            <w:shd w:val="clear" w:color="auto" w:fill="F2F2F2"/>
          </w:tcPr>
          <w:p>
            <w:pPr>
              <w:spacing w:after="0"/>
              <w:rPr>
                <w:sz w:val="8"/>
                <w:szCs w:val="8"/>
                <w:color w:val="auto"/>
              </w:rPr>
            </w:pPr>
          </w:p>
        </w:tc>
        <w:tc>
          <w:tcPr>
            <w:tcW w:w="3740" w:type="dxa"/>
            <w:vAlign w:val="bottom"/>
            <w:tcBorders>
              <w:top w:val="single" w:sz="8" w:color="F2F2F2"/>
              <w:bottom w:val="single" w:sz="8" w:color="494949"/>
            </w:tcBorders>
            <w:shd w:val="clear" w:color="auto" w:fill="F2F2F2"/>
          </w:tcPr>
          <w:p>
            <w:pPr>
              <w:spacing w:after="0"/>
              <w:rPr>
                <w:sz w:val="8"/>
                <w:szCs w:val="8"/>
                <w:color w:val="auto"/>
              </w:rPr>
            </w:pPr>
          </w:p>
        </w:tc>
        <w:tc>
          <w:tcPr>
            <w:tcW w:w="1700" w:type="dxa"/>
            <w:vAlign w:val="bottom"/>
            <w:tcBorders>
              <w:top w:val="single" w:sz="8" w:color="F2F2F2"/>
              <w:bottom w:val="single" w:sz="8" w:color="494949"/>
            </w:tcBorders>
            <w:shd w:val="clear" w:color="auto" w:fill="F2F2F2"/>
          </w:tcPr>
          <w:p>
            <w:pPr>
              <w:spacing w:after="0"/>
              <w:rPr>
                <w:sz w:val="8"/>
                <w:szCs w:val="8"/>
                <w:color w:val="auto"/>
              </w:rPr>
            </w:pPr>
          </w:p>
        </w:tc>
        <w:tc>
          <w:tcPr>
            <w:tcW w:w="200" w:type="dxa"/>
            <w:vAlign w:val="bottom"/>
            <w:tcBorders>
              <w:top w:val="single" w:sz="8" w:color="F2F2F2"/>
              <w:bottom w:val="single" w:sz="8" w:color="494949"/>
            </w:tcBorders>
            <w:shd w:val="clear" w:color="auto" w:fill="F2F2F2"/>
          </w:tcPr>
          <w:p>
            <w:pPr>
              <w:spacing w:after="0"/>
              <w:rPr>
                <w:sz w:val="8"/>
                <w:szCs w:val="8"/>
                <w:color w:val="auto"/>
              </w:rPr>
            </w:pPr>
          </w:p>
        </w:tc>
        <w:tc>
          <w:tcPr>
            <w:tcW w:w="200" w:type="dxa"/>
            <w:vAlign w:val="bottom"/>
            <w:tcBorders>
              <w:top w:val="single" w:sz="8" w:color="0000FF"/>
              <w:bottom w:val="single" w:sz="8" w:color="494949"/>
            </w:tcBorders>
            <w:shd w:val="clear" w:color="auto" w:fill="F2F2F2"/>
          </w:tcPr>
          <w:p>
            <w:pPr>
              <w:spacing w:after="0"/>
              <w:rPr>
                <w:sz w:val="8"/>
                <w:szCs w:val="8"/>
                <w:color w:val="auto"/>
              </w:rPr>
            </w:pPr>
          </w:p>
        </w:tc>
        <w:tc>
          <w:tcPr>
            <w:tcW w:w="200" w:type="dxa"/>
            <w:vAlign w:val="bottom"/>
            <w:tcBorders>
              <w:top w:val="single" w:sz="8" w:color="F2F2F2"/>
              <w:bottom w:val="single" w:sz="8" w:color="494949"/>
            </w:tcBorders>
            <w:shd w:val="clear" w:color="auto" w:fill="F2F2F2"/>
          </w:tcPr>
          <w:p>
            <w:pPr>
              <w:spacing w:after="0"/>
              <w:rPr>
                <w:sz w:val="8"/>
                <w:szCs w:val="8"/>
                <w:color w:val="auto"/>
              </w:rPr>
            </w:pPr>
          </w:p>
        </w:tc>
      </w:tr>
    </w:tbl>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21"/>
          <w:szCs w:val="21"/>
          <w:b w:val="1"/>
          <w:bCs w:val="1"/>
          <w:color w:val="0F3A85"/>
        </w:rPr>
        <w:t xml:space="preserve">How to Attend and Vote at the Annual Meeting. </w:t>
      </w:r>
      <w:r>
        <w:rPr>
          <w:rFonts w:ascii="Arial" w:cs="Arial" w:eastAsia="Arial" w:hAnsi="Arial"/>
          <w:sz w:val="17"/>
          <w:szCs w:val="17"/>
          <w:color w:val="000000"/>
        </w:rPr>
        <w:t>The 2026 annual meeting of shareholders (the Annual Meeting) of Eli Lilly and</w:t>
      </w:r>
      <w:r>
        <w:rPr>
          <w:rFonts w:ascii="Arial" w:cs="Arial" w:eastAsia="Arial" w:hAnsi="Arial"/>
          <w:sz w:val="21"/>
          <w:szCs w:val="21"/>
          <w:b w:val="1"/>
          <w:bCs w:val="1"/>
          <w:color w:val="0F3A85"/>
        </w:rPr>
        <w:t xml:space="preserve"> </w:t>
      </w:r>
      <w:r>
        <w:rPr>
          <w:rFonts w:ascii="Arial" w:cs="Arial" w:eastAsia="Arial" w:hAnsi="Arial"/>
          <w:sz w:val="17"/>
          <w:szCs w:val="17"/>
          <w:color w:val="000000"/>
        </w:rPr>
        <w:t xml:space="preserve">Company will be held virtually via live webcast. To attend the Annual Meeting, vote, and submit questions, visit </w:t>
      </w:r>
      <w:r>
        <w:rPr>
          <w:rFonts w:ascii="Arial" w:cs="Arial" w:eastAsia="Arial" w:hAnsi="Arial"/>
          <w:sz w:val="17"/>
          <w:szCs w:val="17"/>
          <w:color w:val="D52B1E"/>
        </w:rPr>
        <w:t xml:space="preserve">virtualshareholdermeeting.com/LLY2026 </w:t>
      </w:r>
      <w:r>
        <w:rPr>
          <w:rFonts w:ascii="Arial" w:cs="Arial" w:eastAsia="Arial" w:hAnsi="Arial"/>
          <w:sz w:val="17"/>
          <w:szCs w:val="17"/>
          <w:color w:val="000000"/>
        </w:rPr>
        <w:t>and enter the 16-digit control number found on your proxy card, voting instruction form, or notice.</w:t>
      </w:r>
    </w:p>
    <w:p>
      <w:pPr>
        <w:spacing w:after="0" w:line="76" w:lineRule="exact"/>
        <w:rPr>
          <w:sz w:val="20"/>
          <w:szCs w:val="20"/>
          <w:color w:val="auto"/>
        </w:rPr>
      </w:pPr>
    </w:p>
    <w:p>
      <w:pPr>
        <w:ind w:right="380"/>
        <w:spacing w:after="0" w:line="251" w:lineRule="auto"/>
        <w:rPr>
          <w:sz w:val="20"/>
          <w:szCs w:val="20"/>
          <w:color w:val="auto"/>
        </w:rPr>
      </w:pPr>
      <w:r>
        <w:rPr>
          <w:rFonts w:ascii="Arial" w:cs="Arial" w:eastAsia="Arial" w:hAnsi="Arial"/>
          <w:sz w:val="21"/>
          <w:szCs w:val="21"/>
          <w:b w:val="1"/>
          <w:bCs w:val="1"/>
          <w:color w:val="0F3A85"/>
        </w:rPr>
        <w:t xml:space="preserve">More Information. </w:t>
      </w:r>
      <w:r>
        <w:rPr>
          <w:rFonts w:ascii="Arial" w:cs="Arial" w:eastAsia="Arial" w:hAnsi="Arial"/>
          <w:sz w:val="17"/>
          <w:szCs w:val="17"/>
          <w:color w:val="000000"/>
        </w:rPr>
        <w:t>See</w:t>
      </w:r>
      <w:r>
        <w:rPr>
          <w:rFonts w:ascii="Arial" w:cs="Arial" w:eastAsia="Arial" w:hAnsi="Arial"/>
          <w:sz w:val="21"/>
          <w:szCs w:val="21"/>
          <w:b w:val="1"/>
          <w:bCs w:val="1"/>
          <w:color w:val="0F3A85"/>
        </w:rPr>
        <w:t xml:space="preserve"> </w:t>
      </w:r>
      <w:r>
        <w:rPr>
          <w:rFonts w:ascii="Arial" w:cs="Arial" w:eastAsia="Arial" w:hAnsi="Arial"/>
          <w:sz w:val="17"/>
          <w:szCs w:val="17"/>
          <w:u w:val="single" w:color="auto"/>
          <w:color w:val="0000FF"/>
        </w:rPr>
        <w:t>Other Information—Meeting and Voting Logistics</w:t>
      </w:r>
      <w:r>
        <w:rPr>
          <w:rFonts w:ascii="Arial" w:cs="Arial" w:eastAsia="Arial" w:hAnsi="Arial"/>
          <w:sz w:val="21"/>
          <w:szCs w:val="21"/>
          <w:b w:val="1"/>
          <w:bCs w:val="1"/>
          <w:color w:val="0F3A85"/>
        </w:rPr>
        <w:t xml:space="preserve"> </w:t>
      </w:r>
      <w:r>
        <w:rPr>
          <w:rFonts w:ascii="Arial" w:cs="Arial" w:eastAsia="Arial" w:hAnsi="Arial"/>
          <w:sz w:val="17"/>
          <w:szCs w:val="17"/>
          <w:color w:val="000000"/>
        </w:rPr>
        <w:t>for more information on how to vote and Annual Meeting</w:t>
      </w:r>
      <w:r>
        <w:rPr>
          <w:rFonts w:ascii="Arial" w:cs="Arial" w:eastAsia="Arial" w:hAnsi="Arial"/>
          <w:sz w:val="21"/>
          <w:szCs w:val="21"/>
          <w:b w:val="1"/>
          <w:bCs w:val="1"/>
          <w:color w:val="0F3A85"/>
        </w:rPr>
        <w:t xml:space="preserve"> </w:t>
      </w:r>
      <w:r>
        <w:rPr>
          <w:rFonts w:ascii="Arial" w:cs="Arial" w:eastAsia="Arial" w:hAnsi="Arial"/>
          <w:sz w:val="17"/>
          <w:szCs w:val="17"/>
          <w:color w:val="000000"/>
        </w:rPr>
        <w:t>Logistics.</w:t>
      </w:r>
    </w:p>
    <w:p>
      <w:pPr>
        <w:spacing w:after="0" w:line="75" w:lineRule="exact"/>
        <w:rPr>
          <w:sz w:val="20"/>
          <w:szCs w:val="20"/>
          <w:color w:val="auto"/>
        </w:rPr>
      </w:pPr>
    </w:p>
    <w:p>
      <w:pPr>
        <w:ind w:right="160"/>
        <w:spacing w:after="0" w:line="239" w:lineRule="auto"/>
        <w:rPr>
          <w:sz w:val="20"/>
          <w:szCs w:val="20"/>
          <w:color w:val="auto"/>
        </w:rPr>
      </w:pPr>
      <w:r>
        <w:rPr>
          <w:rFonts w:ascii="Arial" w:cs="Arial" w:eastAsia="Arial" w:hAnsi="Arial"/>
          <w:sz w:val="21"/>
          <w:szCs w:val="21"/>
          <w:b w:val="1"/>
          <w:bCs w:val="1"/>
          <w:color w:val="0F3A85"/>
        </w:rPr>
        <w:t xml:space="preserve">Your Vote is Important. </w:t>
      </w:r>
      <w:r>
        <w:rPr>
          <w:rFonts w:ascii="Arial" w:cs="Arial" w:eastAsia="Arial" w:hAnsi="Arial"/>
          <w:sz w:val="17"/>
          <w:szCs w:val="17"/>
          <w:color w:val="000000"/>
        </w:rPr>
        <w:t>Even if you plan to attend the Annual Meeting, we encourage you to vote prior to the meeting by one of the</w:t>
      </w:r>
      <w:r>
        <w:rPr>
          <w:rFonts w:ascii="Arial" w:cs="Arial" w:eastAsia="Arial" w:hAnsi="Arial"/>
          <w:sz w:val="21"/>
          <w:szCs w:val="21"/>
          <w:b w:val="1"/>
          <w:bCs w:val="1"/>
          <w:color w:val="0F3A85"/>
        </w:rPr>
        <w:t xml:space="preserve"> </w:t>
      </w:r>
      <w:r>
        <w:rPr>
          <w:rFonts w:ascii="Arial" w:cs="Arial" w:eastAsia="Arial" w:hAnsi="Arial"/>
          <w:sz w:val="17"/>
          <w:szCs w:val="17"/>
          <w:color w:val="000000"/>
        </w:rPr>
        <w:t>methods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48895</wp:posOffset>
            </wp:positionV>
            <wp:extent cx="488315"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8315" cy="48831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83185</wp:posOffset>
            </wp:positionV>
            <wp:extent cx="41148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83185</wp:posOffset>
            </wp:positionV>
            <wp:extent cx="41148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48895</wp:posOffset>
            </wp:positionV>
            <wp:extent cx="488315"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83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00" w:type="dxa"/>
            <w:vAlign w:val="bottom"/>
          </w:tcPr>
          <w:p>
            <w:pPr>
              <w:jc w:val="center"/>
              <w:ind w:right="59"/>
              <w:spacing w:after="0"/>
              <w:rPr>
                <w:sz w:val="20"/>
                <w:szCs w:val="20"/>
                <w:color w:val="auto"/>
              </w:rPr>
            </w:pPr>
            <w:r>
              <w:rPr>
                <w:rFonts w:ascii="Arial" w:cs="Arial" w:eastAsia="Arial" w:hAnsi="Arial"/>
                <w:sz w:val="16"/>
                <w:szCs w:val="16"/>
                <w:b w:val="1"/>
                <w:bCs w:val="1"/>
                <w:color w:val="auto"/>
              </w:rPr>
              <w:t>ONLINE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BY TELEPHONE</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BY MAIL</w:t>
            </w: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rPr>
              <w:t>AT THE MEETING*</w:t>
            </w:r>
          </w:p>
        </w:tc>
      </w:tr>
      <w:tr>
        <w:trPr>
          <w:trHeight w:val="163"/>
        </w:trPr>
        <w:tc>
          <w:tcPr>
            <w:tcW w:w="2000" w:type="dxa"/>
            <w:vAlign w:val="bottom"/>
          </w:tcPr>
          <w:p>
            <w:pPr>
              <w:jc w:val="center"/>
              <w:ind w:right="59"/>
              <w:spacing w:after="0" w:line="163" w:lineRule="exact"/>
              <w:rPr>
                <w:sz w:val="20"/>
                <w:szCs w:val="20"/>
                <w:color w:val="auto"/>
              </w:rPr>
            </w:pPr>
            <w:r>
              <w:rPr>
                <w:rFonts w:ascii="Arial" w:cs="Arial" w:eastAsia="Arial" w:hAnsi="Arial"/>
                <w:sz w:val="16"/>
                <w:szCs w:val="16"/>
                <w:color w:val="auto"/>
              </w:rPr>
              <w:t>Visit the website listed on</w:t>
            </w:r>
          </w:p>
        </w:tc>
        <w:tc>
          <w:tcPr>
            <w:tcW w:w="2040" w:type="dxa"/>
            <w:vAlign w:val="bottom"/>
          </w:tcPr>
          <w:p>
            <w:pPr>
              <w:jc w:val="center"/>
              <w:spacing w:after="0" w:line="163" w:lineRule="exact"/>
              <w:rPr>
                <w:sz w:val="20"/>
                <w:szCs w:val="20"/>
                <w:color w:val="auto"/>
              </w:rPr>
            </w:pPr>
            <w:r>
              <w:rPr>
                <w:rFonts w:ascii="Arial" w:cs="Arial" w:eastAsia="Arial" w:hAnsi="Arial"/>
                <w:sz w:val="16"/>
                <w:szCs w:val="16"/>
                <w:color w:val="auto"/>
              </w:rPr>
              <w:t>Call 1-800-690-6903 and</w:t>
            </w:r>
          </w:p>
        </w:tc>
        <w:tc>
          <w:tcPr>
            <w:tcW w:w="2120" w:type="dxa"/>
            <w:vAlign w:val="bottom"/>
          </w:tcPr>
          <w:p>
            <w:pPr>
              <w:jc w:val="center"/>
              <w:spacing w:after="0" w:line="163" w:lineRule="exact"/>
              <w:rPr>
                <w:sz w:val="20"/>
                <w:szCs w:val="20"/>
                <w:color w:val="auto"/>
              </w:rPr>
            </w:pPr>
            <w:r>
              <w:rPr>
                <w:rFonts w:ascii="Arial" w:cs="Arial" w:eastAsia="Arial" w:hAnsi="Arial"/>
                <w:sz w:val="16"/>
                <w:szCs w:val="16"/>
                <w:color w:val="auto"/>
              </w:rPr>
              <w:t>Sign, date, and return your</w:t>
            </w:r>
          </w:p>
        </w:tc>
        <w:tc>
          <w:tcPr>
            <w:tcW w:w="2960" w:type="dxa"/>
            <w:vAlign w:val="bottom"/>
          </w:tcPr>
          <w:p>
            <w:pPr>
              <w:jc w:val="center"/>
              <w:spacing w:after="0" w:line="163" w:lineRule="exact"/>
              <w:rPr>
                <w:sz w:val="20"/>
                <w:szCs w:val="20"/>
                <w:color w:val="auto"/>
              </w:rPr>
            </w:pPr>
            <w:r>
              <w:rPr>
                <w:rFonts w:ascii="Arial" w:cs="Arial" w:eastAsia="Arial" w:hAnsi="Arial"/>
                <w:sz w:val="16"/>
                <w:szCs w:val="16"/>
                <w:color w:val="D52B1E"/>
              </w:rPr>
              <w:t>virtualshareholdermeeting.com/LLY2026</w:t>
            </w:r>
          </w:p>
        </w:tc>
      </w:tr>
      <w:tr>
        <w:trPr>
          <w:trHeight w:val="162"/>
        </w:trPr>
        <w:tc>
          <w:tcPr>
            <w:tcW w:w="200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your notice, proxy card, or</w:t>
            </w:r>
          </w:p>
        </w:tc>
        <w:tc>
          <w:tcPr>
            <w:tcW w:w="2040" w:type="dxa"/>
            <w:vAlign w:val="bottom"/>
          </w:tcPr>
          <w:p>
            <w:pPr>
              <w:jc w:val="center"/>
              <w:spacing w:after="0" w:line="162" w:lineRule="exact"/>
              <w:rPr>
                <w:sz w:val="20"/>
                <w:szCs w:val="20"/>
                <w:color w:val="auto"/>
              </w:rPr>
            </w:pPr>
            <w:r>
              <w:rPr>
                <w:rFonts w:ascii="Arial" w:cs="Arial" w:eastAsia="Arial" w:hAnsi="Arial"/>
                <w:sz w:val="16"/>
                <w:szCs w:val="16"/>
                <w:color w:val="auto"/>
              </w:rPr>
              <w:t>follow the instructions</w:t>
            </w:r>
          </w:p>
        </w:tc>
        <w:tc>
          <w:tcPr>
            <w:tcW w:w="2120" w:type="dxa"/>
            <w:vAlign w:val="bottom"/>
          </w:tcPr>
          <w:p>
            <w:pPr>
              <w:jc w:val="center"/>
              <w:spacing w:after="0" w:line="162" w:lineRule="exact"/>
              <w:rPr>
                <w:sz w:val="20"/>
                <w:szCs w:val="20"/>
                <w:color w:val="auto"/>
              </w:rPr>
            </w:pPr>
            <w:r>
              <w:rPr>
                <w:rFonts w:ascii="Arial" w:cs="Arial" w:eastAsia="Arial" w:hAnsi="Arial"/>
                <w:sz w:val="16"/>
                <w:szCs w:val="16"/>
                <w:color w:val="auto"/>
              </w:rPr>
              <w:t>paper proxy card or voting</w:t>
            </w:r>
          </w:p>
        </w:tc>
        <w:tc>
          <w:tcPr>
            <w:tcW w:w="2960" w:type="dxa"/>
            <w:vAlign w:val="bottom"/>
          </w:tcPr>
          <w:p>
            <w:pPr>
              <w:jc w:val="center"/>
              <w:spacing w:after="0" w:line="162" w:lineRule="exact"/>
              <w:rPr>
                <w:sz w:val="20"/>
                <w:szCs w:val="20"/>
                <w:color w:val="auto"/>
              </w:rPr>
            </w:pPr>
            <w:r>
              <w:rPr>
                <w:rFonts w:ascii="Arial" w:cs="Arial" w:eastAsia="Arial" w:hAnsi="Arial"/>
                <w:sz w:val="16"/>
                <w:szCs w:val="16"/>
                <w:color w:val="auto"/>
              </w:rPr>
              <w:t>on Monday, May 4, 2026, at 9:30 a.m.</w:t>
            </w:r>
          </w:p>
        </w:tc>
      </w:tr>
      <w:tr>
        <w:trPr>
          <w:trHeight w:val="215"/>
        </w:trPr>
        <w:tc>
          <w:tcPr>
            <w:tcW w:w="2000" w:type="dxa"/>
            <w:vAlign w:val="bottom"/>
          </w:tcPr>
          <w:p>
            <w:pPr>
              <w:jc w:val="center"/>
              <w:ind w:right="59"/>
              <w:spacing w:after="0"/>
              <w:rPr>
                <w:sz w:val="20"/>
                <w:szCs w:val="20"/>
                <w:color w:val="auto"/>
              </w:rPr>
            </w:pPr>
            <w:r>
              <w:rPr>
                <w:rFonts w:ascii="Arial" w:cs="Arial" w:eastAsia="Arial" w:hAnsi="Arial"/>
                <w:sz w:val="16"/>
                <w:szCs w:val="16"/>
                <w:color w:val="auto"/>
              </w:rPr>
              <w:t>voting instruction form</w:t>
            </w:r>
          </w:p>
        </w:tc>
        <w:tc>
          <w:tcPr>
            <w:tcW w:w="2040" w:type="dxa"/>
            <w:vAlign w:val="bottom"/>
          </w:tcPr>
          <w:p>
            <w:pPr>
              <w:jc w:val="center"/>
              <w:spacing w:after="0"/>
              <w:rPr>
                <w:sz w:val="20"/>
                <w:szCs w:val="20"/>
                <w:color w:val="auto"/>
              </w:rPr>
            </w:pPr>
            <w:r>
              <w:rPr>
                <w:rFonts w:ascii="Arial" w:cs="Arial" w:eastAsia="Arial" w:hAnsi="Arial"/>
                <w:sz w:val="16"/>
                <w:szCs w:val="16"/>
                <w:color w:val="auto"/>
              </w:rPr>
              <w:t>provided</w:t>
            </w:r>
          </w:p>
        </w:tc>
        <w:tc>
          <w:tcPr>
            <w:tcW w:w="2120" w:type="dxa"/>
            <w:vAlign w:val="bottom"/>
          </w:tcPr>
          <w:p>
            <w:pPr>
              <w:jc w:val="center"/>
              <w:spacing w:after="0"/>
              <w:rPr>
                <w:sz w:val="20"/>
                <w:szCs w:val="20"/>
                <w:color w:val="auto"/>
              </w:rPr>
            </w:pPr>
            <w:r>
              <w:rPr>
                <w:rFonts w:ascii="Arial" w:cs="Arial" w:eastAsia="Arial" w:hAnsi="Arial"/>
                <w:sz w:val="16"/>
                <w:szCs w:val="16"/>
                <w:color w:val="auto"/>
              </w:rPr>
              <w:t>instruction form</w:t>
            </w:r>
          </w:p>
        </w:tc>
        <w:tc>
          <w:tcPr>
            <w:tcW w:w="2960" w:type="dxa"/>
            <w:vAlign w:val="bottom"/>
          </w:tcPr>
          <w:p>
            <w:pPr>
              <w:jc w:val="center"/>
              <w:spacing w:after="0"/>
              <w:rPr>
                <w:sz w:val="20"/>
                <w:szCs w:val="20"/>
                <w:color w:val="auto"/>
              </w:rPr>
            </w:pPr>
            <w:r>
              <w:rPr>
                <w:rFonts w:ascii="Arial" w:cs="Arial" w:eastAsia="Arial" w:hAnsi="Arial"/>
                <w:sz w:val="16"/>
                <w:szCs w:val="16"/>
                <w:color w:val="auto"/>
              </w:rPr>
              <w:t>EDT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86359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162560"/>
                    </a:xfrm>
                    <a:prstGeom prst="rect">
                      <a:avLst/>
                    </a:prstGeom>
                    <a:noFill/>
                  </pic:spPr>
                </pic:pic>
              </a:graphicData>
            </a:graphic>
          </wp:anchor>
        </w:drawing>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*Shareholders who hold their shares in the 401(k) Plan must vote by April 29,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0F3A85"/>
        </w:rPr>
        <w:t>Anat Hakim</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788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788670"/>
                    </a:xfrm>
                    <a:prstGeom prst="rect">
                      <a:avLst/>
                    </a:prstGeom>
                    <a:noFill/>
                  </pic:spPr>
                </pic:pic>
              </a:graphicData>
            </a:graphic>
          </wp:anchor>
        </w:drawing>
      </w:r>
    </w:p>
    <w:p>
      <w:pPr>
        <w:spacing w:after="0" w:line="241"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FFFFFF"/>
        </w:rPr>
        <w:t>AVAILABILITY OF PROXY MATERIALS FOR THE MAY 4, 2026 SHAREHOLDER MEETING:</w:t>
      </w:r>
    </w:p>
    <w:p>
      <w:pPr>
        <w:spacing w:after="0" w:line="63" w:lineRule="exact"/>
        <w:rPr>
          <w:sz w:val="20"/>
          <w:szCs w:val="20"/>
          <w:color w:val="auto"/>
        </w:rPr>
      </w:pPr>
    </w:p>
    <w:p>
      <w:pPr>
        <w:jc w:val="both"/>
        <w:ind w:left="100" w:right="2000"/>
        <w:spacing w:after="0" w:line="291" w:lineRule="auto"/>
        <w:rPr>
          <w:sz w:val="20"/>
          <w:szCs w:val="20"/>
          <w:color w:val="auto"/>
        </w:rPr>
      </w:pPr>
      <w:r>
        <w:rPr>
          <w:rFonts w:ascii="Arial" w:cs="Arial" w:eastAsia="Arial" w:hAnsi="Arial"/>
          <w:sz w:val="17"/>
          <w:szCs w:val="17"/>
          <w:color w:val="FFFFFF"/>
        </w:rPr>
        <w:t>The proxy statement is dated March 20, 2026, and a notice of internet availability of proxy materials was mailed on or about that date to our shareholders of record as of February 25, 2026. The annual report to shareholders and proxy statement are available at ProxyVote.com as well as on our website at lilly.com/about/annual-reports.</w:t>
      </w:r>
    </w:p>
    <w:p>
      <w:pPr>
        <w:sectPr>
          <w:pgSz w:w="11900" w:h="16838" w:orient="portrait"/>
          <w:cols w:equalWidth="0" w:num="1">
            <w:col w:w="10960"/>
          </w:cols>
          <w:pgMar w:left="320" w:top="747" w:right="61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747" w:right="6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52"/>
          <w:szCs w:val="52"/>
          <w:b w:val="1"/>
          <w:bCs w:val="1"/>
          <w:color w:val="auto"/>
        </w:rPr>
        <w:t>Proxy Statement Summary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Powered by Purpose</w:t>
      </w:r>
    </w:p>
    <w:p>
      <w:pPr>
        <w:spacing w:after="0" w:line="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This purpose fuels every aspect of our business, as we aspire to:</w:t>
      </w:r>
    </w:p>
    <w:p>
      <w:pPr>
        <w:spacing w:after="0" w:line="104" w:lineRule="exact"/>
        <w:rPr>
          <w:sz w:val="20"/>
          <w:szCs w:val="20"/>
          <w:color w:val="auto"/>
        </w:rPr>
      </w:pPr>
    </w:p>
    <w:p>
      <w:pPr>
        <w:ind w:left="420" w:right="380" w:hanging="404"/>
        <w:spacing w:after="0" w:line="268" w:lineRule="auto"/>
        <w:rPr>
          <w:sz w:val="20"/>
          <w:szCs w:val="20"/>
          <w:color w:val="auto"/>
        </w:rPr>
      </w:pPr>
      <w:r>
        <w:rPr>
          <w:rFonts w:ascii="Arial" w:cs="Arial" w:eastAsia="Arial" w:hAnsi="Arial"/>
          <w:sz w:val="19"/>
          <w:szCs w:val="19"/>
          <w:b w:val="1"/>
          <w:bCs w:val="1"/>
          <w:color w:val="0F3A85"/>
        </w:rPr>
        <w:t xml:space="preserve">Discover </w:t>
      </w:r>
      <w:r>
        <w:rPr>
          <w:rFonts w:ascii="Arial" w:cs="Arial" w:eastAsia="Arial" w:hAnsi="Arial"/>
          <w:sz w:val="17"/>
          <w:szCs w:val="17"/>
          <w:color w:val="000000"/>
        </w:rPr>
        <w:t>first or best-in-class molecules from internal and external sources that address significant unmet needs by integrating disease</w:t>
      </w:r>
      <w:r>
        <w:rPr>
          <w:rFonts w:ascii="Arial" w:cs="Arial" w:eastAsia="Arial" w:hAnsi="Arial"/>
          <w:sz w:val="19"/>
          <w:szCs w:val="19"/>
          <w:b w:val="1"/>
          <w:bCs w:val="1"/>
          <w:color w:val="0F3A85"/>
        </w:rPr>
        <w:t xml:space="preserve"> </w:t>
      </w:r>
      <w:r>
        <w:rPr>
          <w:rFonts w:ascii="Arial" w:cs="Arial" w:eastAsia="Arial" w:hAnsi="Arial"/>
          <w:sz w:val="17"/>
          <w:szCs w:val="17"/>
          <w:color w:val="000000"/>
        </w:rPr>
        <w:t>understanding with innovative scientific capabilities;</w:t>
      </w:r>
    </w:p>
    <w:p>
      <w:pPr>
        <w:spacing w:after="0" w:line="12" w:lineRule="exact"/>
        <w:rPr>
          <w:sz w:val="20"/>
          <w:szCs w:val="20"/>
          <w:color w:val="auto"/>
        </w:rPr>
      </w:pPr>
    </w:p>
    <w:p>
      <w:pPr>
        <w:ind w:left="420" w:right="240" w:hanging="404"/>
        <w:spacing w:after="0" w:line="268" w:lineRule="auto"/>
        <w:rPr>
          <w:sz w:val="20"/>
          <w:szCs w:val="20"/>
          <w:color w:val="auto"/>
        </w:rPr>
      </w:pPr>
      <w:r>
        <w:rPr>
          <w:rFonts w:ascii="Arial" w:cs="Arial" w:eastAsia="Arial" w:hAnsi="Arial"/>
          <w:sz w:val="19"/>
          <w:szCs w:val="19"/>
          <w:b w:val="1"/>
          <w:bCs w:val="1"/>
          <w:color w:val="0F3A85"/>
        </w:rPr>
        <w:t xml:space="preserve">Develop </w:t>
      </w:r>
      <w:r>
        <w:rPr>
          <w:rFonts w:ascii="Arial" w:cs="Arial" w:eastAsia="Arial" w:hAnsi="Arial"/>
          <w:sz w:val="17"/>
          <w:szCs w:val="17"/>
          <w:color w:val="000000"/>
        </w:rPr>
        <w:t>molecules faster than competitors by executing clinical plans that maximize the human and economic value of the medicines we</w:t>
      </w:r>
      <w:r>
        <w:rPr>
          <w:rFonts w:ascii="Arial" w:cs="Arial" w:eastAsia="Arial" w:hAnsi="Arial"/>
          <w:sz w:val="19"/>
          <w:szCs w:val="19"/>
          <w:b w:val="1"/>
          <w:bCs w:val="1"/>
          <w:color w:val="0F3A85"/>
        </w:rPr>
        <w:t xml:space="preserve"> </w:t>
      </w:r>
      <w:r>
        <w:rPr>
          <w:rFonts w:ascii="Arial" w:cs="Arial" w:eastAsia="Arial" w:hAnsi="Arial"/>
          <w:sz w:val="17"/>
          <w:szCs w:val="17"/>
          <w:color w:val="000000"/>
        </w:rPr>
        <w:t>launch;</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b w:val="1"/>
          <w:bCs w:val="1"/>
          <w:color w:val="0F3A85"/>
        </w:rPr>
        <w:t xml:space="preserve">Reach </w:t>
      </w:r>
      <w:r>
        <w:rPr>
          <w:rFonts w:ascii="Arial" w:cs="Arial" w:eastAsia="Arial" w:hAnsi="Arial"/>
          <w:sz w:val="17"/>
          <w:szCs w:val="17"/>
          <w:color w:val="000000"/>
        </w:rPr>
        <w:t>people around the world by creating volume-driven uptake and broad access to a safe and reliable supply of life-changing medicines;</w:t>
      </w:r>
    </w:p>
    <w:p>
      <w:pPr>
        <w:spacing w:after="0" w:line="79" w:lineRule="exact"/>
        <w:rPr>
          <w:sz w:val="20"/>
          <w:szCs w:val="20"/>
          <w:color w:val="auto"/>
        </w:rPr>
      </w:pPr>
    </w:p>
    <w:p>
      <w:pPr>
        <w:ind w:left="420" w:right="20" w:hanging="404"/>
        <w:spacing w:after="0" w:line="300" w:lineRule="auto"/>
        <w:rPr>
          <w:sz w:val="20"/>
          <w:szCs w:val="20"/>
          <w:color w:val="auto"/>
        </w:rPr>
      </w:pPr>
      <w:r>
        <w:rPr>
          <w:rFonts w:ascii="Arial" w:cs="Arial" w:eastAsia="Arial" w:hAnsi="Arial"/>
          <w:sz w:val="19"/>
          <w:szCs w:val="19"/>
          <w:b w:val="1"/>
          <w:bCs w:val="1"/>
          <w:color w:val="0F3A85"/>
        </w:rPr>
        <w:t xml:space="preserve">Scale </w:t>
      </w:r>
      <w:r>
        <w:rPr>
          <w:rFonts w:ascii="Arial" w:cs="Arial" w:eastAsia="Arial" w:hAnsi="Arial"/>
          <w:sz w:val="17"/>
          <w:szCs w:val="17"/>
          <w:color w:val="000000"/>
        </w:rPr>
        <w:t>our business by prioritizing investments into medicines and manufacturing capacity that can deliver the greatest value for patients and</w:t>
      </w:r>
      <w:r>
        <w:rPr>
          <w:rFonts w:ascii="Arial" w:cs="Arial" w:eastAsia="Arial" w:hAnsi="Arial"/>
          <w:sz w:val="19"/>
          <w:szCs w:val="19"/>
          <w:b w:val="1"/>
          <w:bCs w:val="1"/>
          <w:color w:val="0F3A85"/>
        </w:rPr>
        <w:t xml:space="preserve"> </w:t>
      </w:r>
      <w:r>
        <w:rPr>
          <w:rFonts w:ascii="Arial" w:cs="Arial" w:eastAsia="Arial" w:hAnsi="Arial"/>
          <w:sz w:val="17"/>
          <w:szCs w:val="17"/>
          <w:color w:val="000000"/>
        </w:rPr>
        <w:t>can drive long-term sustainable growth; and</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0F3A85"/>
        </w:rPr>
        <w:t xml:space="preserve">Reinvest </w:t>
      </w:r>
      <w:r>
        <w:rPr>
          <w:rFonts w:ascii="Arial" w:cs="Arial" w:eastAsia="Arial" w:hAnsi="Arial"/>
          <w:sz w:val="17"/>
          <w:szCs w:val="17"/>
          <w:color w:val="000000"/>
        </w:rPr>
        <w:t>profits into our next wave of innovation and generate value for our investors.</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Highlights of 2025 Performance</w:t>
      </w:r>
    </w:p>
    <w:p>
      <w:pPr>
        <w:spacing w:after="0" w:line="8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continued to progress our strategy in 2025 with respect to operating performance, shareholder return (both absolute and relative), our innovation pipeline and other business development and sustainability matters. See our 2025 Form 10-K for more details on 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7607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360045" cy="3600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0045" cy="360045"/>
                    </a:xfrm>
                    <a:prstGeom prst="rect">
                      <a:avLst/>
                    </a:prstGeom>
                    <a:noFill/>
                    <a:ln>
                      <a:noFill/>
                    </a:ln>
                  </pic:spPr>
                </pic:pic>
              </a:graphicData>
            </a:graphic>
          </wp:inline>
        </w:drawing>
      </w:r>
      <w:r>
        <w:rPr>
          <w:rFonts w:ascii="Arial" w:cs="Arial" w:eastAsia="Arial" w:hAnsi="Arial"/>
          <w:sz w:val="25"/>
          <w:szCs w:val="25"/>
          <w:b w:val="1"/>
          <w:bCs w:val="1"/>
          <w:color w:val="auto"/>
        </w:rPr>
        <w:t xml:space="preserve"> Operating Performance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3100" w:type="dxa"/>
            <w:vAlign w:val="bottom"/>
            <w:tcBorders>
              <w:top w:val="single" w:sz="8" w:color="auto"/>
              <w:right w:val="single" w:sz="8" w:color="DBDBDB"/>
            </w:tcBorders>
          </w:tcPr>
          <w:p>
            <w:pPr>
              <w:jc w:val="center"/>
              <w:spacing w:after="0"/>
              <w:rPr>
                <w:sz w:val="20"/>
                <w:szCs w:val="20"/>
                <w:color w:val="auto"/>
              </w:rPr>
            </w:pPr>
            <w:r>
              <w:rPr>
                <w:rFonts w:ascii="Arial" w:cs="Arial" w:eastAsia="Arial" w:hAnsi="Arial"/>
                <w:sz w:val="25"/>
                <w:szCs w:val="25"/>
                <w:b w:val="1"/>
                <w:bCs w:val="1"/>
                <w:color w:val="D52B1E"/>
                <w:w w:val="99"/>
              </w:rPr>
              <w:t>$65.2</w:t>
            </w:r>
          </w:p>
        </w:tc>
        <w:tc>
          <w:tcPr>
            <w:tcW w:w="3020" w:type="dxa"/>
            <w:vAlign w:val="bottom"/>
            <w:tcBorders>
              <w:top w:val="single" w:sz="8" w:color="auto"/>
              <w:right w:val="single" w:sz="8" w:color="DBDBDB"/>
            </w:tcBorders>
          </w:tcPr>
          <w:p>
            <w:pPr>
              <w:jc w:val="center"/>
              <w:spacing w:after="0"/>
              <w:rPr>
                <w:sz w:val="20"/>
                <w:szCs w:val="20"/>
                <w:color w:val="auto"/>
              </w:rPr>
            </w:pPr>
            <w:r>
              <w:rPr>
                <w:rFonts w:ascii="Arial" w:cs="Arial" w:eastAsia="Arial" w:hAnsi="Arial"/>
                <w:sz w:val="25"/>
                <w:szCs w:val="25"/>
                <w:b w:val="1"/>
                <w:bCs w:val="1"/>
                <w:color w:val="D52B1E"/>
              </w:rPr>
              <w:t>$22.95</w:t>
            </w: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25"/>
                <w:szCs w:val="25"/>
                <w:b w:val="1"/>
                <w:bCs w:val="1"/>
                <w:color w:val="D52B1E"/>
                <w:w w:val="99"/>
              </w:rPr>
              <w:t>$24.21</w:t>
            </w:r>
          </w:p>
        </w:tc>
      </w:tr>
      <w:tr>
        <w:trPr>
          <w:trHeight w:val="262"/>
        </w:trPr>
        <w:tc>
          <w:tcPr>
            <w:tcW w:w="3100" w:type="dxa"/>
            <w:vAlign w:val="bottom"/>
            <w:tcBorders>
              <w:right w:val="single" w:sz="8" w:color="DBDBDB"/>
            </w:tcBorders>
          </w:tcPr>
          <w:p>
            <w:pPr>
              <w:jc w:val="center"/>
              <w:spacing w:after="0"/>
              <w:rPr>
                <w:sz w:val="20"/>
                <w:szCs w:val="20"/>
                <w:color w:val="auto"/>
              </w:rPr>
            </w:pPr>
            <w:r>
              <w:rPr>
                <w:rFonts w:ascii="Arial" w:cs="Arial" w:eastAsia="Arial" w:hAnsi="Arial"/>
                <w:sz w:val="19"/>
                <w:szCs w:val="19"/>
                <w:b w:val="1"/>
                <w:bCs w:val="1"/>
                <w:color w:val="auto"/>
                <w:w w:val="99"/>
              </w:rPr>
              <w:t>billion</w:t>
            </w:r>
          </w:p>
        </w:tc>
        <w:tc>
          <w:tcPr>
            <w:tcW w:w="3020" w:type="dxa"/>
            <w:vAlign w:val="bottom"/>
            <w:tcBorders>
              <w:right w:val="single" w:sz="8" w:color="DBDBDB"/>
            </w:tcBorders>
          </w:tcPr>
          <w:p>
            <w:pPr>
              <w:jc w:val="center"/>
              <w:spacing w:after="0"/>
              <w:rPr>
                <w:sz w:val="20"/>
                <w:szCs w:val="20"/>
                <w:color w:val="auto"/>
              </w:rPr>
            </w:pPr>
            <w:r>
              <w:rPr>
                <w:rFonts w:ascii="Arial" w:cs="Arial" w:eastAsia="Arial" w:hAnsi="Arial"/>
                <w:sz w:val="18"/>
                <w:szCs w:val="18"/>
                <w:b w:val="1"/>
                <w:bCs w:val="1"/>
                <w:color w:val="auto"/>
                <w:w w:val="99"/>
              </w:rPr>
              <w:t xml:space="preserve">earnings per share </w:t>
            </w:r>
            <w:r>
              <w:rPr>
                <w:rFonts w:ascii="Arial" w:cs="Arial" w:eastAsia="Arial" w:hAnsi="Arial"/>
                <w:sz w:val="18"/>
                <w:szCs w:val="18"/>
                <w:color w:val="auto"/>
                <w:w w:val="99"/>
              </w:rPr>
              <w:t>(EPS)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9"/>
              </w:rPr>
              <w:t>EPS on a</w:t>
            </w:r>
          </w:p>
        </w:tc>
      </w:tr>
      <w:tr>
        <w:trPr>
          <w:trHeight w:val="274"/>
        </w:trPr>
        <w:tc>
          <w:tcPr>
            <w:tcW w:w="3100" w:type="dxa"/>
            <w:vAlign w:val="bottom"/>
            <w:tcBorders>
              <w:right w:val="single" w:sz="8" w:color="DBDBDB"/>
            </w:tcBorders>
          </w:tcPr>
          <w:p>
            <w:pPr>
              <w:jc w:val="center"/>
              <w:spacing w:after="0"/>
              <w:rPr>
                <w:sz w:val="20"/>
                <w:szCs w:val="20"/>
                <w:color w:val="auto"/>
              </w:rPr>
            </w:pPr>
            <w:r>
              <w:rPr>
                <w:rFonts w:ascii="Arial" w:cs="Arial" w:eastAsia="Arial" w:hAnsi="Arial"/>
                <w:sz w:val="18"/>
                <w:szCs w:val="18"/>
                <w:color w:val="auto"/>
                <w:w w:val="99"/>
              </w:rPr>
              <w:t>in revenue</w:t>
            </w:r>
          </w:p>
        </w:tc>
        <w:tc>
          <w:tcPr>
            <w:tcW w:w="3020" w:type="dxa"/>
            <w:vAlign w:val="bottom"/>
            <w:tcBorders>
              <w:right w:val="single" w:sz="8" w:color="DBDBDB"/>
            </w:tcBorders>
          </w:tcPr>
          <w:p>
            <w:pPr>
              <w:jc w:val="center"/>
              <w:spacing w:after="0"/>
              <w:rPr>
                <w:sz w:val="20"/>
                <w:szCs w:val="20"/>
                <w:color w:val="auto"/>
              </w:rPr>
            </w:pPr>
            <w:r>
              <w:rPr>
                <w:rFonts w:ascii="Arial" w:cs="Arial" w:eastAsia="Arial" w:hAnsi="Arial"/>
                <w:sz w:val="18"/>
                <w:szCs w:val="18"/>
                <w:color w:val="auto"/>
                <w:w w:val="99"/>
              </w:rPr>
              <w:t>on a reported basis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9"/>
              </w:rPr>
              <w:t>non-GAAP basis</w:t>
            </w:r>
          </w:p>
        </w:tc>
      </w:tr>
      <w:tr>
        <w:trPr>
          <w:trHeight w:val="104"/>
        </w:trPr>
        <w:tc>
          <w:tcPr>
            <w:tcW w:w="3100" w:type="dxa"/>
            <w:vAlign w:val="bottom"/>
            <w:tcBorders>
              <w:right w:val="single" w:sz="8" w:color="DBDBDB"/>
            </w:tcBorders>
          </w:tcPr>
          <w:p>
            <w:pPr>
              <w:spacing w:after="0"/>
              <w:rPr>
                <w:sz w:val="9"/>
                <w:szCs w:val="9"/>
                <w:color w:val="auto"/>
              </w:rPr>
            </w:pPr>
          </w:p>
        </w:tc>
        <w:tc>
          <w:tcPr>
            <w:tcW w:w="3020" w:type="dxa"/>
            <w:vAlign w:val="bottom"/>
            <w:tcBorders>
              <w:right w:val="single" w:sz="8" w:color="DBDBDB"/>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8" w:lineRule="exact"/>
        <w:rPr>
          <w:sz w:val="20"/>
          <w:szCs w:val="20"/>
          <w:color w:val="auto"/>
        </w:rPr>
      </w:pPr>
    </w:p>
    <w:p>
      <w:pPr>
        <w:jc w:val="both"/>
        <w:ind w:left="20" w:right="2360"/>
        <w:spacing w:after="0" w:line="268" w:lineRule="auto"/>
        <w:rPr>
          <w:sz w:val="20"/>
          <w:szCs w:val="20"/>
          <w:color w:val="auto"/>
        </w:rPr>
      </w:pPr>
      <w:r>
        <w:rPr>
          <w:rFonts w:ascii="Arial" w:cs="Arial" w:eastAsia="Arial" w:hAnsi="Arial"/>
          <w:sz w:val="18"/>
          <w:szCs w:val="18"/>
          <w:color w:val="auto"/>
        </w:rPr>
        <w:t xml:space="preserve">Reported results were prepared in accordance with U.S. generally accepted accounting principles (GAAP) and include all revenue and expenses recognized during the periods. A reconciliation of EPS on a reported basis to EPS on a non-GAAP basis is included in </w:t>
      </w:r>
      <w:r>
        <w:rPr>
          <w:rFonts w:ascii="Arial" w:cs="Arial" w:eastAsia="Arial" w:hAnsi="Arial"/>
          <w:sz w:val="18"/>
          <w:szCs w:val="18"/>
          <w:u w:val="single" w:color="auto"/>
          <w:color w:val="0000FF"/>
        </w:rPr>
        <w:t>Appendix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607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5760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86" w:lineRule="exact"/>
        <w:rPr>
          <w:sz w:val="20"/>
          <w:szCs w:val="20"/>
          <w:color w:val="auto"/>
        </w:rPr>
      </w:pPr>
    </w:p>
    <w:p>
      <w:pPr>
        <w:ind w:left="40"/>
        <w:spacing w:after="0"/>
        <w:rPr>
          <w:sz w:val="20"/>
          <w:szCs w:val="20"/>
          <w:color w:val="auto"/>
        </w:rPr>
      </w:pPr>
      <w:r>
        <w:rPr>
          <w:sz w:val="1"/>
          <w:szCs w:val="1"/>
          <w:color w:val="auto"/>
        </w:rPr>
        <w:drawing>
          <wp:inline distT="0" distB="0" distL="0" distR="0">
            <wp:extent cx="411480" cy="4114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 cy="411480"/>
                    </a:xfrm>
                    <a:prstGeom prst="rect">
                      <a:avLst/>
                    </a:prstGeom>
                    <a:noFill/>
                    <a:ln>
                      <a:noFill/>
                    </a:ln>
                  </pic:spPr>
                </pic:pic>
              </a:graphicData>
            </a:graphic>
          </wp:inline>
        </w:drawing>
      </w:r>
      <w:r>
        <w:rPr>
          <w:rFonts w:ascii="Arial" w:cs="Arial" w:eastAsia="Arial" w:hAnsi="Arial"/>
          <w:sz w:val="25"/>
          <w:szCs w:val="25"/>
          <w:b w:val="1"/>
          <w:bCs w:val="1"/>
          <w:color w:val="auto"/>
        </w:rPr>
        <w:t xml:space="preserve"> Shareholder Return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2600" w:type="dxa"/>
            <w:vAlign w:val="bottom"/>
            <w:tcBorders>
              <w:top w:val="single" w:sz="8" w:color="auto"/>
            </w:tcBorders>
            <w:shd w:val="clear" w:color="auto" w:fill="F2F2F2"/>
          </w:tcPr>
          <w:p>
            <w:pPr>
              <w:jc w:val="center"/>
              <w:ind w:right="78"/>
              <w:spacing w:after="0"/>
              <w:rPr>
                <w:sz w:val="20"/>
                <w:szCs w:val="20"/>
                <w:color w:val="auto"/>
              </w:rPr>
            </w:pPr>
            <w:r>
              <w:rPr>
                <w:rFonts w:ascii="Arial" w:cs="Arial" w:eastAsia="Arial" w:hAnsi="Arial"/>
                <w:sz w:val="25"/>
                <w:szCs w:val="25"/>
                <w:b w:val="1"/>
                <w:bCs w:val="1"/>
                <w:color w:val="D52B1E"/>
                <w:w w:val="99"/>
              </w:rPr>
              <w:t>40%</w:t>
            </w:r>
          </w:p>
        </w:tc>
        <w:tc>
          <w:tcPr>
            <w:tcW w:w="6480" w:type="dxa"/>
            <w:vAlign w:val="bottom"/>
            <w:tcBorders>
              <w:top w:val="single" w:sz="8" w:color="auto"/>
            </w:tcBorders>
            <w:shd w:val="clear" w:color="auto" w:fill="F2F2F2"/>
          </w:tcPr>
          <w:p>
            <w:pPr>
              <w:jc w:val="center"/>
              <w:ind w:right="118"/>
              <w:spacing w:after="0"/>
              <w:rPr>
                <w:sz w:val="20"/>
                <w:szCs w:val="20"/>
                <w:color w:val="auto"/>
              </w:rPr>
            </w:pPr>
            <w:r>
              <w:rPr>
                <w:rFonts w:ascii="Arial" w:cs="Arial" w:eastAsia="Arial" w:hAnsi="Arial"/>
                <w:sz w:val="22"/>
                <w:szCs w:val="22"/>
                <w:b w:val="1"/>
                <w:bCs w:val="1"/>
                <w:color w:val="D52B1E"/>
                <w:w w:val="97"/>
              </w:rPr>
              <w:t>Consistently Exceeded S&amp;P 500 and Peer Group</w:t>
            </w:r>
            <w:r>
              <w:rPr>
                <w:rFonts w:ascii="Arial" w:cs="Arial" w:eastAsia="Arial" w:hAnsi="Arial"/>
                <w:sz w:val="28"/>
                <w:szCs w:val="28"/>
                <w:b w:val="1"/>
                <w:bCs w:val="1"/>
                <w:color w:val="D52B1E"/>
                <w:w w:val="97"/>
                <w:vertAlign w:val="superscript"/>
              </w:rPr>
              <w:t>1</w:t>
            </w:r>
          </w:p>
        </w:tc>
      </w:tr>
      <w:tr>
        <w:trPr>
          <w:trHeight w:val="229"/>
        </w:trPr>
        <w:tc>
          <w:tcPr>
            <w:tcW w:w="2600" w:type="dxa"/>
            <w:vAlign w:val="bottom"/>
            <w:shd w:val="clear" w:color="auto" w:fill="F2F2F2"/>
          </w:tcPr>
          <w:p>
            <w:pPr>
              <w:jc w:val="center"/>
              <w:ind w:right="78"/>
              <w:spacing w:after="0"/>
              <w:rPr>
                <w:sz w:val="20"/>
                <w:szCs w:val="20"/>
                <w:color w:val="auto"/>
              </w:rPr>
            </w:pPr>
            <w:r>
              <w:rPr>
                <w:rFonts w:ascii="Arial" w:cs="Arial" w:eastAsia="Arial" w:hAnsi="Arial"/>
                <w:sz w:val="18"/>
                <w:szCs w:val="18"/>
                <w:b w:val="1"/>
                <w:bCs w:val="1"/>
                <w:color w:val="auto"/>
                <w:w w:val="99"/>
              </w:rPr>
              <w:t>2025 Total Shareholder</w:t>
            </w:r>
          </w:p>
        </w:tc>
        <w:tc>
          <w:tcPr>
            <w:tcW w:w="6480" w:type="dxa"/>
            <w:vAlign w:val="bottom"/>
            <w:shd w:val="clear" w:color="auto" w:fill="F2F2F2"/>
          </w:tcPr>
          <w:p>
            <w:pPr>
              <w:jc w:val="center"/>
              <w:ind w:right="118"/>
              <w:spacing w:after="0"/>
              <w:rPr>
                <w:sz w:val="20"/>
                <w:szCs w:val="20"/>
                <w:color w:val="auto"/>
              </w:rPr>
            </w:pPr>
            <w:r>
              <w:rPr>
                <w:rFonts w:ascii="Arial" w:cs="Arial" w:eastAsia="Arial" w:hAnsi="Arial"/>
                <w:sz w:val="20"/>
                <w:szCs w:val="20"/>
                <w:b w:val="1"/>
                <w:bCs w:val="1"/>
                <w:color w:val="auto"/>
                <w:w w:val="98"/>
              </w:rPr>
              <w:t xml:space="preserve">TSR </w:t>
            </w:r>
            <w:r>
              <w:rPr>
                <w:rFonts w:ascii="Arial" w:cs="Arial" w:eastAsia="Arial" w:hAnsi="Arial"/>
                <w:sz w:val="20"/>
                <w:szCs w:val="20"/>
                <w:color w:val="auto"/>
                <w:w w:val="98"/>
              </w:rPr>
              <w:t>in 2025 and the three- and five-year periods shown below</w:t>
            </w:r>
          </w:p>
        </w:tc>
      </w:tr>
      <w:tr>
        <w:trPr>
          <w:trHeight w:val="216"/>
        </w:trPr>
        <w:tc>
          <w:tcPr>
            <w:tcW w:w="2600" w:type="dxa"/>
            <w:vAlign w:val="bottom"/>
            <w:shd w:val="clear" w:color="auto" w:fill="F2F2F2"/>
          </w:tcPr>
          <w:p>
            <w:pPr>
              <w:jc w:val="center"/>
              <w:ind w:right="78"/>
              <w:spacing w:after="0"/>
              <w:rPr>
                <w:sz w:val="20"/>
                <w:szCs w:val="20"/>
                <w:color w:val="auto"/>
              </w:rPr>
            </w:pPr>
            <w:r>
              <w:rPr>
                <w:rFonts w:ascii="Arial" w:cs="Arial" w:eastAsia="Arial" w:hAnsi="Arial"/>
                <w:sz w:val="18"/>
                <w:szCs w:val="18"/>
                <w:b w:val="1"/>
                <w:bCs w:val="1"/>
                <w:color w:val="auto"/>
                <w:w w:val="99"/>
              </w:rPr>
              <w:t>Return (TSR)</w:t>
            </w:r>
          </w:p>
        </w:tc>
        <w:tc>
          <w:tcPr>
            <w:tcW w:w="6480" w:type="dxa"/>
            <w:vAlign w:val="bottom"/>
            <w:shd w:val="clear" w:color="auto" w:fill="F2F2F2"/>
          </w:tcPr>
          <w:p>
            <w:pPr>
              <w:spacing w:after="0"/>
              <w:rPr>
                <w:sz w:val="18"/>
                <w:szCs w:val="18"/>
                <w:color w:val="auto"/>
              </w:rPr>
            </w:pPr>
          </w:p>
        </w:tc>
      </w:tr>
      <w:tr>
        <w:trPr>
          <w:trHeight w:val="278"/>
        </w:trPr>
        <w:tc>
          <w:tcPr>
            <w:tcW w:w="2600" w:type="dxa"/>
            <w:vAlign w:val="bottom"/>
          </w:tcPr>
          <w:p>
            <w:pPr>
              <w:spacing w:after="0"/>
              <w:rPr>
                <w:sz w:val="24"/>
                <w:szCs w:val="24"/>
                <w:color w:val="auto"/>
              </w:rPr>
            </w:pPr>
          </w:p>
        </w:tc>
        <w:tc>
          <w:tcPr>
            <w:tcW w:w="6480" w:type="dxa"/>
            <w:vAlign w:val="bottom"/>
          </w:tcPr>
          <w:p>
            <w:pPr>
              <w:jc w:val="center"/>
              <w:ind w:left="3818"/>
              <w:spacing w:after="0"/>
              <w:rPr>
                <w:sz w:val="20"/>
                <w:szCs w:val="20"/>
                <w:color w:val="auto"/>
              </w:rPr>
            </w:pPr>
            <w:r>
              <w:rPr>
                <w:rFonts w:ascii="Arial" w:cs="Arial" w:eastAsia="Arial" w:hAnsi="Arial"/>
                <w:sz w:val="18"/>
                <w:szCs w:val="18"/>
                <w:color w:val="auto"/>
                <w:w w:val="99"/>
              </w:rPr>
              <w:t>TSR includes both stock price</w:t>
            </w:r>
          </w:p>
        </w:tc>
      </w:tr>
      <w:tr>
        <w:trPr>
          <w:trHeight w:val="216"/>
        </w:trPr>
        <w:tc>
          <w:tcPr>
            <w:tcW w:w="2600" w:type="dxa"/>
            <w:vAlign w:val="bottom"/>
          </w:tcPr>
          <w:p>
            <w:pPr>
              <w:spacing w:after="0"/>
              <w:rPr>
                <w:sz w:val="18"/>
                <w:szCs w:val="18"/>
                <w:color w:val="auto"/>
              </w:rPr>
            </w:pPr>
          </w:p>
        </w:tc>
        <w:tc>
          <w:tcPr>
            <w:tcW w:w="6480" w:type="dxa"/>
            <w:vAlign w:val="bottom"/>
          </w:tcPr>
          <w:p>
            <w:pPr>
              <w:jc w:val="center"/>
              <w:ind w:left="3818"/>
              <w:spacing w:after="0"/>
              <w:rPr>
                <w:sz w:val="20"/>
                <w:szCs w:val="20"/>
                <w:color w:val="auto"/>
              </w:rPr>
            </w:pPr>
            <w:r>
              <w:rPr>
                <w:rFonts w:ascii="Arial" w:cs="Arial" w:eastAsia="Arial" w:hAnsi="Arial"/>
                <w:sz w:val="18"/>
                <w:szCs w:val="18"/>
                <w:color w:val="auto"/>
              </w:rPr>
              <w:t>changes and dividends.</w:t>
            </w:r>
          </w:p>
        </w:tc>
      </w:tr>
      <w:tr>
        <w:trPr>
          <w:trHeight w:val="216"/>
        </w:trPr>
        <w:tc>
          <w:tcPr>
            <w:tcW w:w="2600" w:type="dxa"/>
            <w:vAlign w:val="bottom"/>
          </w:tcPr>
          <w:p>
            <w:pPr>
              <w:spacing w:after="0"/>
              <w:rPr>
                <w:sz w:val="18"/>
                <w:szCs w:val="18"/>
                <w:color w:val="auto"/>
              </w:rPr>
            </w:pPr>
          </w:p>
        </w:tc>
        <w:tc>
          <w:tcPr>
            <w:tcW w:w="6480" w:type="dxa"/>
            <w:vAlign w:val="bottom"/>
          </w:tcPr>
          <w:p>
            <w:pPr>
              <w:jc w:val="center"/>
              <w:ind w:left="3818"/>
              <w:spacing w:after="0"/>
              <w:rPr>
                <w:sz w:val="20"/>
                <w:szCs w:val="20"/>
                <w:color w:val="auto"/>
              </w:rPr>
            </w:pPr>
            <w:r>
              <w:rPr>
                <w:rFonts w:ascii="Arial" w:cs="Arial" w:eastAsia="Arial" w:hAnsi="Arial"/>
                <w:sz w:val="18"/>
                <w:szCs w:val="18"/>
                <w:color w:val="auto"/>
              </w:rPr>
              <w:t>Dividends are assumed to be</w:t>
            </w:r>
          </w:p>
        </w:tc>
      </w:tr>
      <w:tr>
        <w:trPr>
          <w:trHeight w:val="216"/>
        </w:trPr>
        <w:tc>
          <w:tcPr>
            <w:tcW w:w="2600" w:type="dxa"/>
            <w:vAlign w:val="bottom"/>
          </w:tcPr>
          <w:p>
            <w:pPr>
              <w:spacing w:after="0"/>
              <w:rPr>
                <w:sz w:val="18"/>
                <w:szCs w:val="18"/>
                <w:color w:val="auto"/>
              </w:rPr>
            </w:pPr>
          </w:p>
        </w:tc>
        <w:tc>
          <w:tcPr>
            <w:tcW w:w="6480" w:type="dxa"/>
            <w:vAlign w:val="bottom"/>
          </w:tcPr>
          <w:p>
            <w:pPr>
              <w:jc w:val="center"/>
              <w:ind w:left="3818"/>
              <w:spacing w:after="0"/>
              <w:rPr>
                <w:sz w:val="20"/>
                <w:szCs w:val="20"/>
                <w:color w:val="auto"/>
              </w:rPr>
            </w:pPr>
            <w:r>
              <w:rPr>
                <w:rFonts w:ascii="Arial" w:cs="Arial" w:eastAsia="Arial" w:hAnsi="Arial"/>
                <w:sz w:val="18"/>
                <w:szCs w:val="18"/>
                <w:color w:val="auto"/>
                <w:w w:val="99"/>
              </w:rPr>
              <w:t>immediately reinvested in</w:t>
            </w:r>
          </w:p>
        </w:tc>
      </w:tr>
      <w:tr>
        <w:trPr>
          <w:trHeight w:val="216"/>
        </w:trPr>
        <w:tc>
          <w:tcPr>
            <w:tcW w:w="2600" w:type="dxa"/>
            <w:vAlign w:val="bottom"/>
          </w:tcPr>
          <w:p>
            <w:pPr>
              <w:spacing w:after="0"/>
              <w:rPr>
                <w:sz w:val="18"/>
                <w:szCs w:val="18"/>
                <w:color w:val="auto"/>
              </w:rPr>
            </w:pPr>
          </w:p>
        </w:tc>
        <w:tc>
          <w:tcPr>
            <w:tcW w:w="6480" w:type="dxa"/>
            <w:vAlign w:val="bottom"/>
          </w:tcPr>
          <w:p>
            <w:pPr>
              <w:jc w:val="center"/>
              <w:ind w:left="3818"/>
              <w:spacing w:after="0"/>
              <w:rPr>
                <w:sz w:val="20"/>
                <w:szCs w:val="20"/>
                <w:color w:val="auto"/>
              </w:rPr>
            </w:pPr>
            <w:r>
              <w:rPr>
                <w:rFonts w:ascii="Arial" w:cs="Arial" w:eastAsia="Arial" w:hAnsi="Arial"/>
                <w:sz w:val="18"/>
                <w:szCs w:val="18"/>
                <w:color w:val="auto"/>
                <w:w w:val="99"/>
              </w:rPr>
              <w:t>company stock. TSR results for</w:t>
            </w:r>
          </w:p>
        </w:tc>
      </w:tr>
      <w:tr>
        <w:trPr>
          <w:trHeight w:val="216"/>
        </w:trPr>
        <w:tc>
          <w:tcPr>
            <w:tcW w:w="2600" w:type="dxa"/>
            <w:vAlign w:val="bottom"/>
          </w:tcPr>
          <w:p>
            <w:pPr>
              <w:spacing w:after="0"/>
              <w:rPr>
                <w:sz w:val="18"/>
                <w:szCs w:val="18"/>
                <w:color w:val="auto"/>
              </w:rPr>
            </w:pPr>
          </w:p>
        </w:tc>
        <w:tc>
          <w:tcPr>
            <w:tcW w:w="6480" w:type="dxa"/>
            <w:vAlign w:val="bottom"/>
          </w:tcPr>
          <w:p>
            <w:pPr>
              <w:jc w:val="center"/>
              <w:ind w:left="3818"/>
              <w:spacing w:after="0"/>
              <w:rPr>
                <w:sz w:val="20"/>
                <w:szCs w:val="20"/>
                <w:color w:val="auto"/>
              </w:rPr>
            </w:pPr>
            <w:r>
              <w:rPr>
                <w:rFonts w:ascii="Arial" w:cs="Arial" w:eastAsia="Arial" w:hAnsi="Arial"/>
                <w:sz w:val="18"/>
                <w:szCs w:val="18"/>
                <w:color w:val="auto"/>
              </w:rPr>
              <w:t>the Peer Group were calculated</w:t>
            </w:r>
          </w:p>
        </w:tc>
      </w:tr>
      <w:tr>
        <w:trPr>
          <w:trHeight w:val="216"/>
        </w:trPr>
        <w:tc>
          <w:tcPr>
            <w:tcW w:w="2600" w:type="dxa"/>
            <w:vAlign w:val="bottom"/>
          </w:tcPr>
          <w:p>
            <w:pPr>
              <w:spacing w:after="0"/>
              <w:rPr>
                <w:sz w:val="18"/>
                <w:szCs w:val="18"/>
                <w:color w:val="auto"/>
              </w:rPr>
            </w:pPr>
          </w:p>
        </w:tc>
        <w:tc>
          <w:tcPr>
            <w:tcW w:w="6480" w:type="dxa"/>
            <w:vAlign w:val="bottom"/>
          </w:tcPr>
          <w:p>
            <w:pPr>
              <w:jc w:val="center"/>
              <w:ind w:left="3818"/>
              <w:spacing w:after="0"/>
              <w:rPr>
                <w:sz w:val="20"/>
                <w:szCs w:val="20"/>
                <w:color w:val="auto"/>
              </w:rPr>
            </w:pPr>
            <w:r>
              <w:rPr>
                <w:rFonts w:ascii="Arial" w:cs="Arial" w:eastAsia="Arial" w:hAnsi="Arial"/>
                <w:sz w:val="18"/>
                <w:szCs w:val="18"/>
                <w:color w:val="auto"/>
                <w:w w:val="99"/>
              </w:rPr>
              <w:t>using a market capitalization</w:t>
            </w:r>
          </w:p>
        </w:tc>
      </w:tr>
      <w:tr>
        <w:trPr>
          <w:trHeight w:val="239"/>
        </w:trPr>
        <w:tc>
          <w:tcPr>
            <w:tcW w:w="2600" w:type="dxa"/>
            <w:vAlign w:val="bottom"/>
          </w:tcPr>
          <w:p>
            <w:pPr>
              <w:spacing w:after="0"/>
              <w:rPr>
                <w:sz w:val="20"/>
                <w:szCs w:val="20"/>
                <w:color w:val="auto"/>
              </w:rPr>
            </w:pPr>
          </w:p>
        </w:tc>
        <w:tc>
          <w:tcPr>
            <w:tcW w:w="6480" w:type="dxa"/>
            <w:vAlign w:val="bottom"/>
          </w:tcPr>
          <w:p>
            <w:pPr>
              <w:jc w:val="center"/>
              <w:ind w:left="3818"/>
              <w:spacing w:after="0"/>
              <w:rPr>
                <w:sz w:val="20"/>
                <w:szCs w:val="20"/>
                <w:color w:val="auto"/>
              </w:rPr>
            </w:pPr>
            <w:r>
              <w:rPr>
                <w:rFonts w:ascii="Arial" w:cs="Arial" w:eastAsia="Arial" w:hAnsi="Arial"/>
                <w:sz w:val="18"/>
                <w:szCs w:val="18"/>
                <w:color w:val="auto"/>
                <w:w w:val="99"/>
              </w:rPr>
              <w:t>weighted average.</w:t>
            </w:r>
          </w:p>
        </w:tc>
      </w:tr>
      <w:tr>
        <w:trPr>
          <w:trHeight w:val="324"/>
        </w:trPr>
        <w:tc>
          <w:tcPr>
            <w:tcW w:w="2600" w:type="dxa"/>
            <w:vAlign w:val="bottom"/>
          </w:tcPr>
          <w:p>
            <w:pPr>
              <w:spacing w:after="0"/>
              <w:rPr>
                <w:sz w:val="24"/>
                <w:szCs w:val="24"/>
                <w:color w:val="auto"/>
              </w:rPr>
            </w:pPr>
          </w:p>
        </w:tc>
        <w:tc>
          <w:tcPr>
            <w:tcW w:w="6480" w:type="dxa"/>
            <w:vAlign w:val="bottom"/>
          </w:tcPr>
          <w:p>
            <w:pPr>
              <w:jc w:val="center"/>
              <w:ind w:left="3818"/>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The peer group in this chart</w:t>
            </w:r>
          </w:p>
        </w:tc>
      </w:tr>
      <w:tr>
        <w:trPr>
          <w:trHeight w:val="175"/>
        </w:trPr>
        <w:tc>
          <w:tcPr>
            <w:tcW w:w="2600" w:type="dxa"/>
            <w:vAlign w:val="bottom"/>
          </w:tcPr>
          <w:p>
            <w:pPr>
              <w:spacing w:after="0"/>
              <w:rPr>
                <w:sz w:val="15"/>
                <w:szCs w:val="15"/>
                <w:color w:val="auto"/>
              </w:rPr>
            </w:pPr>
          </w:p>
        </w:tc>
        <w:tc>
          <w:tcPr>
            <w:tcW w:w="6480" w:type="dxa"/>
            <w:vAlign w:val="bottom"/>
          </w:tcPr>
          <w:p>
            <w:pPr>
              <w:jc w:val="center"/>
              <w:ind w:left="3818"/>
              <w:spacing w:after="0"/>
              <w:rPr>
                <w:sz w:val="20"/>
                <w:szCs w:val="20"/>
                <w:color w:val="auto"/>
              </w:rPr>
            </w:pPr>
            <w:r>
              <w:rPr>
                <w:rFonts w:ascii="Arial" w:cs="Arial" w:eastAsia="Arial" w:hAnsi="Arial"/>
                <w:sz w:val="14"/>
                <w:szCs w:val="14"/>
                <w:color w:val="auto"/>
              </w:rPr>
              <w:t>comprises the same companies as our</w:t>
            </w:r>
          </w:p>
        </w:tc>
      </w:tr>
      <w:tr>
        <w:trPr>
          <w:trHeight w:val="176"/>
        </w:trPr>
        <w:tc>
          <w:tcPr>
            <w:tcW w:w="2600" w:type="dxa"/>
            <w:vAlign w:val="bottom"/>
          </w:tcPr>
          <w:p>
            <w:pPr>
              <w:spacing w:after="0"/>
              <w:rPr>
                <w:sz w:val="15"/>
                <w:szCs w:val="15"/>
                <w:color w:val="auto"/>
              </w:rPr>
            </w:pPr>
          </w:p>
        </w:tc>
        <w:tc>
          <w:tcPr>
            <w:tcW w:w="6480" w:type="dxa"/>
            <w:vAlign w:val="bottom"/>
          </w:tcPr>
          <w:p>
            <w:pPr>
              <w:jc w:val="center"/>
              <w:ind w:left="3838"/>
              <w:spacing w:after="0"/>
              <w:rPr>
                <w:sz w:val="20"/>
                <w:szCs w:val="20"/>
                <w:color w:val="auto"/>
              </w:rPr>
            </w:pPr>
            <w:r>
              <w:rPr>
                <w:rFonts w:ascii="Arial" w:cs="Arial" w:eastAsia="Arial" w:hAnsi="Arial"/>
                <w:sz w:val="14"/>
                <w:szCs w:val="14"/>
                <w:color w:val="auto"/>
              </w:rPr>
              <w:t>executive compensation pharma peer</w:t>
            </w:r>
          </w:p>
        </w:tc>
      </w:tr>
      <w:tr>
        <w:trPr>
          <w:trHeight w:val="162"/>
        </w:trPr>
        <w:tc>
          <w:tcPr>
            <w:tcW w:w="2600" w:type="dxa"/>
            <w:vAlign w:val="bottom"/>
          </w:tcPr>
          <w:p>
            <w:pPr>
              <w:spacing w:after="0"/>
              <w:rPr>
                <w:sz w:val="14"/>
                <w:szCs w:val="14"/>
                <w:color w:val="auto"/>
              </w:rPr>
            </w:pPr>
          </w:p>
        </w:tc>
        <w:tc>
          <w:tcPr>
            <w:tcW w:w="6480" w:type="dxa"/>
            <w:vAlign w:val="bottom"/>
          </w:tcPr>
          <w:p>
            <w:pPr>
              <w:jc w:val="center"/>
              <w:ind w:left="3818"/>
              <w:spacing w:after="0"/>
              <w:rPr>
                <w:sz w:val="20"/>
                <w:szCs w:val="20"/>
                <w:color w:val="auto"/>
              </w:rPr>
            </w:pPr>
            <w:r>
              <w:rPr>
                <w:rFonts w:ascii="Arial" w:cs="Arial" w:eastAsia="Arial" w:hAnsi="Arial"/>
                <w:sz w:val="14"/>
                <w:szCs w:val="14"/>
                <w:color w:val="auto"/>
              </w:rPr>
              <w:t>group (detailed in the Benchmarking</w:t>
            </w:r>
          </w:p>
        </w:tc>
      </w:tr>
      <w:tr>
        <w:trPr>
          <w:trHeight w:val="176"/>
        </w:trPr>
        <w:tc>
          <w:tcPr>
            <w:tcW w:w="2600" w:type="dxa"/>
            <w:vAlign w:val="bottom"/>
          </w:tcPr>
          <w:p>
            <w:pPr>
              <w:spacing w:after="0"/>
              <w:rPr>
                <w:sz w:val="15"/>
                <w:szCs w:val="15"/>
                <w:color w:val="auto"/>
              </w:rPr>
            </w:pPr>
          </w:p>
        </w:tc>
        <w:tc>
          <w:tcPr>
            <w:tcW w:w="6480" w:type="dxa"/>
            <w:vAlign w:val="bottom"/>
          </w:tcPr>
          <w:p>
            <w:pPr>
              <w:jc w:val="center"/>
              <w:ind w:left="3818"/>
              <w:spacing w:after="0"/>
              <w:rPr>
                <w:sz w:val="20"/>
                <w:szCs w:val="20"/>
                <w:color w:val="auto"/>
              </w:rPr>
            </w:pPr>
            <w:r>
              <w:rPr>
                <w:rFonts w:ascii="Arial" w:cs="Arial" w:eastAsia="Arial" w:hAnsi="Arial"/>
                <w:sz w:val="14"/>
                <w:szCs w:val="14"/>
                <w:color w:val="auto"/>
              </w:rPr>
              <w:t>Compensation section), plus Novo</w:t>
            </w:r>
          </w:p>
        </w:tc>
      </w:tr>
      <w:tr>
        <w:trPr>
          <w:trHeight w:val="175"/>
        </w:trPr>
        <w:tc>
          <w:tcPr>
            <w:tcW w:w="2600" w:type="dxa"/>
            <w:vAlign w:val="bottom"/>
          </w:tcPr>
          <w:p>
            <w:pPr>
              <w:spacing w:after="0"/>
              <w:rPr>
                <w:sz w:val="15"/>
                <w:szCs w:val="15"/>
                <w:color w:val="auto"/>
              </w:rPr>
            </w:pPr>
          </w:p>
        </w:tc>
        <w:tc>
          <w:tcPr>
            <w:tcW w:w="6480" w:type="dxa"/>
            <w:vAlign w:val="bottom"/>
          </w:tcPr>
          <w:p>
            <w:pPr>
              <w:jc w:val="center"/>
              <w:ind w:left="3818"/>
              <w:spacing w:after="0"/>
              <w:rPr>
                <w:sz w:val="20"/>
                <w:szCs w:val="20"/>
                <w:color w:val="auto"/>
              </w:rPr>
            </w:pPr>
            <w:r>
              <w:rPr>
                <w:rFonts w:ascii="Arial" w:cs="Arial" w:eastAsia="Arial" w:hAnsi="Arial"/>
                <w:sz w:val="14"/>
                <w:szCs w:val="14"/>
                <w:color w:val="auto"/>
              </w:rPr>
              <w:t>Nordisk, which is excluded from</w:t>
            </w:r>
          </w:p>
        </w:tc>
      </w:tr>
      <w:tr>
        <w:trPr>
          <w:trHeight w:val="175"/>
        </w:trPr>
        <w:tc>
          <w:tcPr>
            <w:tcW w:w="2600" w:type="dxa"/>
            <w:vAlign w:val="bottom"/>
          </w:tcPr>
          <w:p>
            <w:pPr>
              <w:spacing w:after="0"/>
              <w:rPr>
                <w:sz w:val="15"/>
                <w:szCs w:val="15"/>
                <w:color w:val="auto"/>
              </w:rPr>
            </w:pPr>
          </w:p>
        </w:tc>
        <w:tc>
          <w:tcPr>
            <w:tcW w:w="6480" w:type="dxa"/>
            <w:vAlign w:val="bottom"/>
          </w:tcPr>
          <w:p>
            <w:pPr>
              <w:jc w:val="center"/>
              <w:ind w:left="3838"/>
              <w:spacing w:after="0"/>
              <w:rPr>
                <w:sz w:val="20"/>
                <w:szCs w:val="20"/>
                <w:color w:val="auto"/>
              </w:rPr>
            </w:pPr>
            <w:r>
              <w:rPr>
                <w:rFonts w:ascii="Arial" w:cs="Arial" w:eastAsia="Arial" w:hAnsi="Arial"/>
                <w:sz w:val="14"/>
                <w:szCs w:val="14"/>
                <w:color w:val="auto"/>
              </w:rPr>
              <w:t>compensation benchmarking due to</w:t>
            </w:r>
          </w:p>
        </w:tc>
      </w:tr>
      <w:tr>
        <w:trPr>
          <w:trHeight w:val="194"/>
        </w:trPr>
        <w:tc>
          <w:tcPr>
            <w:tcW w:w="260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tcPr>
          <w:p>
            <w:pPr>
              <w:jc w:val="center"/>
              <w:ind w:left="3818"/>
              <w:spacing w:after="0"/>
              <w:rPr>
                <w:sz w:val="20"/>
                <w:szCs w:val="20"/>
                <w:color w:val="auto"/>
              </w:rPr>
            </w:pPr>
            <w:r>
              <w:rPr>
                <w:rFonts w:ascii="Arial" w:cs="Arial" w:eastAsia="Arial" w:hAnsi="Arial"/>
                <w:sz w:val="14"/>
                <w:szCs w:val="14"/>
                <w:color w:val="auto"/>
              </w:rPr>
              <w:t>limited disclosed compensation data.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-2091055</wp:posOffset>
            </wp:positionV>
            <wp:extent cx="3617595" cy="1954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7595" cy="1954530"/>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sect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3" w:right="379" w:bottom="1440" w:gutter="0" w:footer="0" w:header="0"/>
          <w:type w:val="continuous"/>
        </w:sectPr>
      </w:pPr>
    </w:p>
    <w:bookmarkStart w:id="6" w:name="page7"/>
    <w:bookmarkEnd w:id="6"/>
    <w:p>
      <w:pPr>
        <w:ind w:left="2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57607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inline distT="0" distB="0" distL="0" distR="0">
            <wp:extent cx="402590" cy="3689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2590" cy="368935"/>
                    </a:xfrm>
                    <a:prstGeom prst="rect">
                      <a:avLst/>
                    </a:prstGeom>
                    <a:noFill/>
                    <a:ln>
                      <a:noFill/>
                    </a:ln>
                  </pic:spPr>
                </pic:pic>
              </a:graphicData>
            </a:graphic>
          </wp:inline>
        </w:drawing>
      </w:r>
      <w:r>
        <w:rPr>
          <w:rFonts w:ascii="Arial" w:cs="Arial" w:eastAsia="Arial" w:hAnsi="Arial"/>
          <w:sz w:val="24"/>
          <w:szCs w:val="24"/>
          <w:b w:val="1"/>
          <w:bCs w:val="1"/>
          <w:color w:val="auto"/>
        </w:rPr>
        <w:t xml:space="preserve"> Innovation Pipeline and Other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576072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196850"/>
                    </a:xfrm>
                    <a:prstGeom prst="rect">
                      <a:avLst/>
                    </a:prstGeom>
                    <a:noFill/>
                  </pic:spPr>
                </pic:pic>
              </a:graphicData>
            </a:graphic>
          </wp:anchor>
        </w:drawing>
      </w:r>
    </w:p>
    <w:p>
      <w:pPr>
        <w:spacing w:after="0" w:line="91"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929292"/>
        </w:rPr>
        <w:t>Highlights for New Products and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212090</wp:posOffset>
            </wp:positionV>
            <wp:extent cx="41148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2289810</wp:posOffset>
            </wp:positionH>
            <wp:positionV relativeFrom="paragraph">
              <wp:posOffset>48895</wp:posOffset>
            </wp:positionV>
            <wp:extent cx="985520" cy="702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5520" cy="70294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92075</wp:posOffset>
            </wp:positionV>
            <wp:extent cx="1234440" cy="506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ectPr>
          <w:pgSz w:w="11900" w:h="16838" w:orient="portrait"/>
          <w:cols w:equalWidth="0" w:num="1">
            <w:col w:w="10119"/>
          </w:cols>
          <w:pgMar w:left="340" w:top="1209" w:right="1440" w:bottom="10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Lilly submitted orforglipron to the FDA for the treatment of obesity.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FDA approved an updated label for Kisunla with new dosing in early symptomatic Alzheimer’s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-8890</wp:posOffset>
            </wp:positionV>
            <wp:extent cx="5760720"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07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199"/>
        <w:spacing w:after="0" w:line="290" w:lineRule="auto"/>
        <w:rPr>
          <w:sz w:val="20"/>
          <w:szCs w:val="20"/>
          <w:color w:val="auto"/>
        </w:rPr>
      </w:pPr>
      <w:r>
        <w:rPr>
          <w:rFonts w:ascii="Arial" w:cs="Arial" w:eastAsia="Arial" w:hAnsi="Arial"/>
          <w:sz w:val="17"/>
          <w:szCs w:val="17"/>
          <w:color w:val="auto"/>
        </w:rPr>
        <w:t>The FDA approved Omvoh’s single-injection maintenance regimen in adults with ulcerative colitis.</w:t>
      </w:r>
    </w:p>
    <w:p>
      <w:pPr>
        <w:spacing w:after="0" w:line="2" w:lineRule="exact"/>
        <w:rPr>
          <w:sz w:val="20"/>
          <w:szCs w:val="20"/>
          <w:color w:val="auto"/>
        </w:rPr>
      </w:pPr>
    </w:p>
    <w:p>
      <w:pPr>
        <w:sectPr>
          <w:pgSz w:w="11900" w:h="16838" w:orient="portrait"/>
          <w:cols w:equalWidth="0" w:num="3">
            <w:col w:w="2600" w:space="280"/>
            <w:col w:w="2900" w:space="280"/>
            <w:col w:w="4059"/>
          </w:cols>
          <w:pgMar w:left="340" w:top="1209" w:right="1440" w:bottom="1094" w:gutter="0" w:footer="0" w:header="0"/>
          <w:type w:val="continuous"/>
        </w:sectPr>
      </w:pPr>
    </w:p>
    <w:p>
      <w:pPr>
        <w:ind w:left="3620"/>
        <w:spacing w:after="0"/>
        <w:rPr>
          <w:sz w:val="20"/>
          <w:szCs w:val="20"/>
          <w:color w:val="auto"/>
        </w:rPr>
      </w:pPr>
      <w:r>
        <w:rPr>
          <w:rFonts w:ascii="Arial" w:cs="Arial" w:eastAsia="Arial" w:hAnsi="Arial"/>
          <w:sz w:val="20"/>
          <w:szCs w:val="20"/>
          <w:b w:val="1"/>
          <w:bCs w:val="1"/>
          <w:color w:val="929292"/>
        </w:rPr>
        <w:t>Key Data Readouts</w:t>
      </w:r>
    </w:p>
    <w:p>
      <w:pPr>
        <w:spacing w:after="0" w:line="72" w:lineRule="exact"/>
        <w:rPr>
          <w:sz w:val="20"/>
          <w:szCs w:val="20"/>
          <w:color w:val="auto"/>
        </w:rPr>
      </w:pPr>
    </w:p>
    <w:p>
      <w:pPr>
        <w:ind w:left="160" w:right="1539" w:hanging="154"/>
        <w:spacing w:after="0" w:line="287" w:lineRule="auto"/>
        <w:tabs>
          <w:tab w:leader="none" w:pos="111"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positive results from SURMOUNT-5, a head-to-head Phase 3 trial, where patients on Zepbound achieved an average weight loss of 20.2%, versus 13.7% with Wegovy.</w:t>
      </w:r>
    </w:p>
    <w:p>
      <w:pPr>
        <w:spacing w:after="0" w:line="44" w:lineRule="exact"/>
        <w:rPr>
          <w:rFonts w:ascii="Arial" w:cs="Arial" w:eastAsia="Arial" w:hAnsi="Arial"/>
          <w:sz w:val="18"/>
          <w:szCs w:val="18"/>
          <w:color w:val="auto"/>
        </w:rPr>
      </w:pPr>
    </w:p>
    <w:p>
      <w:pPr>
        <w:ind w:left="160" w:right="1159" w:hanging="154"/>
        <w:spacing w:after="0" w:line="268" w:lineRule="auto"/>
        <w:tabs>
          <w:tab w:leader="none" w:pos="111"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positive results for the orforglipron Phase 3 weight management program (ATTAIN-1 and ATTAIN-2), demonstrating meaningful weight loss, A1C reductions and cardiometabolic improvements compared to placebo.</w:t>
      </w:r>
    </w:p>
    <w:p>
      <w:pPr>
        <w:spacing w:after="0" w:line="62" w:lineRule="exact"/>
        <w:rPr>
          <w:rFonts w:ascii="Arial" w:cs="Arial" w:eastAsia="Arial" w:hAnsi="Arial"/>
          <w:sz w:val="18"/>
          <w:szCs w:val="18"/>
          <w:color w:val="auto"/>
        </w:rPr>
      </w:pPr>
    </w:p>
    <w:p>
      <w:pPr>
        <w:ind w:left="160" w:right="1779" w:hanging="154"/>
        <w:spacing w:after="0" w:line="287" w:lineRule="auto"/>
        <w:tabs>
          <w:tab w:leader="none" w:pos="111"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results from the Olumiant BRAVE-AA-PEDS Phase 3 trial, showing meaningful hair regrowth outcomes for adolescent patients (ages 12 to &lt;18) with severe alopecia areata.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57607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197485"/>
                    </a:xfrm>
                    <a:prstGeom prst="rect">
                      <a:avLst/>
                    </a:prstGeom>
                    <a:noFill/>
                  </pic:spPr>
                </pic:pic>
              </a:graphicData>
            </a:graphic>
          </wp:anchor>
        </w:drawing>
      </w:r>
    </w:p>
    <w:p>
      <w:pPr>
        <w:spacing w:after="0" w:line="88"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929292"/>
        </w:rPr>
        <w:t>Other Business Development Activities</w:t>
      </w:r>
    </w:p>
    <w:p>
      <w:pPr>
        <w:spacing w:after="0" w:line="72" w:lineRule="exact"/>
        <w:rPr>
          <w:sz w:val="20"/>
          <w:szCs w:val="20"/>
          <w:color w:val="auto"/>
        </w:rPr>
      </w:pPr>
    </w:p>
    <w:p>
      <w:pPr>
        <w:ind w:left="160" w:right="1759" w:hanging="154"/>
        <w:spacing w:after="0" w:line="281" w:lineRule="auto"/>
        <w:tabs>
          <w:tab w:leader="none" w:pos="149" w:val="left"/>
        </w:tabs>
        <w:numPr>
          <w:ilvl w:val="0"/>
          <w:numId w:val="6"/>
        </w:numPr>
        <w:rPr>
          <w:rFonts w:ascii="Arial" w:cs="Arial" w:eastAsia="Arial" w:hAnsi="Arial"/>
          <w:sz w:val="16"/>
          <w:szCs w:val="16"/>
          <w:color w:val="auto"/>
        </w:rPr>
      </w:pPr>
      <w:r>
        <w:rPr>
          <w:rFonts w:ascii="Arial" w:cs="Arial" w:eastAsia="Arial" w:hAnsi="Arial"/>
          <w:sz w:val="18"/>
          <w:szCs w:val="18"/>
          <w:color w:val="auto"/>
        </w:rPr>
        <w:t>Acquired Verve Therapeutics, a Boston-based clinical-stage company developing genetic medicines for cardiovascular disease.</w:t>
      </w:r>
    </w:p>
    <w:p>
      <w:pPr>
        <w:spacing w:after="0" w:line="1" w:lineRule="exact"/>
        <w:rPr>
          <w:rFonts w:ascii="Arial" w:cs="Arial" w:eastAsia="Arial" w:hAnsi="Arial"/>
          <w:sz w:val="16"/>
          <w:szCs w:val="16"/>
          <w:color w:val="auto"/>
        </w:rPr>
      </w:pPr>
    </w:p>
    <w:p>
      <w:pPr>
        <w:ind w:left="160" w:right="1799" w:hanging="154"/>
        <w:spacing w:after="0" w:line="281" w:lineRule="auto"/>
        <w:tabs>
          <w:tab w:leader="none" w:pos="149" w:val="left"/>
        </w:tabs>
        <w:numPr>
          <w:ilvl w:val="0"/>
          <w:numId w:val="6"/>
        </w:numPr>
        <w:rPr>
          <w:rFonts w:ascii="Arial" w:cs="Arial" w:eastAsia="Arial" w:hAnsi="Arial"/>
          <w:sz w:val="16"/>
          <w:szCs w:val="16"/>
          <w:color w:val="auto"/>
        </w:rPr>
      </w:pPr>
      <w:r>
        <w:rPr>
          <w:rFonts w:ascii="Arial" w:cs="Arial" w:eastAsia="Arial" w:hAnsi="Arial"/>
          <w:sz w:val="18"/>
          <w:szCs w:val="18"/>
          <w:color w:val="auto"/>
        </w:rPr>
        <w:t>Launched a platform, giving biotechnology companies access to artificial intelligence (AI)-enabled drug discovery models.</w:t>
      </w:r>
    </w:p>
    <w:p>
      <w:pPr>
        <w:spacing w:after="0" w:line="1" w:lineRule="exact"/>
        <w:rPr>
          <w:rFonts w:ascii="Arial" w:cs="Arial" w:eastAsia="Arial" w:hAnsi="Arial"/>
          <w:sz w:val="16"/>
          <w:szCs w:val="16"/>
          <w:color w:val="auto"/>
        </w:rPr>
      </w:pPr>
    </w:p>
    <w:p>
      <w:pPr>
        <w:ind w:left="160" w:right="1279" w:hanging="154"/>
        <w:spacing w:after="0" w:line="268" w:lineRule="auto"/>
        <w:tabs>
          <w:tab w:leader="none" w:pos="149" w:val="left"/>
        </w:tabs>
        <w:numPr>
          <w:ilvl w:val="0"/>
          <w:numId w:val="6"/>
        </w:numPr>
        <w:rPr>
          <w:rFonts w:ascii="Arial" w:cs="Arial" w:eastAsia="Arial" w:hAnsi="Arial"/>
          <w:sz w:val="16"/>
          <w:szCs w:val="16"/>
          <w:color w:val="auto"/>
        </w:rPr>
      </w:pPr>
      <w:r>
        <w:rPr>
          <w:rFonts w:ascii="Arial" w:cs="Arial" w:eastAsia="Arial" w:hAnsi="Arial"/>
          <w:sz w:val="18"/>
          <w:szCs w:val="18"/>
          <w:color w:val="auto"/>
        </w:rPr>
        <w:t>Announced an agreement to build the pharmaceutical industry’s most powerful AI supercomputer, developing an “AI Factory” that will provide new AI capabilities to help scientists identify, optimize, and validate new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57607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188595</wp:posOffset>
            </wp:positionV>
            <wp:extent cx="5760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38" w:lineRule="exact"/>
        <w:rPr>
          <w:sz w:val="20"/>
          <w:szCs w:val="20"/>
          <w:color w:val="auto"/>
        </w:rPr>
      </w:pPr>
    </w:p>
    <w:p>
      <w:pPr>
        <w:ind w:left="100"/>
        <w:spacing w:after="0"/>
        <w:rPr>
          <w:sz w:val="20"/>
          <w:szCs w:val="20"/>
          <w:color w:val="auto"/>
        </w:rPr>
      </w:pPr>
      <w:r>
        <w:rPr>
          <w:sz w:val="1"/>
          <w:szCs w:val="1"/>
          <w:color w:val="auto"/>
        </w:rPr>
        <w:drawing>
          <wp:inline distT="0" distB="0" distL="0" distR="0">
            <wp:extent cx="308610" cy="30861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610" cy="308610"/>
                    </a:xfrm>
                    <a:prstGeom prst="rect">
                      <a:avLst/>
                    </a:prstGeom>
                    <a:noFill/>
                    <a:ln>
                      <a:noFill/>
                    </a:ln>
                  </pic:spPr>
                </pic:pic>
              </a:graphicData>
            </a:graphic>
          </wp:inline>
        </w:drawing>
      </w:r>
      <w:r>
        <w:rPr>
          <w:rFonts w:ascii="Arial" w:cs="Arial" w:eastAsia="Arial" w:hAnsi="Arial"/>
          <w:sz w:val="25"/>
          <w:szCs w:val="25"/>
          <w:b w:val="1"/>
          <w:bCs w:val="1"/>
          <w:color w:val="auto"/>
        </w:rPr>
        <w:t xml:space="preserve">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5760720" cy="814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0720" cy="814705"/>
                    </a:xfrm>
                    <a:prstGeom prst="rect">
                      <a:avLst/>
                    </a:prstGeom>
                    <a:noFill/>
                  </pic:spPr>
                </pic:pic>
              </a:graphicData>
            </a:graphic>
          </wp:anchor>
        </w:drawing>
      </w:r>
    </w:p>
    <w:p>
      <w:pPr>
        <w:sectPr>
          <w:pgSz w:w="11900" w:h="16838" w:orient="portrait"/>
          <w:cols w:equalWidth="0" w:num="1">
            <w:col w:w="10119"/>
          </w:cols>
          <w:pgMar w:left="340" w:top="1209" w:right="1440" w:bottom="1094" w:gutter="0" w:footer="0" w:header="0"/>
          <w:type w:val="continuous"/>
        </w:sectPr>
      </w:pPr>
    </w:p>
    <w:p>
      <w:pPr>
        <w:spacing w:after="0" w:line="116"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Generated and purchased</w:t>
      </w:r>
    </w:p>
    <w:p>
      <w:pPr>
        <w:spacing w:after="0" w:line="57" w:lineRule="exact"/>
        <w:rPr>
          <w:sz w:val="20"/>
          <w:szCs w:val="20"/>
          <w:color w:val="auto"/>
        </w:rPr>
      </w:pPr>
    </w:p>
    <w:p>
      <w:pPr>
        <w:jc w:val="center"/>
        <w:ind w:left="40"/>
        <w:spacing w:after="0"/>
        <w:rPr>
          <w:sz w:val="20"/>
          <w:szCs w:val="20"/>
          <w:color w:val="auto"/>
        </w:rPr>
      </w:pPr>
      <w:r>
        <w:rPr>
          <w:rFonts w:ascii="Arial" w:cs="Arial" w:eastAsia="Arial" w:hAnsi="Arial"/>
          <w:sz w:val="25"/>
          <w:szCs w:val="25"/>
          <w:b w:val="1"/>
          <w:bCs w:val="1"/>
          <w:color w:val="D52B1E"/>
        </w:rPr>
        <w:t>~80%</w:t>
      </w:r>
    </w:p>
    <w:p>
      <w:pPr>
        <w:spacing w:after="0" w:line="33" w:lineRule="exact"/>
        <w:rPr>
          <w:sz w:val="20"/>
          <w:szCs w:val="20"/>
          <w:color w:val="auto"/>
        </w:rPr>
      </w:pPr>
    </w:p>
    <w:p>
      <w:pPr>
        <w:jc w:val="center"/>
        <w:ind w:left="40"/>
        <w:spacing w:after="0" w:line="258" w:lineRule="auto"/>
        <w:rPr>
          <w:sz w:val="20"/>
          <w:szCs w:val="20"/>
          <w:color w:val="auto"/>
        </w:rPr>
      </w:pPr>
      <w:r>
        <w:rPr>
          <w:rFonts w:ascii="Arial" w:cs="Arial" w:eastAsia="Arial" w:hAnsi="Arial"/>
          <w:sz w:val="18"/>
          <w:szCs w:val="18"/>
          <w:color w:val="auto"/>
        </w:rPr>
        <w:t>of electricity from renewable sources in 2025, including on-site generation, purchased energy and renewable energy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5760720" cy="6172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0720"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1259"/>
        <w:spacing w:after="0"/>
        <w:rPr>
          <w:sz w:val="20"/>
          <w:szCs w:val="20"/>
          <w:color w:val="auto"/>
        </w:rPr>
      </w:pPr>
      <w:r>
        <w:rPr>
          <w:rFonts w:ascii="Arial" w:cs="Arial" w:eastAsia="Arial" w:hAnsi="Arial"/>
          <w:sz w:val="20"/>
          <w:szCs w:val="20"/>
          <w:b w:val="1"/>
          <w:bCs w:val="1"/>
          <w:color w:val="D52B1E"/>
        </w:rPr>
        <w:t>LEED Gold Certification</w:t>
      </w:r>
    </w:p>
    <w:p>
      <w:pPr>
        <w:spacing w:after="0" w:line="25" w:lineRule="exact"/>
        <w:rPr>
          <w:sz w:val="20"/>
          <w:szCs w:val="20"/>
          <w:color w:val="auto"/>
        </w:rPr>
      </w:pPr>
    </w:p>
    <w:p>
      <w:pPr>
        <w:jc w:val="center"/>
        <w:ind w:right="1259"/>
        <w:spacing w:after="0"/>
        <w:rPr>
          <w:sz w:val="20"/>
          <w:szCs w:val="20"/>
          <w:color w:val="auto"/>
        </w:rPr>
      </w:pPr>
      <w:r>
        <w:rPr>
          <w:rFonts w:ascii="Arial" w:cs="Arial" w:eastAsia="Arial" w:hAnsi="Arial"/>
          <w:sz w:val="16"/>
          <w:szCs w:val="16"/>
          <w:color w:val="auto"/>
        </w:rPr>
        <w:t>(Leadership in Energy and Environmental Design)</w:t>
      </w:r>
    </w:p>
    <w:p>
      <w:pPr>
        <w:spacing w:after="0" w:line="106" w:lineRule="exact"/>
        <w:rPr>
          <w:sz w:val="20"/>
          <w:szCs w:val="20"/>
          <w:color w:val="auto"/>
        </w:rPr>
      </w:pPr>
    </w:p>
    <w:p>
      <w:pPr>
        <w:jc w:val="center"/>
        <w:ind w:right="1259"/>
        <w:spacing w:after="0"/>
        <w:rPr>
          <w:sz w:val="20"/>
          <w:szCs w:val="20"/>
          <w:color w:val="auto"/>
        </w:rPr>
      </w:pPr>
      <w:r>
        <w:rPr>
          <w:rFonts w:ascii="Arial" w:cs="Arial" w:eastAsia="Arial" w:hAnsi="Arial"/>
          <w:sz w:val="17"/>
          <w:szCs w:val="17"/>
          <w:color w:val="auto"/>
        </w:rPr>
        <w:t>for sustainable building design and construction</w:t>
      </w:r>
    </w:p>
    <w:p>
      <w:pPr>
        <w:spacing w:after="0" w:line="39" w:lineRule="exact"/>
        <w:rPr>
          <w:sz w:val="20"/>
          <w:szCs w:val="20"/>
          <w:color w:val="auto"/>
        </w:rPr>
      </w:pPr>
    </w:p>
    <w:p>
      <w:pPr>
        <w:jc w:val="center"/>
        <w:ind w:right="1259"/>
        <w:spacing w:after="0"/>
        <w:rPr>
          <w:sz w:val="20"/>
          <w:szCs w:val="20"/>
          <w:color w:val="auto"/>
        </w:rPr>
      </w:pPr>
      <w:r>
        <w:rPr>
          <w:rFonts w:ascii="Arial" w:cs="Arial" w:eastAsia="Arial" w:hAnsi="Arial"/>
          <w:sz w:val="18"/>
          <w:szCs w:val="18"/>
          <w:color w:val="auto"/>
        </w:rPr>
        <w:t>achieved by our Limerick manufacturing site</w:t>
      </w:r>
    </w:p>
    <w:p>
      <w:pPr>
        <w:spacing w:after="0" w:line="116" w:lineRule="exact"/>
        <w:rPr>
          <w:sz w:val="20"/>
          <w:szCs w:val="20"/>
          <w:color w:val="auto"/>
        </w:rPr>
      </w:pPr>
    </w:p>
    <w:p>
      <w:pPr>
        <w:sectPr>
          <w:pgSz w:w="11900" w:h="16838" w:orient="portrait"/>
          <w:cols w:equalWidth="0" w:num="2">
            <w:col w:w="4720" w:space="360"/>
            <w:col w:w="5039"/>
          </w:cols>
          <w:pgMar w:left="340" w:top="1209" w:right="1440" w:bottom="1094" w:gutter="0" w:footer="0" w:header="0"/>
          <w:type w:val="continuous"/>
        </w:sectPr>
      </w:pPr>
    </w:p>
    <w:p>
      <w:pPr>
        <w:ind w:left="3260"/>
        <w:spacing w:after="0"/>
        <w:rPr>
          <w:sz w:val="20"/>
          <w:szCs w:val="20"/>
          <w:color w:val="auto"/>
        </w:rPr>
      </w:pPr>
      <w:r>
        <w:rPr>
          <w:rFonts w:ascii="Arial" w:cs="Arial" w:eastAsia="Arial" w:hAnsi="Arial"/>
          <w:sz w:val="22"/>
          <w:szCs w:val="22"/>
          <w:b w:val="1"/>
          <w:bCs w:val="1"/>
          <w:color w:val="242424"/>
        </w:rPr>
        <w:t>Access and Affordability</w:t>
      </w:r>
    </w:p>
    <w:p>
      <w:pPr>
        <w:spacing w:after="0" w:line="189" w:lineRule="exact"/>
        <w:rPr>
          <w:sz w:val="20"/>
          <w:szCs w:val="20"/>
          <w:color w:val="auto"/>
        </w:rPr>
      </w:pPr>
    </w:p>
    <w:p>
      <w:pPr>
        <w:ind w:right="2199"/>
        <w:spacing w:after="0" w:line="287" w:lineRule="auto"/>
        <w:rPr>
          <w:sz w:val="20"/>
          <w:szCs w:val="20"/>
          <w:color w:val="auto"/>
        </w:rPr>
      </w:pPr>
      <w:r>
        <w:rPr>
          <w:rFonts w:ascii="Arial" w:cs="Arial" w:eastAsia="Arial" w:hAnsi="Arial"/>
          <w:sz w:val="18"/>
          <w:szCs w:val="18"/>
          <w:color w:val="auto"/>
        </w:rPr>
        <w:t>Lilly announced an agreement with the U.S. government to expand access to its obesity medicines and reduce patient costs, including Medicare access for Zepbound that is expected by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5760720"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342900"/>
                    </a:xfrm>
                    <a:prstGeom prst="rect">
                      <a:avLst/>
                    </a:prstGeom>
                    <a:noFill/>
                  </pic:spPr>
                </pic:pic>
              </a:graphicData>
            </a:graphic>
          </wp:anchor>
        </w:drawing>
      </w:r>
    </w:p>
    <w:p>
      <w:pPr>
        <w:spacing w:after="0" w:line="200" w:lineRule="exact"/>
        <w:rPr>
          <w:sz w:val="20"/>
          <w:szCs w:val="20"/>
          <w:color w:val="auto"/>
        </w:rPr>
      </w:pPr>
    </w:p>
    <w:p>
      <w:pPr>
        <w:ind w:left="2280" w:right="1099"/>
        <w:spacing w:after="0" w:line="287" w:lineRule="auto"/>
        <w:rPr>
          <w:sz w:val="20"/>
          <w:szCs w:val="20"/>
          <w:color w:val="auto"/>
        </w:rPr>
      </w:pPr>
      <w:r>
        <w:rPr>
          <w:rFonts w:ascii="Arial" w:cs="Arial" w:eastAsia="Arial" w:hAnsi="Arial"/>
          <w:sz w:val="18"/>
          <w:szCs w:val="18"/>
          <w:color w:val="auto"/>
        </w:rPr>
        <w:t>LillyDirect™ launched the first retail pick-up option with direct-to-consumer pricing for Zepbound.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5760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Lilly also announced multiple expansions designed to boost capacity to make life saving medicines, including:</w:t>
      </w:r>
    </w:p>
    <w:p>
      <w:pPr>
        <w:spacing w:after="0" w:line="90" w:lineRule="exact"/>
        <w:rPr>
          <w:sz w:val="20"/>
          <w:szCs w:val="20"/>
          <w:color w:val="auto"/>
        </w:rPr>
      </w:pPr>
    </w:p>
    <w:p>
      <w:pPr>
        <w:ind w:left="240" w:right="1179" w:hanging="153"/>
        <w:spacing w:after="0" w:line="287"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8"/>
          <w:szCs w:val="18"/>
          <w:color w:val="auto"/>
        </w:rPr>
        <w:t>Plans for a new $3 billion facility to boost oral medicine manufacturing capacity in the Netherlands for patients worldwide</w:t>
      </w:r>
    </w:p>
    <w:p>
      <w:pPr>
        <w:spacing w:after="0" w:line="44" w:lineRule="exact"/>
        <w:rPr>
          <w:rFonts w:ascii="Arial" w:cs="Arial" w:eastAsia="Arial" w:hAnsi="Arial"/>
          <w:sz w:val="16"/>
          <w:szCs w:val="16"/>
          <w:color w:val="auto"/>
        </w:rPr>
      </w:pPr>
    </w:p>
    <w:p>
      <w:pPr>
        <w:ind w:left="240" w:right="1299" w:hanging="153"/>
        <w:spacing w:after="0" w:line="287"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8"/>
          <w:szCs w:val="18"/>
          <w:color w:val="auto"/>
        </w:rPr>
        <w:t>Plans for a more than $1.2 billion investment in our Puerto Rico facility to boost oral medicine manufacturing capacity in the United States</w:t>
      </w:r>
    </w:p>
    <w:p>
      <w:pPr>
        <w:spacing w:after="0" w:line="44" w:lineRule="exact"/>
        <w:rPr>
          <w:rFonts w:ascii="Arial" w:cs="Arial" w:eastAsia="Arial" w:hAnsi="Arial"/>
          <w:sz w:val="16"/>
          <w:szCs w:val="16"/>
          <w:color w:val="auto"/>
        </w:rPr>
      </w:pPr>
    </w:p>
    <w:p>
      <w:pPr>
        <w:ind w:left="240" w:right="1459" w:hanging="153"/>
        <w:spacing w:after="0" w:line="287"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8"/>
          <w:szCs w:val="18"/>
          <w:color w:val="auto"/>
        </w:rPr>
        <w:t>Plans to build a $5 billion manufacturing facility in Virginia to develop active pharmaceutical ingredients for cancer, autoimmune and other advanced therapies</w:t>
      </w:r>
    </w:p>
    <w:p>
      <w:pPr>
        <w:spacing w:after="0" w:line="44" w:lineRule="exact"/>
        <w:rPr>
          <w:rFonts w:ascii="Arial" w:cs="Arial" w:eastAsia="Arial" w:hAnsi="Arial"/>
          <w:sz w:val="16"/>
          <w:szCs w:val="16"/>
          <w:color w:val="auto"/>
        </w:rPr>
      </w:pPr>
    </w:p>
    <w:p>
      <w:pPr>
        <w:ind w:left="240" w:hanging="153"/>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8"/>
          <w:szCs w:val="18"/>
          <w:color w:val="auto"/>
        </w:rPr>
        <w:t>Plans to build a $6.5 billion facility to manufacture active pharmaceutical ingredients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5760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0119"/>
          </w:cols>
          <w:pgMar w:left="340" w:top="1209" w:right="1440" w:bottom="1094"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09" w:right="1440" w:bottom="1094"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D52B1E"/>
        </w:rPr>
        <w:t>Board Leadership and Composition Highlights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Director Nominee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760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Other</w:t>
            </w: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8"/>
              </w:rPr>
              <w:t>Director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Public</w:t>
            </w:r>
          </w:p>
        </w:tc>
        <w:tc>
          <w:tcPr>
            <w:tcW w:w="1980" w:type="dxa"/>
            <w:vAlign w:val="bottom"/>
          </w:tcPr>
          <w:p>
            <w:pPr>
              <w:spacing w:after="0"/>
              <w:rPr>
                <w:sz w:val="18"/>
                <w:szCs w:val="18"/>
                <w:color w:val="auto"/>
              </w:rPr>
            </w:pPr>
          </w:p>
        </w:tc>
        <w:tc>
          <w:tcPr>
            <w:tcW w:w="1460" w:type="dxa"/>
            <w:vAlign w:val="bottom"/>
          </w:tcPr>
          <w:p>
            <w:pPr>
              <w:ind w:left="280"/>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255"/>
        </w:trPr>
        <w:tc>
          <w:tcPr>
            <w:tcW w:w="344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Name</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Since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Boards</w:t>
            </w:r>
          </w:p>
        </w:tc>
        <w:tc>
          <w:tcPr>
            <w:tcW w:w="1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Principal Occupation</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Membership</w:t>
            </w:r>
          </w:p>
        </w:tc>
        <w:tc>
          <w:tcPr>
            <w:tcW w:w="0" w:type="dxa"/>
            <w:vAlign w:val="bottom"/>
          </w:tcPr>
          <w:p>
            <w:pPr>
              <w:spacing w:after="0"/>
              <w:rPr>
                <w:sz w:val="1"/>
                <w:szCs w:val="1"/>
                <w:color w:val="auto"/>
              </w:rPr>
            </w:pPr>
          </w:p>
        </w:tc>
      </w:tr>
      <w:tr>
        <w:trPr>
          <w:trHeight w:val="346"/>
        </w:trPr>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40" w:type="dxa"/>
            <w:vAlign w:val="bottom"/>
            <w:gridSpan w:val="2"/>
          </w:tcPr>
          <w:p>
            <w:pPr>
              <w:ind w:left="60"/>
              <w:spacing w:after="0"/>
              <w:rPr>
                <w:sz w:val="20"/>
                <w:szCs w:val="20"/>
                <w:color w:val="auto"/>
              </w:rPr>
            </w:pPr>
            <w:r>
              <w:rPr>
                <w:rFonts w:ascii="Arial" w:cs="Arial" w:eastAsia="Arial" w:hAnsi="Arial"/>
                <w:sz w:val="18"/>
                <w:szCs w:val="18"/>
                <w:color w:val="auto"/>
              </w:rPr>
              <w:t xml:space="preserve">Professor of Chemistry, </w:t>
            </w:r>
            <w:r>
              <w:rPr>
                <w:rFonts w:ascii="Wingdings" w:cs="Wingdings" w:eastAsia="Wingdings" w:hAnsi="Wingdings"/>
                <w:sz w:val="18"/>
                <w:szCs w:val="18"/>
                <w:b w:val="1"/>
                <w:bCs w:val="1"/>
                <w:color w:val="494949"/>
              </w:rPr>
              <w:t>ü</w:t>
            </w:r>
            <w:r>
              <w:rPr>
                <w:rFonts w:ascii="Arial" w:cs="Arial" w:eastAsia="Arial" w:hAnsi="Arial"/>
                <w:sz w:val="18"/>
                <w:szCs w:val="18"/>
                <w:color w:val="auto"/>
              </w:rPr>
              <w:t>Ethics and</w:t>
            </w:r>
          </w:p>
        </w:tc>
        <w:tc>
          <w:tcPr>
            <w:tcW w:w="0" w:type="dxa"/>
            <w:vAlign w:val="bottom"/>
          </w:tcPr>
          <w:p>
            <w:pPr>
              <w:spacing w:after="0"/>
              <w:rPr>
                <w:sz w:val="1"/>
                <w:szCs w:val="1"/>
                <w:color w:val="auto"/>
              </w:rPr>
            </w:pPr>
          </w:p>
        </w:tc>
      </w:tr>
      <w:tr>
        <w:trPr>
          <w:trHeight w:val="216"/>
        </w:trPr>
        <w:tc>
          <w:tcPr>
            <w:tcW w:w="3440" w:type="dxa"/>
            <w:vAlign w:val="bottom"/>
            <w:vMerge w:val="restart"/>
          </w:tcPr>
          <w:p>
            <w:pPr>
              <w:ind w:left="1620"/>
              <w:spacing w:after="0"/>
              <w:rPr>
                <w:sz w:val="20"/>
                <w:szCs w:val="20"/>
                <w:color w:val="auto"/>
              </w:rPr>
            </w:pPr>
            <w:r>
              <w:rPr>
                <w:rFonts w:ascii="Arial" w:cs="Arial" w:eastAsia="Arial" w:hAnsi="Arial"/>
                <w:sz w:val="22"/>
                <w:szCs w:val="22"/>
                <w:b w:val="1"/>
                <w:bCs w:val="1"/>
                <w:color w:val="auto"/>
              </w:rPr>
              <w:t>Carolyn Bertozzi</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Stanford University;</w:t>
            </w:r>
          </w:p>
        </w:tc>
        <w:tc>
          <w:tcPr>
            <w:tcW w:w="1460" w:type="dxa"/>
            <w:vAlign w:val="bottom"/>
          </w:tcPr>
          <w:p>
            <w:pPr>
              <w:ind w:left="200"/>
              <w:spacing w:after="0"/>
              <w:rPr>
                <w:sz w:val="20"/>
                <w:szCs w:val="20"/>
                <w:color w:val="auto"/>
              </w:rPr>
            </w:pPr>
            <w:r>
              <w:rPr>
                <w:rFonts w:ascii="Arial" w:cs="Arial" w:eastAsia="Arial" w:hAnsi="Arial"/>
                <w:sz w:val="18"/>
                <w:szCs w:val="18"/>
                <w:color w:val="auto"/>
              </w:rPr>
              <w:t>Compliance</w:t>
            </w: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980" w:type="dxa"/>
            <w:vAlign w:val="bottom"/>
          </w:tcPr>
          <w:p>
            <w:pPr>
              <w:ind w:left="60"/>
              <w:spacing w:after="0"/>
              <w:rPr>
                <w:sz w:val="20"/>
                <w:szCs w:val="20"/>
                <w:color w:val="auto"/>
              </w:rPr>
            </w:pPr>
            <w:r>
              <w:rPr>
                <w:rFonts w:ascii="Arial" w:cs="Arial" w:eastAsia="Arial" w:hAnsi="Arial"/>
                <w:sz w:val="18"/>
                <w:szCs w:val="18"/>
                <w:color w:val="auto"/>
              </w:rPr>
              <w:t>Investigator, Howard</w:t>
            </w:r>
          </w:p>
        </w:tc>
        <w:tc>
          <w:tcPr>
            <w:tcW w:w="1460" w:type="dxa"/>
            <w:vAlign w:val="bottom"/>
            <w:vMerge w:val="restart"/>
          </w:tcPr>
          <w:p>
            <w:pPr>
              <w:ind w:left="40"/>
              <w:spacing w:after="0"/>
              <w:rPr>
                <w:sz w:val="20"/>
                <w:szCs w:val="20"/>
                <w:color w:val="auto"/>
              </w:rPr>
            </w:pPr>
            <w:r>
              <w:rPr>
                <w:rFonts w:ascii="Wingdings" w:cs="Wingdings" w:eastAsia="Wingdings" w:hAnsi="Wingdings"/>
                <w:sz w:val="18"/>
                <w:szCs w:val="18"/>
                <w:b w:val="1"/>
                <w:bCs w:val="1"/>
                <w:color w:val="494949"/>
              </w:rPr>
              <w:t xml:space="preserve">ü </w:t>
            </w:r>
            <w:r>
              <w:rPr>
                <w:rFonts w:ascii="Arial" w:cs="Arial" w:eastAsia="Arial" w:hAnsi="Arial"/>
                <w:sz w:val="18"/>
                <w:szCs w:val="18"/>
                <w:color w:val="000000"/>
              </w:rPr>
              <w:t>Science and</w:t>
            </w:r>
          </w:p>
        </w:tc>
        <w:tc>
          <w:tcPr>
            <w:tcW w:w="0" w:type="dxa"/>
            <w:vAlign w:val="bottom"/>
          </w:tcPr>
          <w:p>
            <w:pPr>
              <w:spacing w:after="0"/>
              <w:rPr>
                <w:sz w:val="1"/>
                <w:szCs w:val="1"/>
                <w:color w:val="auto"/>
              </w:rPr>
            </w:pPr>
          </w:p>
        </w:tc>
      </w:tr>
      <w:tr>
        <w:trPr>
          <w:trHeight w:val="208"/>
        </w:trPr>
        <w:tc>
          <w:tcPr>
            <w:tcW w:w="3440" w:type="dxa"/>
            <w:vAlign w:val="bottom"/>
          </w:tcPr>
          <w:p>
            <w:pPr>
              <w:ind w:left="1620"/>
              <w:spacing w:after="0"/>
              <w:rPr>
                <w:sz w:val="20"/>
                <w:szCs w:val="20"/>
                <w:color w:val="auto"/>
              </w:rPr>
            </w:pPr>
            <w:r>
              <w:rPr>
                <w:rFonts w:ascii="Arial" w:cs="Arial" w:eastAsia="Arial" w:hAnsi="Arial"/>
                <w:sz w:val="18"/>
                <w:szCs w:val="18"/>
                <w:color w:val="auto"/>
              </w:rPr>
              <w:t>Independent Director</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Hughes Medical</w:t>
            </w: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Institute</w:t>
            </w:r>
          </w:p>
        </w:tc>
        <w:tc>
          <w:tcPr>
            <w:tcW w:w="146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320"/>
        </w:trPr>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40" w:type="dxa"/>
            <w:vAlign w:val="bottom"/>
            <w:shd w:val="clear" w:color="auto" w:fill="F2F2F2"/>
          </w:tcPr>
          <w:p>
            <w:pPr>
              <w:spacing w:after="0"/>
              <w:rPr>
                <w:sz w:val="19"/>
                <w:szCs w:val="19"/>
                <w:color w:val="auto"/>
              </w:rPr>
            </w:pPr>
          </w:p>
        </w:tc>
        <w:tc>
          <w:tcPr>
            <w:tcW w:w="540" w:type="dxa"/>
            <w:vAlign w:val="bottom"/>
            <w:shd w:val="clear" w:color="auto" w:fill="F2F2F2"/>
          </w:tcPr>
          <w:p>
            <w:pPr>
              <w:spacing w:after="0"/>
              <w:rPr>
                <w:sz w:val="19"/>
                <w:szCs w:val="19"/>
                <w:color w:val="auto"/>
              </w:rPr>
            </w:pPr>
          </w:p>
        </w:tc>
        <w:tc>
          <w:tcPr>
            <w:tcW w:w="880" w:type="dxa"/>
            <w:vAlign w:val="bottom"/>
            <w:shd w:val="clear" w:color="auto" w:fill="F2F2F2"/>
          </w:tcPr>
          <w:p>
            <w:pPr>
              <w:spacing w:after="0"/>
              <w:rPr>
                <w:sz w:val="19"/>
                <w:szCs w:val="19"/>
                <w:color w:val="auto"/>
              </w:rPr>
            </w:pPr>
          </w:p>
        </w:tc>
        <w:tc>
          <w:tcPr>
            <w:tcW w:w="780" w:type="dxa"/>
            <w:vAlign w:val="bottom"/>
            <w:shd w:val="clear" w:color="auto" w:fill="F2F2F2"/>
          </w:tcPr>
          <w:p>
            <w:pPr>
              <w:spacing w:after="0"/>
              <w:rPr>
                <w:sz w:val="19"/>
                <w:szCs w:val="19"/>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8"/>
                <w:szCs w:val="18"/>
                <w:color w:val="auto"/>
              </w:rPr>
              <w:t>Sidney Farber</w:t>
            </w:r>
          </w:p>
        </w:tc>
        <w:tc>
          <w:tcPr>
            <w:tcW w:w="1460" w:type="dxa"/>
            <w:vAlign w:val="bottom"/>
            <w:vMerge w:val="restart"/>
            <w:shd w:val="clear" w:color="auto" w:fill="F2F2F2"/>
          </w:tcPr>
          <w:p>
            <w:pPr>
              <w:ind w:left="40"/>
              <w:spacing w:after="0"/>
              <w:rPr>
                <w:sz w:val="20"/>
                <w:szCs w:val="20"/>
                <w:color w:val="auto"/>
              </w:rPr>
            </w:pPr>
            <w:r>
              <w:rPr>
                <w:rFonts w:ascii="Wingdings" w:cs="Wingdings" w:eastAsia="Wingdings" w:hAnsi="Wingdings"/>
                <w:sz w:val="18"/>
                <w:szCs w:val="18"/>
                <w:b w:val="1"/>
                <w:bCs w:val="1"/>
                <w:color w:val="494949"/>
              </w:rPr>
              <w:t xml:space="preserve">ü </w:t>
            </w:r>
            <w:r>
              <w:rPr>
                <w:rFonts w:ascii="Arial" w:cs="Arial" w:eastAsia="Arial" w:hAnsi="Arial"/>
                <w:sz w:val="18"/>
                <w:szCs w:val="18"/>
                <w:color w:val="000000"/>
              </w:rPr>
              <w:t>Directors and</w:t>
            </w:r>
          </w:p>
        </w:tc>
        <w:tc>
          <w:tcPr>
            <w:tcW w:w="0" w:type="dxa"/>
            <w:vAlign w:val="bottom"/>
          </w:tcPr>
          <w:p>
            <w:pPr>
              <w:spacing w:after="0"/>
              <w:rPr>
                <w:sz w:val="1"/>
                <w:szCs w:val="1"/>
                <w:color w:val="auto"/>
              </w:rPr>
            </w:pPr>
          </w:p>
        </w:tc>
      </w:tr>
      <w:tr>
        <w:trPr>
          <w:trHeight w:val="181"/>
        </w:trPr>
        <w:tc>
          <w:tcPr>
            <w:tcW w:w="3440" w:type="dxa"/>
            <w:vAlign w:val="bottom"/>
            <w:shd w:val="clear" w:color="auto" w:fill="F2F2F2"/>
          </w:tcPr>
          <w:p>
            <w:pPr>
              <w:spacing w:after="0"/>
              <w:rPr>
                <w:sz w:val="15"/>
                <w:szCs w:val="15"/>
                <w:color w:val="auto"/>
              </w:rPr>
            </w:pPr>
          </w:p>
        </w:tc>
        <w:tc>
          <w:tcPr>
            <w:tcW w:w="540" w:type="dxa"/>
            <w:vAlign w:val="bottom"/>
            <w:shd w:val="clear" w:color="auto" w:fill="F2F2F2"/>
          </w:tcPr>
          <w:p>
            <w:pPr>
              <w:spacing w:after="0"/>
              <w:rPr>
                <w:sz w:val="15"/>
                <w:szCs w:val="15"/>
                <w:color w:val="auto"/>
              </w:rPr>
            </w:pPr>
          </w:p>
        </w:tc>
        <w:tc>
          <w:tcPr>
            <w:tcW w:w="880" w:type="dxa"/>
            <w:vAlign w:val="bottom"/>
            <w:shd w:val="clear" w:color="auto" w:fill="F2F2F2"/>
          </w:tcPr>
          <w:p>
            <w:pPr>
              <w:spacing w:after="0"/>
              <w:rPr>
                <w:sz w:val="15"/>
                <w:szCs w:val="15"/>
                <w:color w:val="auto"/>
              </w:rPr>
            </w:pPr>
          </w:p>
        </w:tc>
        <w:tc>
          <w:tcPr>
            <w:tcW w:w="780" w:type="dxa"/>
            <w:vAlign w:val="bottom"/>
            <w:shd w:val="clear" w:color="auto" w:fill="F2F2F2"/>
          </w:tcPr>
          <w:p>
            <w:pPr>
              <w:spacing w:after="0"/>
              <w:rPr>
                <w:sz w:val="15"/>
                <w:szCs w:val="15"/>
                <w:color w:val="auto"/>
              </w:rPr>
            </w:pPr>
          </w:p>
        </w:tc>
        <w:tc>
          <w:tcPr>
            <w:tcW w:w="1980" w:type="dxa"/>
            <w:vAlign w:val="bottom"/>
            <w:shd w:val="clear" w:color="auto" w:fill="F2F2F2"/>
          </w:tcPr>
          <w:p>
            <w:pPr>
              <w:ind w:left="60"/>
              <w:spacing w:after="0" w:line="181" w:lineRule="exact"/>
              <w:rPr>
                <w:sz w:val="20"/>
                <w:szCs w:val="20"/>
                <w:color w:val="auto"/>
              </w:rPr>
            </w:pPr>
            <w:r>
              <w:rPr>
                <w:rFonts w:ascii="Arial" w:cs="Arial" w:eastAsia="Arial" w:hAnsi="Arial"/>
                <w:sz w:val="18"/>
                <w:szCs w:val="18"/>
                <w:color w:val="auto"/>
              </w:rPr>
              <w:t>Professor of Medicine,</w:t>
            </w:r>
          </w:p>
        </w:tc>
        <w:tc>
          <w:tcPr>
            <w:tcW w:w="1460" w:type="dxa"/>
            <w:vAlign w:val="bottom"/>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40" w:type="dxa"/>
            <w:vAlign w:val="bottom"/>
            <w:shd w:val="clear" w:color="auto" w:fill="F2F2F2"/>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8"/>
                <w:szCs w:val="18"/>
                <w:color w:val="auto"/>
              </w:rPr>
              <w:t>Harvard Medical</w:t>
            </w:r>
          </w:p>
        </w:tc>
        <w:tc>
          <w:tcPr>
            <w:tcW w:w="1460" w:type="dxa"/>
            <w:vAlign w:val="bottom"/>
            <w:shd w:val="clear" w:color="auto" w:fill="F2F2F2"/>
          </w:tcPr>
          <w:p>
            <w:pPr>
              <w:ind w:left="200"/>
              <w:spacing w:after="0" w:line="170" w:lineRule="exact"/>
              <w:rPr>
                <w:sz w:val="20"/>
                <w:szCs w:val="20"/>
                <w:color w:val="auto"/>
              </w:rPr>
            </w:pPr>
            <w:r>
              <w:rPr>
                <w:rFonts w:ascii="Arial" w:cs="Arial" w:eastAsia="Arial" w:hAnsi="Arial"/>
                <w:sz w:val="18"/>
                <w:szCs w:val="18"/>
                <w:color w:val="auto"/>
              </w:rPr>
              <w:t>Corporate</w:t>
            </w:r>
          </w:p>
        </w:tc>
        <w:tc>
          <w:tcPr>
            <w:tcW w:w="0" w:type="dxa"/>
            <w:vAlign w:val="bottom"/>
          </w:tcPr>
          <w:p>
            <w:pPr>
              <w:spacing w:after="0"/>
              <w:rPr>
                <w:sz w:val="1"/>
                <w:szCs w:val="1"/>
                <w:color w:val="auto"/>
              </w:rPr>
            </w:pPr>
          </w:p>
        </w:tc>
      </w:tr>
      <w:tr>
        <w:trPr>
          <w:trHeight w:val="81"/>
        </w:trPr>
        <w:tc>
          <w:tcPr>
            <w:tcW w:w="3440" w:type="dxa"/>
            <w:vAlign w:val="bottom"/>
            <w:vMerge w:val="restart"/>
            <w:shd w:val="clear" w:color="auto" w:fill="F2F2F2"/>
          </w:tcPr>
          <w:p>
            <w:pPr>
              <w:ind w:left="1620"/>
              <w:spacing w:after="0"/>
              <w:rPr>
                <w:sz w:val="20"/>
                <w:szCs w:val="20"/>
                <w:color w:val="auto"/>
              </w:rPr>
            </w:pPr>
            <w:r>
              <w:rPr>
                <w:rFonts w:ascii="Arial" w:cs="Arial" w:eastAsia="Arial" w:hAnsi="Arial"/>
                <w:sz w:val="22"/>
                <w:szCs w:val="22"/>
                <w:b w:val="1"/>
                <w:bCs w:val="1"/>
                <w:color w:val="auto"/>
              </w:rPr>
              <w:t>William Kaelin,</w:t>
            </w:r>
          </w:p>
        </w:tc>
        <w:tc>
          <w:tcPr>
            <w:tcW w:w="54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980" w:type="dxa"/>
            <w:vAlign w:val="bottom"/>
            <w:vMerge w:val="continue"/>
            <w:shd w:val="clear" w:color="auto" w:fill="F2F2F2"/>
          </w:tcPr>
          <w:p>
            <w:pPr>
              <w:spacing w:after="0"/>
              <w:rPr>
                <w:sz w:val="7"/>
                <w:szCs w:val="7"/>
                <w:color w:val="auto"/>
              </w:rPr>
            </w:pPr>
          </w:p>
        </w:tc>
        <w:tc>
          <w:tcPr>
            <w:tcW w:w="1460" w:type="dxa"/>
            <w:vAlign w:val="bottom"/>
            <w:vMerge w:val="restart"/>
            <w:shd w:val="clear" w:color="auto" w:fill="F2F2F2"/>
          </w:tcPr>
          <w:p>
            <w:pPr>
              <w:ind w:left="200"/>
              <w:spacing w:after="0"/>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16"/>
        </w:trPr>
        <w:tc>
          <w:tcPr>
            <w:tcW w:w="3440" w:type="dxa"/>
            <w:vAlign w:val="bottom"/>
            <w:vMerge w:val="continue"/>
            <w:shd w:val="clear" w:color="auto" w:fill="F2F2F2"/>
          </w:tcPr>
          <w:p>
            <w:pPr>
              <w:spacing w:after="0"/>
              <w:rPr>
                <w:sz w:val="18"/>
                <w:szCs w:val="18"/>
                <w:color w:val="auto"/>
              </w:rPr>
            </w:pPr>
          </w:p>
        </w:tc>
        <w:tc>
          <w:tcPr>
            <w:tcW w:w="5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68</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2012</w:t>
            </w: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1</w:t>
            </w:r>
          </w:p>
        </w:tc>
        <w:tc>
          <w:tcPr>
            <w:tcW w:w="1980" w:type="dxa"/>
            <w:vAlign w:val="bottom"/>
            <w:shd w:val="clear" w:color="auto" w:fill="F2F2F2"/>
          </w:tcPr>
          <w:p>
            <w:pPr>
              <w:ind w:left="60"/>
              <w:spacing w:after="0"/>
              <w:rPr>
                <w:sz w:val="20"/>
                <w:szCs w:val="20"/>
                <w:color w:val="auto"/>
              </w:rPr>
            </w:pPr>
            <w:r>
              <w:rPr>
                <w:rFonts w:ascii="Arial" w:cs="Arial" w:eastAsia="Arial" w:hAnsi="Arial"/>
                <w:sz w:val="18"/>
                <w:szCs w:val="18"/>
                <w:color w:val="auto"/>
              </w:rPr>
              <w:t>School; Professor,</w:t>
            </w:r>
          </w:p>
        </w:tc>
        <w:tc>
          <w:tcPr>
            <w:tcW w:w="146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440" w:type="dxa"/>
            <w:vAlign w:val="bottom"/>
            <w:vMerge w:val="restart"/>
            <w:shd w:val="clear" w:color="auto" w:fill="F2F2F2"/>
          </w:tcPr>
          <w:p>
            <w:pPr>
              <w:ind w:left="1620"/>
              <w:spacing w:after="0"/>
              <w:rPr>
                <w:sz w:val="20"/>
                <w:szCs w:val="20"/>
                <w:color w:val="auto"/>
              </w:rPr>
            </w:pPr>
            <w:r>
              <w:rPr>
                <w:rFonts w:ascii="Arial" w:cs="Arial" w:eastAsia="Arial" w:hAnsi="Arial"/>
                <w:sz w:val="22"/>
                <w:szCs w:val="22"/>
                <w:b w:val="1"/>
                <w:bCs w:val="1"/>
                <w:color w:val="auto"/>
              </w:rPr>
              <w:t>Jr.</w:t>
            </w:r>
          </w:p>
        </w:tc>
        <w:tc>
          <w:tcPr>
            <w:tcW w:w="540" w:type="dxa"/>
            <w:vAlign w:val="bottom"/>
            <w:vMerge w:val="continue"/>
            <w:shd w:val="clear" w:color="auto" w:fill="F2F2F2"/>
          </w:tcPr>
          <w:p>
            <w:pPr>
              <w:spacing w:after="0"/>
              <w:rPr>
                <w:sz w:val="11"/>
                <w:szCs w:val="11"/>
                <w:color w:val="auto"/>
              </w:rPr>
            </w:pPr>
          </w:p>
        </w:tc>
        <w:tc>
          <w:tcPr>
            <w:tcW w:w="880" w:type="dxa"/>
            <w:vAlign w:val="bottom"/>
            <w:vMerge w:val="continue"/>
            <w:shd w:val="clear" w:color="auto" w:fill="F2F2F2"/>
          </w:tcPr>
          <w:p>
            <w:pPr>
              <w:spacing w:after="0"/>
              <w:rPr>
                <w:sz w:val="11"/>
                <w:szCs w:val="11"/>
                <w:color w:val="auto"/>
              </w:rPr>
            </w:pPr>
          </w:p>
        </w:tc>
        <w:tc>
          <w:tcPr>
            <w:tcW w:w="780" w:type="dxa"/>
            <w:vAlign w:val="bottom"/>
            <w:vMerge w:val="continue"/>
            <w:shd w:val="clear" w:color="auto" w:fill="F2F2F2"/>
          </w:tcPr>
          <w:p>
            <w:pPr>
              <w:spacing w:after="0"/>
              <w:rPr>
                <w:sz w:val="11"/>
                <w:szCs w:val="11"/>
                <w:color w:val="auto"/>
              </w:rPr>
            </w:pP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8"/>
                <w:szCs w:val="18"/>
                <w:color w:val="auto"/>
              </w:rPr>
              <w:t>Dana-Farber Cancer</w:t>
            </w:r>
          </w:p>
        </w:tc>
        <w:tc>
          <w:tcPr>
            <w:tcW w:w="1460" w:type="dxa"/>
            <w:vAlign w:val="bottom"/>
            <w:vMerge w:val="restart"/>
            <w:shd w:val="clear" w:color="auto" w:fill="F2F2F2"/>
          </w:tcPr>
          <w:p>
            <w:pPr>
              <w:ind w:left="40"/>
              <w:spacing w:after="0"/>
              <w:rPr>
                <w:sz w:val="20"/>
                <w:szCs w:val="20"/>
                <w:color w:val="auto"/>
              </w:rPr>
            </w:pPr>
            <w:r>
              <w:rPr>
                <w:rFonts w:ascii="Wingdings" w:cs="Wingdings" w:eastAsia="Wingdings" w:hAnsi="Wingdings"/>
                <w:sz w:val="18"/>
                <w:szCs w:val="18"/>
                <w:b w:val="1"/>
                <w:bCs w:val="1"/>
                <w:color w:val="494949"/>
              </w:rPr>
              <w:t xml:space="preserve">ü </w:t>
            </w:r>
            <w:r>
              <w:rPr>
                <w:rFonts w:ascii="Arial" w:cs="Arial" w:eastAsia="Arial" w:hAnsi="Arial"/>
                <w:sz w:val="18"/>
                <w:szCs w:val="18"/>
                <w:color w:val="000000"/>
              </w:rPr>
              <w:t>Science and</w:t>
            </w:r>
          </w:p>
        </w:tc>
        <w:tc>
          <w:tcPr>
            <w:tcW w:w="0" w:type="dxa"/>
            <w:vAlign w:val="bottom"/>
          </w:tcPr>
          <w:p>
            <w:pPr>
              <w:spacing w:after="0"/>
              <w:rPr>
                <w:sz w:val="1"/>
                <w:szCs w:val="1"/>
                <w:color w:val="auto"/>
              </w:rPr>
            </w:pPr>
          </w:p>
        </w:tc>
      </w:tr>
      <w:tr>
        <w:trPr>
          <w:trHeight w:val="131"/>
        </w:trPr>
        <w:tc>
          <w:tcPr>
            <w:tcW w:w="3440" w:type="dxa"/>
            <w:vAlign w:val="bottom"/>
            <w:vMerge w:val="continue"/>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8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1980" w:type="dxa"/>
            <w:vAlign w:val="bottom"/>
            <w:vMerge w:val="continue"/>
            <w:shd w:val="clear" w:color="auto" w:fill="F2F2F2"/>
          </w:tcPr>
          <w:p>
            <w:pPr>
              <w:spacing w:after="0"/>
              <w:rPr>
                <w:sz w:val="11"/>
                <w:szCs w:val="11"/>
                <w:color w:val="auto"/>
              </w:rPr>
            </w:pPr>
          </w:p>
        </w:tc>
        <w:tc>
          <w:tcPr>
            <w:tcW w:w="146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F2F2F2"/>
          </w:tcPr>
          <w:p>
            <w:pPr>
              <w:ind w:left="1620"/>
              <w:spacing w:after="0"/>
              <w:rPr>
                <w:sz w:val="20"/>
                <w:szCs w:val="20"/>
                <w:color w:val="auto"/>
              </w:rPr>
            </w:pPr>
            <w:r>
              <w:rPr>
                <w:rFonts w:ascii="Arial" w:cs="Arial" w:eastAsia="Arial" w:hAnsi="Arial"/>
                <w:sz w:val="18"/>
                <w:szCs w:val="18"/>
                <w:color w:val="auto"/>
              </w:rPr>
              <w:t>Independent Director</w:t>
            </w:r>
          </w:p>
        </w:tc>
        <w:tc>
          <w:tcPr>
            <w:tcW w:w="54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780" w:type="dxa"/>
            <w:vAlign w:val="bottom"/>
            <w:shd w:val="clear" w:color="auto" w:fill="F2F2F2"/>
          </w:tcPr>
          <w:p>
            <w:pPr>
              <w:spacing w:after="0"/>
              <w:rPr>
                <w:sz w:val="18"/>
                <w:szCs w:val="18"/>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8"/>
                <w:szCs w:val="18"/>
                <w:color w:val="auto"/>
              </w:rPr>
              <w:t>Institute; Investigator,</w:t>
            </w:r>
          </w:p>
        </w:tc>
        <w:tc>
          <w:tcPr>
            <w:tcW w:w="1460" w:type="dxa"/>
            <w:vAlign w:val="bottom"/>
            <w:shd w:val="clear" w:color="auto" w:fill="F2F2F2"/>
          </w:tcPr>
          <w:p>
            <w:pPr>
              <w:ind w:left="20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70"/>
        </w:trPr>
        <w:tc>
          <w:tcPr>
            <w:tcW w:w="3440" w:type="dxa"/>
            <w:vAlign w:val="bottom"/>
            <w:shd w:val="clear" w:color="auto" w:fill="F2F2F2"/>
          </w:tcPr>
          <w:p>
            <w:pPr>
              <w:spacing w:after="0"/>
              <w:rPr>
                <w:sz w:val="14"/>
                <w:szCs w:val="14"/>
                <w:color w:val="auto"/>
              </w:rPr>
            </w:pPr>
          </w:p>
        </w:tc>
        <w:tc>
          <w:tcPr>
            <w:tcW w:w="54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1980" w:type="dxa"/>
            <w:vAlign w:val="bottom"/>
            <w:shd w:val="clear" w:color="auto" w:fill="F2F2F2"/>
          </w:tcPr>
          <w:p>
            <w:pPr>
              <w:ind w:left="60"/>
              <w:spacing w:after="0" w:line="170" w:lineRule="exact"/>
              <w:rPr>
                <w:sz w:val="20"/>
                <w:szCs w:val="20"/>
                <w:color w:val="auto"/>
              </w:rPr>
            </w:pPr>
            <w:r>
              <w:rPr>
                <w:rFonts w:ascii="Arial" w:cs="Arial" w:eastAsia="Arial" w:hAnsi="Arial"/>
                <w:sz w:val="18"/>
                <w:szCs w:val="18"/>
                <w:color w:val="auto"/>
              </w:rPr>
              <w:t>Howard Hughes</w:t>
            </w:r>
          </w:p>
        </w:tc>
        <w:tc>
          <w:tcPr>
            <w:tcW w:w="1460" w:type="dxa"/>
            <w:vAlign w:val="bottom"/>
            <w:vMerge w:val="restart"/>
            <w:shd w:val="clear" w:color="auto" w:fill="F2F2F2"/>
          </w:tcPr>
          <w:p>
            <w:pPr>
              <w:ind w:left="20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104"/>
        </w:trPr>
        <w:tc>
          <w:tcPr>
            <w:tcW w:w="3440" w:type="dxa"/>
            <w:vAlign w:val="bottom"/>
            <w:shd w:val="clear" w:color="auto" w:fill="F2F2F2"/>
          </w:tcPr>
          <w:p>
            <w:pPr>
              <w:spacing w:after="0"/>
              <w:rPr>
                <w:sz w:val="9"/>
                <w:szCs w:val="9"/>
                <w:color w:val="auto"/>
              </w:rPr>
            </w:pPr>
          </w:p>
        </w:tc>
        <w:tc>
          <w:tcPr>
            <w:tcW w:w="540" w:type="dxa"/>
            <w:vAlign w:val="bottom"/>
            <w:shd w:val="clear" w:color="auto" w:fill="F2F2F2"/>
          </w:tcPr>
          <w:p>
            <w:pPr>
              <w:spacing w:after="0"/>
              <w:rPr>
                <w:sz w:val="9"/>
                <w:szCs w:val="9"/>
                <w:color w:val="auto"/>
              </w:rPr>
            </w:pPr>
          </w:p>
        </w:tc>
        <w:tc>
          <w:tcPr>
            <w:tcW w:w="880" w:type="dxa"/>
            <w:vAlign w:val="bottom"/>
            <w:shd w:val="clear" w:color="auto" w:fill="F2F2F2"/>
          </w:tcPr>
          <w:p>
            <w:pPr>
              <w:spacing w:after="0"/>
              <w:rPr>
                <w:sz w:val="9"/>
                <w:szCs w:val="9"/>
                <w:color w:val="auto"/>
              </w:rPr>
            </w:pPr>
          </w:p>
        </w:tc>
        <w:tc>
          <w:tcPr>
            <w:tcW w:w="780" w:type="dxa"/>
            <w:vAlign w:val="bottom"/>
            <w:shd w:val="clear" w:color="auto" w:fill="F2F2F2"/>
          </w:tcPr>
          <w:p>
            <w:pPr>
              <w:spacing w:after="0"/>
              <w:rPr>
                <w:sz w:val="9"/>
                <w:szCs w:val="9"/>
                <w:color w:val="auto"/>
              </w:rPr>
            </w:pP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8"/>
                <w:szCs w:val="18"/>
                <w:color w:val="auto"/>
              </w:rPr>
              <w:t>Medical Institute</w:t>
            </w:r>
          </w:p>
        </w:tc>
        <w:tc>
          <w:tcPr>
            <w:tcW w:w="146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8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1980" w:type="dxa"/>
            <w:vAlign w:val="bottom"/>
            <w:vMerge w:val="continue"/>
            <w:shd w:val="clear" w:color="auto" w:fill="F2F2F2"/>
          </w:tcPr>
          <w:p>
            <w:pPr>
              <w:spacing w:after="0"/>
              <w:rPr>
                <w:sz w:val="11"/>
                <w:szCs w:val="11"/>
                <w:color w:val="auto"/>
              </w:rPr>
            </w:pPr>
          </w:p>
        </w:tc>
        <w:tc>
          <w:tcPr>
            <w:tcW w:w="146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F2F2F2"/>
          </w:tcPr>
          <w:p>
            <w:pPr>
              <w:spacing w:after="0"/>
              <w:rPr>
                <w:sz w:val="16"/>
                <w:szCs w:val="16"/>
                <w:color w:val="auto"/>
              </w:rPr>
            </w:pPr>
          </w:p>
        </w:tc>
        <w:tc>
          <w:tcPr>
            <w:tcW w:w="54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78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146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Executive Chairman,</w:t>
            </w:r>
          </w:p>
        </w:tc>
        <w:tc>
          <w:tcPr>
            <w:tcW w:w="1460" w:type="dxa"/>
            <w:vAlign w:val="bottom"/>
            <w:vMerge w:val="restart"/>
          </w:tcPr>
          <w:p>
            <w:pPr>
              <w:ind w:left="40"/>
              <w:spacing w:after="0"/>
              <w:rPr>
                <w:sz w:val="20"/>
                <w:szCs w:val="20"/>
                <w:color w:val="auto"/>
              </w:rPr>
            </w:pPr>
            <w:r>
              <w:rPr>
                <w:rFonts w:ascii="Wingdings" w:cs="Wingdings" w:eastAsia="Wingdings" w:hAnsi="Wingdings"/>
                <w:sz w:val="18"/>
                <w:szCs w:val="18"/>
                <w:b w:val="1"/>
                <w:bCs w:val="1"/>
                <w:color w:val="494949"/>
              </w:rPr>
              <w:t xml:space="preserve">ü </w:t>
            </w:r>
            <w:r>
              <w:rPr>
                <w:rFonts w:ascii="Arial" w:cs="Arial" w:eastAsia="Arial" w:hAnsi="Arial"/>
                <w:sz w:val="18"/>
                <w:szCs w:val="18"/>
                <w:color w:val="000000"/>
              </w:rPr>
              <w:t>Audit</w:t>
            </w:r>
          </w:p>
        </w:tc>
        <w:tc>
          <w:tcPr>
            <w:tcW w:w="0" w:type="dxa"/>
            <w:vAlign w:val="bottom"/>
          </w:tcPr>
          <w:p>
            <w:pPr>
              <w:spacing w:after="0"/>
              <w:rPr>
                <w:sz w:val="1"/>
                <w:szCs w:val="1"/>
                <w:color w:val="auto"/>
              </w:rPr>
            </w:pPr>
          </w:p>
        </w:tc>
      </w:tr>
      <w:tr>
        <w:trPr>
          <w:trHeight w:val="158"/>
        </w:trPr>
        <w:tc>
          <w:tcPr>
            <w:tcW w:w="3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80" w:type="dxa"/>
            <w:vAlign w:val="bottom"/>
            <w:vMerge w:val="restart"/>
          </w:tcPr>
          <w:p>
            <w:pPr>
              <w:ind w:left="60"/>
              <w:spacing w:after="0"/>
              <w:rPr>
                <w:sz w:val="20"/>
                <w:szCs w:val="20"/>
                <w:color w:val="auto"/>
              </w:rPr>
            </w:pPr>
            <w:r>
              <w:rPr>
                <w:rFonts w:ascii="Arial" w:cs="Arial" w:eastAsia="Arial" w:hAnsi="Arial"/>
                <w:sz w:val="18"/>
                <w:szCs w:val="18"/>
                <w:color w:val="auto"/>
              </w:rPr>
              <w:t>Former Chairman,</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ind w:left="1620"/>
              <w:spacing w:after="0"/>
              <w:rPr>
                <w:sz w:val="20"/>
                <w:szCs w:val="20"/>
                <w:color w:val="auto"/>
              </w:rPr>
            </w:pPr>
            <w:r>
              <w:rPr>
                <w:rFonts w:ascii="Arial" w:cs="Arial" w:eastAsia="Arial" w:hAnsi="Arial"/>
                <w:sz w:val="22"/>
                <w:szCs w:val="22"/>
                <w:b w:val="1"/>
                <w:bCs w:val="1"/>
                <w:color w:val="auto"/>
              </w:rPr>
              <w:t>Jon Moeller</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99"/>
              </w:rPr>
              <w:t>61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2024</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980" w:type="dxa"/>
            <w:vAlign w:val="bottom"/>
          </w:tcPr>
          <w:p>
            <w:pPr>
              <w:ind w:left="60"/>
              <w:spacing w:after="0"/>
              <w:rPr>
                <w:sz w:val="20"/>
                <w:szCs w:val="20"/>
                <w:color w:val="auto"/>
              </w:rPr>
            </w:pPr>
            <w:r>
              <w:rPr>
                <w:rFonts w:ascii="Arial" w:cs="Arial" w:eastAsia="Arial" w:hAnsi="Arial"/>
                <w:sz w:val="18"/>
                <w:szCs w:val="18"/>
                <w:color w:val="auto"/>
              </w:rPr>
              <w:t>President and Chief</w:t>
            </w:r>
          </w:p>
        </w:tc>
        <w:tc>
          <w:tcPr>
            <w:tcW w:w="1460" w:type="dxa"/>
            <w:vAlign w:val="bottom"/>
            <w:vMerge w:val="restart"/>
          </w:tcPr>
          <w:p>
            <w:pPr>
              <w:ind w:left="40"/>
              <w:spacing w:after="0"/>
              <w:rPr>
                <w:sz w:val="20"/>
                <w:szCs w:val="20"/>
                <w:color w:val="auto"/>
              </w:rPr>
            </w:pPr>
            <w:r>
              <w:rPr>
                <w:rFonts w:ascii="Wingdings" w:cs="Wingdings" w:eastAsia="Wingdings" w:hAnsi="Wingdings"/>
                <w:sz w:val="18"/>
                <w:szCs w:val="18"/>
                <w:b w:val="1"/>
                <w:bCs w:val="1"/>
                <w:color w:val="494949"/>
              </w:rPr>
              <w:t xml:space="preserve">ü </w:t>
            </w:r>
            <w:r>
              <w:rPr>
                <w:rFonts w:ascii="Arial" w:cs="Arial" w:eastAsia="Arial" w:hAnsi="Arial"/>
                <w:sz w:val="18"/>
                <w:szCs w:val="18"/>
                <w:color w:val="000000"/>
              </w:rPr>
              <w:t>Directors and</w:t>
            </w:r>
          </w:p>
        </w:tc>
        <w:tc>
          <w:tcPr>
            <w:tcW w:w="0" w:type="dxa"/>
            <w:vAlign w:val="bottom"/>
          </w:tcPr>
          <w:p>
            <w:pPr>
              <w:spacing w:after="0"/>
              <w:rPr>
                <w:sz w:val="1"/>
                <w:szCs w:val="1"/>
                <w:color w:val="auto"/>
              </w:rPr>
            </w:pPr>
          </w:p>
        </w:tc>
      </w:tr>
      <w:tr>
        <w:trPr>
          <w:trHeight w:val="86"/>
        </w:trPr>
        <w:tc>
          <w:tcPr>
            <w:tcW w:w="34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980" w:type="dxa"/>
            <w:vAlign w:val="bottom"/>
            <w:vMerge w:val="restart"/>
          </w:tcPr>
          <w:p>
            <w:pPr>
              <w:ind w:left="60"/>
              <w:spacing w:after="0"/>
              <w:rPr>
                <w:sz w:val="20"/>
                <w:szCs w:val="20"/>
                <w:color w:val="auto"/>
              </w:rPr>
            </w:pPr>
            <w:r>
              <w:rPr>
                <w:rFonts w:ascii="Arial" w:cs="Arial" w:eastAsia="Arial" w:hAnsi="Arial"/>
                <w:sz w:val="18"/>
                <w:szCs w:val="18"/>
                <w:color w:val="auto"/>
              </w:rPr>
              <w:t>Executive Officer, The</w:t>
            </w: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3440" w:type="dxa"/>
            <w:vAlign w:val="bottom"/>
            <w:vMerge w:val="restart"/>
          </w:tcPr>
          <w:p>
            <w:pPr>
              <w:ind w:left="1620"/>
              <w:spacing w:after="0"/>
              <w:rPr>
                <w:sz w:val="20"/>
                <w:szCs w:val="20"/>
                <w:color w:val="auto"/>
              </w:rPr>
            </w:pPr>
            <w:r>
              <w:rPr>
                <w:rFonts w:ascii="Arial" w:cs="Arial" w:eastAsia="Arial" w:hAnsi="Arial"/>
                <w:sz w:val="18"/>
                <w:szCs w:val="18"/>
                <w:color w:val="auto"/>
              </w:rPr>
              <w:t>Independent Director</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460" w:type="dxa"/>
            <w:vAlign w:val="bottom"/>
            <w:vMerge w:val="restart"/>
          </w:tcPr>
          <w:p>
            <w:pPr>
              <w:ind w:left="200"/>
              <w:spacing w:after="0"/>
              <w:rPr>
                <w:sz w:val="20"/>
                <w:szCs w:val="20"/>
                <w:color w:val="auto"/>
              </w:rPr>
            </w:pPr>
            <w:r>
              <w:rPr>
                <w:rFonts w:ascii="Arial" w:cs="Arial" w:eastAsia="Arial" w:hAnsi="Arial"/>
                <w:sz w:val="18"/>
                <w:szCs w:val="18"/>
                <w:color w:val="auto"/>
              </w:rPr>
              <w:t>Corporate</w:t>
            </w:r>
          </w:p>
        </w:tc>
        <w:tc>
          <w:tcPr>
            <w:tcW w:w="0" w:type="dxa"/>
            <w:vAlign w:val="bottom"/>
          </w:tcPr>
          <w:p>
            <w:pPr>
              <w:spacing w:after="0"/>
              <w:rPr>
                <w:sz w:val="1"/>
                <w:szCs w:val="1"/>
                <w:color w:val="auto"/>
              </w:rPr>
            </w:pPr>
          </w:p>
        </w:tc>
      </w:tr>
      <w:tr>
        <w:trPr>
          <w:trHeight w:val="81"/>
        </w:trPr>
        <w:tc>
          <w:tcPr>
            <w:tcW w:w="34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980" w:type="dxa"/>
            <w:vAlign w:val="bottom"/>
            <w:vMerge w:val="restart"/>
          </w:tcPr>
          <w:p>
            <w:pPr>
              <w:ind w:left="60"/>
              <w:spacing w:after="0"/>
              <w:rPr>
                <w:sz w:val="20"/>
                <w:szCs w:val="20"/>
                <w:color w:val="auto"/>
              </w:rPr>
            </w:pPr>
            <w:r>
              <w:rPr>
                <w:rFonts w:ascii="Arial" w:cs="Arial" w:eastAsia="Arial" w:hAnsi="Arial"/>
                <w:sz w:val="18"/>
                <w:szCs w:val="18"/>
                <w:color w:val="auto"/>
              </w:rPr>
              <w:t>Procter &amp; Gamble</w:t>
            </w: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4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460" w:type="dxa"/>
            <w:vAlign w:val="bottom"/>
            <w:vMerge w:val="restart"/>
          </w:tcPr>
          <w:p>
            <w:pPr>
              <w:ind w:left="200"/>
              <w:spacing w:after="0"/>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45"/>
        </w:trPr>
        <w:tc>
          <w:tcPr>
            <w:tcW w:w="3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980" w:type="dxa"/>
            <w:vAlign w:val="bottom"/>
            <w:vMerge w:val="restart"/>
          </w:tcPr>
          <w:p>
            <w:pPr>
              <w:ind w:left="60"/>
              <w:spacing w:after="0"/>
              <w:rPr>
                <w:sz w:val="20"/>
                <w:szCs w:val="20"/>
                <w:color w:val="auto"/>
              </w:rPr>
            </w:pPr>
            <w:r>
              <w:rPr>
                <w:rFonts w:ascii="Arial" w:cs="Arial" w:eastAsia="Arial" w:hAnsi="Arial"/>
                <w:sz w:val="18"/>
                <w:szCs w:val="18"/>
                <w:color w:val="auto"/>
              </w:rPr>
              <w:t>Company</w:t>
            </w: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5"/>
        </w:trPr>
        <w:tc>
          <w:tcPr>
            <w:tcW w:w="3440" w:type="dxa"/>
            <w:vAlign w:val="bottom"/>
            <w:vMerge w:val="restart"/>
            <w:shd w:val="clear" w:color="auto" w:fill="F2F2F2"/>
          </w:tcPr>
          <w:p>
            <w:pPr>
              <w:ind w:left="1620"/>
              <w:spacing w:after="0"/>
              <w:rPr>
                <w:sz w:val="20"/>
                <w:szCs w:val="20"/>
                <w:color w:val="auto"/>
              </w:rPr>
            </w:pPr>
            <w:r>
              <w:rPr>
                <w:rFonts w:ascii="Arial" w:cs="Arial" w:eastAsia="Arial" w:hAnsi="Arial"/>
                <w:sz w:val="22"/>
                <w:szCs w:val="22"/>
                <w:b w:val="1"/>
                <w:bCs w:val="1"/>
                <w:color w:val="auto"/>
              </w:rPr>
              <w:t>David Ricks</w:t>
            </w:r>
          </w:p>
        </w:tc>
        <w:tc>
          <w:tcPr>
            <w:tcW w:w="540" w:type="dxa"/>
            <w:vAlign w:val="bottom"/>
            <w:shd w:val="clear" w:color="auto" w:fill="F2F2F2"/>
          </w:tcPr>
          <w:p>
            <w:pPr>
              <w:spacing w:after="0"/>
              <w:rPr>
                <w:sz w:val="24"/>
                <w:szCs w:val="24"/>
                <w:color w:val="auto"/>
              </w:rPr>
            </w:pPr>
          </w:p>
        </w:tc>
        <w:tc>
          <w:tcPr>
            <w:tcW w:w="880" w:type="dxa"/>
            <w:vAlign w:val="bottom"/>
            <w:shd w:val="clear" w:color="auto" w:fill="F2F2F2"/>
          </w:tcPr>
          <w:p>
            <w:pPr>
              <w:spacing w:after="0"/>
              <w:rPr>
                <w:sz w:val="24"/>
                <w:szCs w:val="24"/>
                <w:color w:val="auto"/>
              </w:rPr>
            </w:pPr>
          </w:p>
        </w:tc>
        <w:tc>
          <w:tcPr>
            <w:tcW w:w="780" w:type="dxa"/>
            <w:vAlign w:val="bottom"/>
            <w:shd w:val="clear" w:color="auto" w:fill="F2F2F2"/>
          </w:tcPr>
          <w:p>
            <w:pPr>
              <w:spacing w:after="0"/>
              <w:rPr>
                <w:sz w:val="24"/>
                <w:szCs w:val="24"/>
                <w:color w:val="auto"/>
              </w:rPr>
            </w:pPr>
          </w:p>
        </w:tc>
        <w:tc>
          <w:tcPr>
            <w:tcW w:w="1980" w:type="dxa"/>
            <w:vAlign w:val="bottom"/>
            <w:shd w:val="clear" w:color="auto" w:fill="F2F2F2"/>
          </w:tcPr>
          <w:p>
            <w:pPr>
              <w:ind w:left="60"/>
              <w:spacing w:after="0"/>
              <w:rPr>
                <w:sz w:val="20"/>
                <w:szCs w:val="20"/>
                <w:color w:val="auto"/>
              </w:rPr>
            </w:pPr>
            <w:r>
              <w:rPr>
                <w:rFonts w:ascii="Arial" w:cs="Arial" w:eastAsia="Arial" w:hAnsi="Arial"/>
                <w:sz w:val="18"/>
                <w:szCs w:val="18"/>
                <w:color w:val="auto"/>
              </w:rPr>
              <w:t>Chair, President and</w:t>
            </w:r>
          </w:p>
        </w:tc>
        <w:tc>
          <w:tcPr>
            <w:tcW w:w="14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40" w:type="dxa"/>
            <w:vAlign w:val="bottom"/>
            <w:vMerge w:val="continue"/>
            <w:shd w:val="clear" w:color="auto" w:fill="F2F2F2"/>
          </w:tcPr>
          <w:p>
            <w:pPr>
              <w:spacing w:after="0"/>
              <w:rPr>
                <w:sz w:val="12"/>
                <w:szCs w:val="12"/>
                <w:color w:val="auto"/>
              </w:rPr>
            </w:pPr>
          </w:p>
        </w:tc>
        <w:tc>
          <w:tcPr>
            <w:tcW w:w="54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58</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2017</w:t>
            </w:r>
          </w:p>
        </w:tc>
        <w:tc>
          <w:tcPr>
            <w:tcW w:w="780" w:type="dxa"/>
            <w:vAlign w:val="bottom"/>
            <w:vMerge w:val="restart"/>
            <w:shd w:val="clear" w:color="auto" w:fill="F2F2F2"/>
          </w:tcPr>
          <w:p>
            <w:pPr>
              <w:jc w:val="center"/>
              <w:spacing w:after="0"/>
              <w:rPr>
                <w:sz w:val="20"/>
                <w:szCs w:val="20"/>
                <w:color w:val="auto"/>
              </w:rPr>
            </w:pPr>
            <w:r>
              <w:rPr>
                <w:rFonts w:ascii="Arial" w:cs="Arial" w:eastAsia="Arial" w:hAnsi="Arial"/>
                <w:sz w:val="18"/>
                <w:szCs w:val="18"/>
                <w:color w:val="auto"/>
                <w:w w:val="99"/>
              </w:rPr>
              <w:t>1</w:t>
            </w: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8"/>
                <w:szCs w:val="18"/>
                <w:color w:val="auto"/>
              </w:rPr>
              <w:t>Chief Executive Officer,</w:t>
            </w:r>
          </w:p>
        </w:tc>
        <w:tc>
          <w:tcPr>
            <w:tcW w:w="146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440" w:type="dxa"/>
            <w:vAlign w:val="bottom"/>
            <w:vMerge w:val="restart"/>
            <w:shd w:val="clear" w:color="auto" w:fill="F2F2F2"/>
          </w:tcPr>
          <w:p>
            <w:pPr>
              <w:ind w:left="1620"/>
              <w:spacing w:after="0"/>
              <w:rPr>
                <w:sz w:val="20"/>
                <w:szCs w:val="20"/>
                <w:color w:val="auto"/>
              </w:rPr>
            </w:pPr>
            <w:r>
              <w:rPr>
                <w:rFonts w:ascii="Arial" w:cs="Arial" w:eastAsia="Arial" w:hAnsi="Arial"/>
                <w:sz w:val="18"/>
                <w:szCs w:val="18"/>
                <w:color w:val="auto"/>
              </w:rPr>
              <w:t>President, CEO and</w:t>
            </w:r>
          </w:p>
        </w:tc>
        <w:tc>
          <w:tcPr>
            <w:tcW w:w="540" w:type="dxa"/>
            <w:vAlign w:val="bottom"/>
            <w:vMerge w:val="continue"/>
            <w:shd w:val="clear" w:color="auto" w:fill="F2F2F2"/>
          </w:tcPr>
          <w:p>
            <w:pPr>
              <w:spacing w:after="0"/>
              <w:rPr>
                <w:sz w:val="5"/>
                <w:szCs w:val="5"/>
                <w:color w:val="auto"/>
              </w:rPr>
            </w:pPr>
          </w:p>
        </w:tc>
        <w:tc>
          <w:tcPr>
            <w:tcW w:w="880" w:type="dxa"/>
            <w:vAlign w:val="bottom"/>
            <w:vMerge w:val="continue"/>
            <w:shd w:val="clear" w:color="auto" w:fill="F2F2F2"/>
          </w:tcPr>
          <w:p>
            <w:pPr>
              <w:spacing w:after="0"/>
              <w:rPr>
                <w:sz w:val="5"/>
                <w:szCs w:val="5"/>
                <w:color w:val="auto"/>
              </w:rPr>
            </w:pPr>
          </w:p>
        </w:tc>
        <w:tc>
          <w:tcPr>
            <w:tcW w:w="780" w:type="dxa"/>
            <w:vAlign w:val="bottom"/>
            <w:vMerge w:val="continue"/>
            <w:shd w:val="clear" w:color="auto" w:fill="F2F2F2"/>
          </w:tcPr>
          <w:p>
            <w:pPr>
              <w:spacing w:after="0"/>
              <w:rPr>
                <w:sz w:val="5"/>
                <w:szCs w:val="5"/>
                <w:color w:val="auto"/>
              </w:rPr>
            </w:pPr>
          </w:p>
        </w:tc>
        <w:tc>
          <w:tcPr>
            <w:tcW w:w="1980" w:type="dxa"/>
            <w:vAlign w:val="bottom"/>
            <w:vMerge w:val="continue"/>
            <w:shd w:val="clear" w:color="auto" w:fill="F2F2F2"/>
          </w:tcPr>
          <w:p>
            <w:pPr>
              <w:spacing w:after="0"/>
              <w:rPr>
                <w:sz w:val="5"/>
                <w:szCs w:val="5"/>
                <w:color w:val="auto"/>
              </w:rPr>
            </w:pPr>
          </w:p>
        </w:tc>
        <w:tc>
          <w:tcPr>
            <w:tcW w:w="14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440" w:type="dxa"/>
            <w:vAlign w:val="bottom"/>
            <w:vMerge w:val="continue"/>
            <w:shd w:val="clear" w:color="auto" w:fill="F2F2F2"/>
          </w:tcPr>
          <w:p>
            <w:pPr>
              <w:spacing w:after="0"/>
              <w:rPr>
                <w:sz w:val="12"/>
                <w:szCs w:val="12"/>
                <w:color w:val="auto"/>
              </w:rPr>
            </w:pPr>
          </w:p>
        </w:tc>
        <w:tc>
          <w:tcPr>
            <w:tcW w:w="54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1980" w:type="dxa"/>
            <w:vAlign w:val="bottom"/>
            <w:vMerge w:val="restart"/>
            <w:shd w:val="clear" w:color="auto" w:fill="F2F2F2"/>
          </w:tcPr>
          <w:p>
            <w:pPr>
              <w:ind w:left="60"/>
              <w:spacing w:after="0"/>
              <w:rPr>
                <w:sz w:val="20"/>
                <w:szCs w:val="20"/>
                <w:color w:val="auto"/>
              </w:rPr>
            </w:pPr>
            <w:r>
              <w:rPr>
                <w:rFonts w:ascii="Arial" w:cs="Arial" w:eastAsia="Arial" w:hAnsi="Arial"/>
                <w:sz w:val="18"/>
                <w:szCs w:val="18"/>
                <w:color w:val="auto"/>
              </w:rPr>
              <w:t>Eli Lilly and Company</w:t>
            </w:r>
          </w:p>
        </w:tc>
        <w:tc>
          <w:tcPr>
            <w:tcW w:w="146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440" w:type="dxa"/>
            <w:vAlign w:val="bottom"/>
            <w:vMerge w:val="restart"/>
            <w:shd w:val="clear" w:color="auto" w:fill="F2F2F2"/>
          </w:tcPr>
          <w:p>
            <w:pPr>
              <w:ind w:left="1620"/>
              <w:spacing w:after="0"/>
              <w:rPr>
                <w:sz w:val="20"/>
                <w:szCs w:val="20"/>
                <w:color w:val="auto"/>
              </w:rPr>
            </w:pPr>
            <w:r>
              <w:rPr>
                <w:rFonts w:ascii="Arial" w:cs="Arial" w:eastAsia="Arial" w:hAnsi="Arial"/>
                <w:sz w:val="18"/>
                <w:szCs w:val="18"/>
                <w:color w:val="auto"/>
              </w:rPr>
              <w:t>Chair</w:t>
            </w:r>
          </w:p>
        </w:tc>
        <w:tc>
          <w:tcPr>
            <w:tcW w:w="540" w:type="dxa"/>
            <w:vAlign w:val="bottom"/>
            <w:shd w:val="clear" w:color="auto" w:fill="F2F2F2"/>
          </w:tcPr>
          <w:p>
            <w:pPr>
              <w:spacing w:after="0"/>
              <w:rPr>
                <w:sz w:val="7"/>
                <w:szCs w:val="7"/>
                <w:color w:val="auto"/>
              </w:rPr>
            </w:pPr>
          </w:p>
        </w:tc>
        <w:tc>
          <w:tcPr>
            <w:tcW w:w="880" w:type="dxa"/>
            <w:vAlign w:val="bottom"/>
            <w:shd w:val="clear" w:color="auto" w:fill="F2F2F2"/>
          </w:tcPr>
          <w:p>
            <w:pPr>
              <w:spacing w:after="0"/>
              <w:rPr>
                <w:sz w:val="7"/>
                <w:szCs w:val="7"/>
                <w:color w:val="auto"/>
              </w:rPr>
            </w:pPr>
          </w:p>
        </w:tc>
        <w:tc>
          <w:tcPr>
            <w:tcW w:w="780" w:type="dxa"/>
            <w:vAlign w:val="bottom"/>
            <w:shd w:val="clear" w:color="auto" w:fill="F2F2F2"/>
          </w:tcPr>
          <w:p>
            <w:pPr>
              <w:spacing w:after="0"/>
              <w:rPr>
                <w:sz w:val="7"/>
                <w:szCs w:val="7"/>
                <w:color w:val="auto"/>
              </w:rPr>
            </w:pPr>
          </w:p>
        </w:tc>
        <w:tc>
          <w:tcPr>
            <w:tcW w:w="1980" w:type="dxa"/>
            <w:vAlign w:val="bottom"/>
            <w:vMerge w:val="continue"/>
            <w:shd w:val="clear" w:color="auto" w:fill="F2F2F2"/>
          </w:tcPr>
          <w:p>
            <w:pPr>
              <w:spacing w:after="0"/>
              <w:rPr>
                <w:sz w:val="7"/>
                <w:szCs w:val="7"/>
                <w:color w:val="auto"/>
              </w:rPr>
            </w:pPr>
          </w:p>
        </w:tc>
        <w:tc>
          <w:tcPr>
            <w:tcW w:w="146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440" w:type="dxa"/>
            <w:vAlign w:val="bottom"/>
            <w:vMerge w:val="continue"/>
            <w:shd w:val="clear" w:color="auto" w:fill="F2F2F2"/>
          </w:tcPr>
          <w:p>
            <w:pPr>
              <w:spacing w:after="0"/>
              <w:rPr>
                <w:sz w:val="12"/>
                <w:szCs w:val="12"/>
                <w:color w:val="auto"/>
              </w:rPr>
            </w:pPr>
          </w:p>
        </w:tc>
        <w:tc>
          <w:tcPr>
            <w:tcW w:w="54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c>
          <w:tcPr>
            <w:tcW w:w="780" w:type="dxa"/>
            <w:vAlign w:val="bottom"/>
            <w:shd w:val="clear" w:color="auto" w:fill="F2F2F2"/>
          </w:tcPr>
          <w:p>
            <w:pPr>
              <w:spacing w:after="0"/>
              <w:rPr>
                <w:sz w:val="12"/>
                <w:szCs w:val="12"/>
                <w:color w:val="auto"/>
              </w:rPr>
            </w:pPr>
          </w:p>
        </w:tc>
        <w:tc>
          <w:tcPr>
            <w:tcW w:w="1980" w:type="dxa"/>
            <w:vAlign w:val="bottom"/>
            <w:shd w:val="clear" w:color="auto" w:fill="F2F2F2"/>
          </w:tcPr>
          <w:p>
            <w:pPr>
              <w:spacing w:after="0"/>
              <w:rPr>
                <w:sz w:val="12"/>
                <w:szCs w:val="12"/>
                <w:color w:val="auto"/>
              </w:rPr>
            </w:pPr>
          </w:p>
        </w:tc>
        <w:tc>
          <w:tcPr>
            <w:tcW w:w="146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388"/>
        </w:trPr>
        <w:tc>
          <w:tcPr>
            <w:tcW w:w="3440" w:type="dxa"/>
            <w:vAlign w:val="bottom"/>
            <w:tcBorders>
              <w:bottom w:val="single" w:sz="8" w:color="auto"/>
            </w:tcBorders>
            <w:shd w:val="clear" w:color="auto" w:fill="F2F2F2"/>
          </w:tcPr>
          <w:p>
            <w:pPr>
              <w:spacing w:after="0"/>
              <w:rPr>
                <w:sz w:val="24"/>
                <w:szCs w:val="24"/>
                <w:color w:val="auto"/>
              </w:rPr>
            </w:pPr>
          </w:p>
        </w:tc>
        <w:tc>
          <w:tcPr>
            <w:tcW w:w="540" w:type="dxa"/>
            <w:vAlign w:val="bottom"/>
            <w:tcBorders>
              <w:bottom w:val="single" w:sz="8" w:color="auto"/>
            </w:tcBorders>
            <w:shd w:val="clear" w:color="auto" w:fill="F2F2F2"/>
          </w:tcPr>
          <w:p>
            <w:pPr>
              <w:spacing w:after="0"/>
              <w:rPr>
                <w:sz w:val="24"/>
                <w:szCs w:val="24"/>
                <w:color w:val="auto"/>
              </w:rPr>
            </w:pPr>
          </w:p>
        </w:tc>
        <w:tc>
          <w:tcPr>
            <w:tcW w:w="880" w:type="dxa"/>
            <w:vAlign w:val="bottom"/>
            <w:tcBorders>
              <w:bottom w:val="single" w:sz="8" w:color="auto"/>
            </w:tcBorders>
            <w:shd w:val="clear" w:color="auto" w:fill="F2F2F2"/>
          </w:tcPr>
          <w:p>
            <w:pPr>
              <w:spacing w:after="0"/>
              <w:rPr>
                <w:sz w:val="24"/>
                <w:szCs w:val="24"/>
                <w:color w:val="auto"/>
              </w:rPr>
            </w:pPr>
          </w:p>
        </w:tc>
        <w:tc>
          <w:tcPr>
            <w:tcW w:w="780" w:type="dxa"/>
            <w:vAlign w:val="bottom"/>
            <w:tcBorders>
              <w:bottom w:val="single" w:sz="8" w:color="auto"/>
            </w:tcBorders>
            <w:shd w:val="clear" w:color="auto" w:fill="F2F2F2"/>
          </w:tcPr>
          <w:p>
            <w:pPr>
              <w:spacing w:after="0"/>
              <w:rPr>
                <w:sz w:val="24"/>
                <w:szCs w:val="24"/>
                <w:color w:val="auto"/>
              </w:rPr>
            </w:pPr>
          </w:p>
        </w:tc>
        <w:tc>
          <w:tcPr>
            <w:tcW w:w="1980" w:type="dxa"/>
            <w:vAlign w:val="bottom"/>
            <w:tcBorders>
              <w:bottom w:val="single" w:sz="8" w:color="auto"/>
            </w:tcBorders>
            <w:shd w:val="clear" w:color="auto" w:fill="F2F2F2"/>
          </w:tcPr>
          <w:p>
            <w:pPr>
              <w:spacing w:after="0"/>
              <w:rPr>
                <w:sz w:val="24"/>
                <w:szCs w:val="24"/>
                <w:color w:val="auto"/>
              </w:rPr>
            </w:pPr>
          </w:p>
        </w:tc>
        <w:tc>
          <w:tcPr>
            <w:tcW w:w="1460" w:type="dxa"/>
            <w:vAlign w:val="bottom"/>
            <w:tcBorders>
              <w:bottom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-4208145</wp:posOffset>
            </wp:positionV>
            <wp:extent cx="985520" cy="908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5520" cy="90868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-3102610</wp:posOffset>
            </wp:positionV>
            <wp:extent cx="985520" cy="908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85520" cy="90868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-1988185</wp:posOffset>
            </wp:positionV>
            <wp:extent cx="985520" cy="19030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5520" cy="190309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Board Leadership and Structure Information</w:t>
      </w:r>
    </w:p>
    <w:p>
      <w:pPr>
        <w:spacing w:after="0" w:line="182" w:lineRule="exact"/>
        <w:rPr>
          <w:sz w:val="20"/>
          <w:szCs w:val="20"/>
          <w:color w:val="auto"/>
        </w:rPr>
      </w:pPr>
    </w:p>
    <w:p>
      <w:pPr>
        <w:ind w:left="480" w:hanging="310"/>
        <w:spacing w:after="0"/>
        <w:tabs>
          <w:tab w:leader="none" w:pos="480" w:val="left"/>
        </w:tabs>
        <w:numPr>
          <w:ilvl w:val="0"/>
          <w:numId w:val="8"/>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Lead Independent Director: </w:t>
      </w:r>
      <w:r>
        <w:rPr>
          <w:rFonts w:ascii="Arial" w:cs="Arial" w:eastAsia="Arial" w:hAnsi="Arial"/>
          <w:sz w:val="17"/>
          <w:szCs w:val="17"/>
          <w:color w:val="auto"/>
        </w:rPr>
        <w:t>We have a strong lead independent director empowered with clearly defined responsibilities.</w:t>
      </w:r>
    </w:p>
    <w:p>
      <w:pPr>
        <w:spacing w:after="0" w:line="173" w:lineRule="exact"/>
        <w:rPr>
          <w:rFonts w:ascii="Arial" w:cs="Arial" w:eastAsia="Arial" w:hAnsi="Arial"/>
          <w:sz w:val="16"/>
          <w:szCs w:val="16"/>
          <w:b w:val="1"/>
          <w:bCs w:val="1"/>
          <w:color w:val="auto"/>
        </w:rPr>
      </w:pPr>
    </w:p>
    <w:p>
      <w:pPr>
        <w:ind w:left="500" w:right="200" w:hanging="330"/>
        <w:spacing w:after="0" w:line="268" w:lineRule="auto"/>
        <w:tabs>
          <w:tab w:leader="none" w:pos="489" w:val="left"/>
        </w:tabs>
        <w:numPr>
          <w:ilvl w:val="0"/>
          <w:numId w:val="8"/>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Independent Committees: </w:t>
      </w:r>
      <w:r>
        <w:rPr>
          <w:rFonts w:ascii="Arial" w:cs="Arial" w:eastAsia="Arial" w:hAnsi="Arial"/>
          <w:sz w:val="17"/>
          <w:szCs w:val="17"/>
          <w:color w:val="auto"/>
        </w:rPr>
        <w:t>All standing board committees are composed solely of independent directors and led by independent</w:t>
      </w:r>
      <w:r>
        <w:rPr>
          <w:rFonts w:ascii="Arial" w:cs="Arial" w:eastAsia="Arial" w:hAnsi="Arial"/>
          <w:sz w:val="19"/>
          <w:szCs w:val="19"/>
          <w:b w:val="1"/>
          <w:bCs w:val="1"/>
          <w:color w:val="auto"/>
        </w:rPr>
        <w:t xml:space="preserve"> </w:t>
      </w:r>
      <w:r>
        <w:rPr>
          <w:rFonts w:ascii="Arial" w:cs="Arial" w:eastAsia="Arial" w:hAnsi="Arial"/>
          <w:sz w:val="17"/>
          <w:szCs w:val="17"/>
          <w:color w:val="auto"/>
        </w:rPr>
        <w:t>committee chairs.</w:t>
      </w:r>
    </w:p>
    <w:p>
      <w:pPr>
        <w:spacing w:after="0" w:line="119" w:lineRule="exact"/>
        <w:rPr>
          <w:rFonts w:ascii="Arial" w:cs="Arial" w:eastAsia="Arial" w:hAnsi="Arial"/>
          <w:sz w:val="16"/>
          <w:szCs w:val="16"/>
          <w:b w:val="1"/>
          <w:bCs w:val="1"/>
          <w:color w:val="auto"/>
        </w:rPr>
      </w:pPr>
    </w:p>
    <w:p>
      <w:pPr>
        <w:ind w:left="500" w:right="460" w:hanging="330"/>
        <w:spacing w:after="0" w:line="268" w:lineRule="auto"/>
        <w:tabs>
          <w:tab w:leader="none" w:pos="489" w:val="left"/>
        </w:tabs>
        <w:numPr>
          <w:ilvl w:val="0"/>
          <w:numId w:val="8"/>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Executive Sessions: </w:t>
      </w:r>
      <w:r>
        <w:rPr>
          <w:rFonts w:ascii="Arial" w:cs="Arial" w:eastAsia="Arial" w:hAnsi="Arial"/>
          <w:sz w:val="17"/>
          <w:szCs w:val="17"/>
          <w:color w:val="auto"/>
        </w:rPr>
        <w:t>Our board schedules executive sessions of the independent directors that are presided over by the lead</w:t>
      </w:r>
      <w:r>
        <w:rPr>
          <w:rFonts w:ascii="Arial" w:cs="Arial" w:eastAsia="Arial" w:hAnsi="Arial"/>
          <w:sz w:val="19"/>
          <w:szCs w:val="19"/>
          <w:b w:val="1"/>
          <w:bCs w:val="1"/>
          <w:color w:val="auto"/>
        </w:rPr>
        <w:t xml:space="preserve"> </w:t>
      </w:r>
      <w:r>
        <w:rPr>
          <w:rFonts w:ascii="Arial" w:cs="Arial" w:eastAsia="Arial" w:hAnsi="Arial"/>
          <w:sz w:val="17"/>
          <w:szCs w:val="17"/>
          <w:color w:val="auto"/>
        </w:rPr>
        <w:t>independent director at every regular board meeting.</w:t>
      </w:r>
    </w:p>
    <w:p>
      <w:pPr>
        <w:spacing w:after="0" w:line="119" w:lineRule="exact"/>
        <w:rPr>
          <w:rFonts w:ascii="Arial" w:cs="Arial" w:eastAsia="Arial" w:hAnsi="Arial"/>
          <w:sz w:val="16"/>
          <w:szCs w:val="16"/>
          <w:b w:val="1"/>
          <w:bCs w:val="1"/>
          <w:color w:val="auto"/>
        </w:rPr>
      </w:pPr>
    </w:p>
    <w:p>
      <w:pPr>
        <w:ind w:left="500" w:right="460" w:hanging="330"/>
        <w:spacing w:after="0" w:line="268" w:lineRule="auto"/>
        <w:tabs>
          <w:tab w:leader="none" w:pos="489" w:val="left"/>
        </w:tabs>
        <w:numPr>
          <w:ilvl w:val="0"/>
          <w:numId w:val="8"/>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Access to Management and Advisors: </w:t>
      </w:r>
      <w:r>
        <w:rPr>
          <w:rFonts w:ascii="Arial" w:cs="Arial" w:eastAsia="Arial" w:hAnsi="Arial"/>
          <w:sz w:val="17"/>
          <w:szCs w:val="17"/>
          <w:color w:val="auto"/>
        </w:rPr>
        <w:t>Our independent directors actively engage in board meetings, have direct access to</w:t>
      </w:r>
      <w:r>
        <w:rPr>
          <w:rFonts w:ascii="Arial" w:cs="Arial" w:eastAsia="Arial" w:hAnsi="Arial"/>
          <w:sz w:val="19"/>
          <w:szCs w:val="19"/>
          <w:b w:val="1"/>
          <w:bCs w:val="1"/>
          <w:color w:val="auto"/>
        </w:rPr>
        <w:t xml:space="preserve"> </w:t>
      </w:r>
      <w:r>
        <w:rPr>
          <w:rFonts w:ascii="Arial" w:cs="Arial" w:eastAsia="Arial" w:hAnsi="Arial"/>
          <w:sz w:val="17"/>
          <w:szCs w:val="17"/>
          <w:color w:val="auto"/>
        </w:rPr>
        <w:t>management, and, along with our board committees, have discretion to hire independent advisors at the company’s expense.</w:t>
      </w:r>
    </w:p>
    <w:p>
      <w:pPr>
        <w:spacing w:after="0" w:line="119" w:lineRule="exact"/>
        <w:rPr>
          <w:rFonts w:ascii="Arial" w:cs="Arial" w:eastAsia="Arial" w:hAnsi="Arial"/>
          <w:sz w:val="16"/>
          <w:szCs w:val="16"/>
          <w:b w:val="1"/>
          <w:bCs w:val="1"/>
          <w:color w:val="auto"/>
        </w:rPr>
      </w:pPr>
    </w:p>
    <w:p>
      <w:pPr>
        <w:ind w:left="500" w:hanging="330"/>
        <w:spacing w:after="0" w:line="300" w:lineRule="auto"/>
        <w:tabs>
          <w:tab w:leader="none" w:pos="489" w:val="left"/>
        </w:tabs>
        <w:numPr>
          <w:ilvl w:val="0"/>
          <w:numId w:val="8"/>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Conflict of Interest Management: </w:t>
      </w:r>
      <w:r>
        <w:rPr>
          <w:rFonts w:ascii="Arial" w:cs="Arial" w:eastAsia="Arial" w:hAnsi="Arial"/>
          <w:sz w:val="17"/>
          <w:szCs w:val="17"/>
          <w:color w:val="auto"/>
        </w:rPr>
        <w:t>Our conflict of interest policy requires disclosures of potential conflicts to Lilly and clarifies when</w:t>
      </w:r>
      <w:r>
        <w:rPr>
          <w:rFonts w:ascii="Arial" w:cs="Arial" w:eastAsia="Arial" w:hAnsi="Arial"/>
          <w:sz w:val="19"/>
          <w:szCs w:val="19"/>
          <w:b w:val="1"/>
          <w:bCs w:val="1"/>
          <w:color w:val="auto"/>
        </w:rPr>
        <w:t xml:space="preserve"> </w:t>
      </w:r>
      <w:r>
        <w:rPr>
          <w:rFonts w:ascii="Arial" w:cs="Arial" w:eastAsia="Arial" w:hAnsi="Arial"/>
          <w:sz w:val="17"/>
          <w:szCs w:val="17"/>
          <w:color w:val="auto"/>
        </w:rPr>
        <w:t>Lilly board service must be disclosed to others.</w:t>
      </w:r>
    </w:p>
    <w:p>
      <w:pPr>
        <w:spacing w:after="0" w:line="90" w:lineRule="exact"/>
        <w:rPr>
          <w:rFonts w:ascii="Arial" w:cs="Arial" w:eastAsia="Arial" w:hAnsi="Arial"/>
          <w:sz w:val="16"/>
          <w:szCs w:val="16"/>
          <w:b w:val="1"/>
          <w:bCs w:val="1"/>
          <w:color w:val="auto"/>
        </w:rPr>
      </w:pPr>
    </w:p>
    <w:p>
      <w:pPr>
        <w:ind w:left="500" w:right="100" w:hanging="330"/>
        <w:spacing w:after="0" w:line="267" w:lineRule="auto"/>
        <w:tabs>
          <w:tab w:leader="none" w:pos="489" w:val="left"/>
        </w:tabs>
        <w:numPr>
          <w:ilvl w:val="0"/>
          <w:numId w:val="8"/>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CEO Selection and Compensation: </w:t>
      </w:r>
      <w:r>
        <w:rPr>
          <w:rFonts w:ascii="Arial" w:cs="Arial" w:eastAsia="Arial" w:hAnsi="Arial"/>
          <w:sz w:val="17"/>
          <w:szCs w:val="17"/>
          <w:color w:val="auto"/>
        </w:rPr>
        <w:t>Our independent directors lead the board’s process for selecting the chief executive officer</w:t>
      </w:r>
      <w:r>
        <w:rPr>
          <w:rFonts w:ascii="Arial" w:cs="Arial" w:eastAsia="Arial" w:hAnsi="Arial"/>
          <w:sz w:val="19"/>
          <w:szCs w:val="19"/>
          <w:b w:val="1"/>
          <w:bCs w:val="1"/>
          <w:color w:val="auto"/>
        </w:rPr>
        <w:t xml:space="preserve"> </w:t>
      </w:r>
      <w:r>
        <w:rPr>
          <w:rFonts w:ascii="Arial" w:cs="Arial" w:eastAsia="Arial" w:hAnsi="Arial"/>
          <w:sz w:val="17"/>
          <w:szCs w:val="17"/>
          <w:color w:val="auto"/>
        </w:rPr>
        <w:t>(CEO). Our Talent and Compensation Committee (and, in the case of our CEO, in consultation with other independent directors and our external compensation consultant) establishes the compensation for our CEO and other executive officers.</w:t>
      </w:r>
    </w:p>
    <w:p>
      <w:pPr>
        <w:sectPr>
          <w:pgSz w:w="11900" w:h="16838" w:orient="portrait"/>
          <w:cols w:equalWidth="0" w:num="1">
            <w:col w:w="11060"/>
          </w:cols>
          <w:pgMar w:left="320" w:top="1243" w:right="519" w:bottom="1440" w:gutter="0" w:footer="0" w:header="0"/>
        </w:sect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43" w:right="519" w:bottom="1440" w:gutter="0" w:footer="0" w:header="0"/>
          <w:type w:val="continuous"/>
        </w:sectPr>
      </w:pPr>
    </w:p>
    <w:bookmarkStart w:id="8" w:name="page9"/>
    <w:bookmarkEnd w:id="8"/>
    <w:p>
      <w:pPr>
        <w:ind w:left="500" w:right="60" w:hanging="330"/>
        <w:spacing w:after="0" w:line="267" w:lineRule="auto"/>
        <w:tabs>
          <w:tab w:leader="none" w:pos="48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Refreshment: </w:t>
      </w:r>
      <w:r>
        <w:rPr>
          <w:rFonts w:ascii="Arial" w:cs="Arial" w:eastAsia="Arial" w:hAnsi="Arial"/>
          <w:sz w:val="17"/>
          <w:szCs w:val="17"/>
          <w:color w:val="auto"/>
        </w:rPr>
        <w:t>We are committed to maintaining an active and insightful board and seek to balance continuity of experience with fresh</w:t>
      </w:r>
      <w:r>
        <w:rPr>
          <w:rFonts w:ascii="Arial" w:cs="Arial" w:eastAsia="Arial" w:hAnsi="Arial"/>
          <w:sz w:val="19"/>
          <w:szCs w:val="19"/>
          <w:b w:val="1"/>
          <w:bCs w:val="1"/>
          <w:color w:val="auto"/>
        </w:rPr>
        <w:t xml:space="preserve"> </w:t>
      </w:r>
      <w:r>
        <w:rPr>
          <w:rFonts w:ascii="Arial" w:cs="Arial" w:eastAsia="Arial" w:hAnsi="Arial"/>
          <w:sz w:val="17"/>
          <w:szCs w:val="17"/>
          <w:color w:val="auto"/>
        </w:rPr>
        <w:t>perspectives. We also have robust board and committee education programs that cultivate the evolution of director skills as the company evolves.</w:t>
      </w:r>
    </w:p>
    <w:p>
      <w:pPr>
        <w:spacing w:after="0" w:line="119" w:lineRule="exact"/>
        <w:rPr>
          <w:rFonts w:ascii="Arial" w:cs="Arial" w:eastAsia="Arial" w:hAnsi="Arial"/>
          <w:sz w:val="16"/>
          <w:szCs w:val="16"/>
          <w:b w:val="1"/>
          <w:bCs w:val="1"/>
          <w:color w:val="auto"/>
        </w:rPr>
      </w:pPr>
    </w:p>
    <w:p>
      <w:pPr>
        <w:ind w:left="500" w:right="260" w:hanging="330"/>
        <w:spacing w:after="0" w:line="267" w:lineRule="auto"/>
        <w:tabs>
          <w:tab w:leader="none" w:pos="489" w:val="left"/>
        </w:tabs>
        <w:numPr>
          <w:ilvl w:val="0"/>
          <w:numId w:val="9"/>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Robust Annual Assessment: </w:t>
      </w:r>
      <w:r>
        <w:rPr>
          <w:rFonts w:ascii="Arial" w:cs="Arial" w:eastAsia="Arial" w:hAnsi="Arial"/>
          <w:sz w:val="17"/>
          <w:szCs w:val="17"/>
          <w:color w:val="auto"/>
        </w:rPr>
        <w:t>Our board conducts a robust annual assessment of its performance led by the lead independent</w:t>
      </w:r>
      <w:r>
        <w:rPr>
          <w:rFonts w:ascii="Arial" w:cs="Arial" w:eastAsia="Arial" w:hAnsi="Arial"/>
          <w:sz w:val="19"/>
          <w:szCs w:val="19"/>
          <w:b w:val="1"/>
          <w:bCs w:val="1"/>
          <w:color w:val="auto"/>
        </w:rPr>
        <w:t xml:space="preserve"> </w:t>
      </w:r>
      <w:r>
        <w:rPr>
          <w:rFonts w:ascii="Arial" w:cs="Arial" w:eastAsia="Arial" w:hAnsi="Arial"/>
          <w:sz w:val="17"/>
          <w:szCs w:val="17"/>
          <w:color w:val="auto"/>
        </w:rPr>
        <w:t>director, the Directors and Corporate Governance Committee, and the board chair, including an annual assessment of each director. These assessments help provide the board with valuable perspectives to drive effectiveness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349240" cy="2529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Strategy and Risk Oversight</w:t>
      </w:r>
    </w:p>
    <w:p>
      <w:pPr>
        <w:spacing w:after="0" w:line="209" w:lineRule="exact"/>
        <w:rPr>
          <w:sz w:val="20"/>
          <w:szCs w:val="20"/>
          <w:color w:val="auto"/>
        </w:rPr>
      </w:pPr>
    </w:p>
    <w:p>
      <w:pPr>
        <w:ind w:left="500" w:right="120" w:hanging="330"/>
        <w:spacing w:after="0" w:line="280" w:lineRule="auto"/>
        <w:tabs>
          <w:tab w:leader="none" w:pos="489" w:val="left"/>
        </w:tabs>
        <w:numPr>
          <w:ilvl w:val="0"/>
          <w:numId w:val="10"/>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Strategy: </w:t>
      </w:r>
      <w:r>
        <w:rPr>
          <w:rFonts w:ascii="Arial" w:cs="Arial" w:eastAsia="Arial" w:hAnsi="Arial"/>
          <w:sz w:val="17"/>
          <w:szCs w:val="17"/>
          <w:color w:val="auto"/>
        </w:rPr>
        <w:t>Our board approves and actively oversees our corporate long-term strategy. Our board and committee meetings are</w:t>
      </w:r>
      <w:r>
        <w:rPr>
          <w:rFonts w:ascii="Arial" w:cs="Arial" w:eastAsia="Arial" w:hAnsi="Arial"/>
          <w:sz w:val="19"/>
          <w:szCs w:val="19"/>
          <w:b w:val="1"/>
          <w:bCs w:val="1"/>
          <w:color w:val="auto"/>
        </w:rPr>
        <w:t xml:space="preserve"> </w:t>
      </w:r>
      <w:r>
        <w:rPr>
          <w:rFonts w:ascii="Arial" w:cs="Arial" w:eastAsia="Arial" w:hAnsi="Arial"/>
          <w:sz w:val="17"/>
          <w:szCs w:val="17"/>
          <w:color w:val="auto"/>
        </w:rPr>
        <w:t>structured to engage our directors in informed reviews of strategic and forward-looking issues, as well as in constructive challenges to management initiatives and programs.</w:t>
      </w:r>
    </w:p>
    <w:p>
      <w:pPr>
        <w:spacing w:after="0" w:line="112" w:lineRule="exact"/>
        <w:rPr>
          <w:rFonts w:ascii="Arial" w:cs="Arial" w:eastAsia="Arial" w:hAnsi="Arial"/>
          <w:sz w:val="16"/>
          <w:szCs w:val="16"/>
          <w:b w:val="1"/>
          <w:bCs w:val="1"/>
          <w:color w:val="auto"/>
        </w:rPr>
      </w:pPr>
    </w:p>
    <w:p>
      <w:pPr>
        <w:ind w:left="500" w:right="120" w:hanging="330"/>
        <w:spacing w:after="0" w:line="280" w:lineRule="auto"/>
        <w:tabs>
          <w:tab w:leader="none" w:pos="489" w:val="left"/>
        </w:tabs>
        <w:numPr>
          <w:ilvl w:val="0"/>
          <w:numId w:val="10"/>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Code of Conduct: </w:t>
      </w:r>
      <w:r>
        <w:rPr>
          <w:rFonts w:ascii="Arial" w:cs="Arial" w:eastAsia="Arial" w:hAnsi="Arial"/>
          <w:sz w:val="17"/>
          <w:szCs w:val="17"/>
          <w:color w:val="auto"/>
        </w:rPr>
        <w:t>Our code of business conduct reflects principles that are consistent with our company values of integrity,</w:t>
      </w:r>
      <w:r>
        <w:rPr>
          <w:rFonts w:ascii="Arial" w:cs="Arial" w:eastAsia="Arial" w:hAnsi="Arial"/>
          <w:sz w:val="19"/>
          <w:szCs w:val="19"/>
          <w:b w:val="1"/>
          <w:bCs w:val="1"/>
          <w:color w:val="auto"/>
        </w:rPr>
        <w:t xml:space="preserve"> </w:t>
      </w:r>
      <w:r>
        <w:rPr>
          <w:rFonts w:ascii="Arial" w:cs="Arial" w:eastAsia="Arial" w:hAnsi="Arial"/>
          <w:sz w:val="17"/>
          <w:szCs w:val="17"/>
          <w:color w:val="auto"/>
        </w:rPr>
        <w:t>excellence, and respect for people. This code applies to our board and all employees worldwide and is reviewed and approved by the board. We have a supplemental code of conduct for our CEO and all members of financial management, in recognition of their unique responsibilities to ensure proper accounting, financial reporting, internal controls, and financial stewardship.</w:t>
      </w:r>
    </w:p>
    <w:p>
      <w:pPr>
        <w:spacing w:after="0" w:line="113" w:lineRule="exact"/>
        <w:rPr>
          <w:rFonts w:ascii="Arial" w:cs="Arial" w:eastAsia="Arial" w:hAnsi="Arial"/>
          <w:sz w:val="16"/>
          <w:szCs w:val="16"/>
          <w:b w:val="1"/>
          <w:bCs w:val="1"/>
          <w:color w:val="auto"/>
        </w:rPr>
      </w:pPr>
    </w:p>
    <w:p>
      <w:pPr>
        <w:ind w:left="500" w:right="200" w:hanging="330"/>
        <w:spacing w:after="0" w:line="300" w:lineRule="auto"/>
        <w:tabs>
          <w:tab w:leader="none" w:pos="489" w:val="left"/>
        </w:tabs>
        <w:numPr>
          <w:ilvl w:val="0"/>
          <w:numId w:val="10"/>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Corporate Governance: </w:t>
      </w:r>
      <w:r>
        <w:rPr>
          <w:rFonts w:ascii="Arial" w:cs="Arial" w:eastAsia="Arial" w:hAnsi="Arial"/>
          <w:sz w:val="17"/>
          <w:szCs w:val="17"/>
          <w:color w:val="auto"/>
        </w:rPr>
        <w:t>The charter of each of our board committees clearly establishes the committee’s roles and responsibilities</w:t>
      </w:r>
      <w:r>
        <w:rPr>
          <w:rFonts w:ascii="Arial" w:cs="Arial" w:eastAsia="Arial" w:hAnsi="Arial"/>
          <w:sz w:val="19"/>
          <w:szCs w:val="19"/>
          <w:b w:val="1"/>
          <w:bCs w:val="1"/>
          <w:color w:val="auto"/>
        </w:rPr>
        <w:t xml:space="preserve"> </w:t>
      </w:r>
      <w:r>
        <w:rPr>
          <w:rFonts w:ascii="Arial" w:cs="Arial" w:eastAsia="Arial" w:hAnsi="Arial"/>
          <w:sz w:val="17"/>
          <w:szCs w:val="17"/>
          <w:color w:val="auto"/>
        </w:rPr>
        <w:t>with respect to risk oversight.</w:t>
      </w:r>
    </w:p>
    <w:p>
      <w:pPr>
        <w:spacing w:after="0" w:line="90" w:lineRule="exact"/>
        <w:rPr>
          <w:rFonts w:ascii="Arial" w:cs="Arial" w:eastAsia="Arial" w:hAnsi="Arial"/>
          <w:sz w:val="16"/>
          <w:szCs w:val="16"/>
          <w:b w:val="1"/>
          <w:bCs w:val="1"/>
          <w:color w:val="auto"/>
        </w:rPr>
      </w:pPr>
    </w:p>
    <w:p>
      <w:pPr>
        <w:ind w:left="500" w:right="100" w:hanging="330"/>
        <w:spacing w:after="0" w:line="267" w:lineRule="auto"/>
        <w:tabs>
          <w:tab w:leader="none" w:pos="495" w:val="left"/>
        </w:tabs>
        <w:numPr>
          <w:ilvl w:val="0"/>
          <w:numId w:val="10"/>
        </w:numPr>
        <w:rPr>
          <w:rFonts w:ascii="Arial" w:cs="Arial" w:eastAsia="Arial" w:hAnsi="Arial"/>
          <w:sz w:val="18"/>
          <w:szCs w:val="18"/>
          <w:b w:val="1"/>
          <w:bCs w:val="1"/>
          <w:color w:val="auto"/>
        </w:rPr>
      </w:pPr>
      <w:r>
        <w:rPr>
          <w:rFonts w:ascii="Arial" w:cs="Arial" w:eastAsia="Arial" w:hAnsi="Arial"/>
          <w:sz w:val="19"/>
          <w:szCs w:val="19"/>
          <w:b w:val="1"/>
          <w:bCs w:val="1"/>
          <w:color w:val="auto"/>
        </w:rPr>
        <w:t xml:space="preserve">Compliance Program and Enterprise Risk Reviews: </w:t>
      </w:r>
      <w:r>
        <w:rPr>
          <w:rFonts w:ascii="Arial" w:cs="Arial" w:eastAsia="Arial" w:hAnsi="Arial"/>
          <w:sz w:val="17"/>
          <w:szCs w:val="17"/>
          <w:color w:val="auto"/>
        </w:rPr>
        <w:t>Our board reviews the overall state of our compliance program at least</w:t>
      </w:r>
      <w:r>
        <w:rPr>
          <w:rFonts w:ascii="Arial" w:cs="Arial" w:eastAsia="Arial" w:hAnsi="Arial"/>
          <w:sz w:val="19"/>
          <w:szCs w:val="19"/>
          <w:b w:val="1"/>
          <w:bCs w:val="1"/>
          <w:color w:val="auto"/>
        </w:rPr>
        <w:t xml:space="preserve"> </w:t>
      </w:r>
      <w:r>
        <w:rPr>
          <w:rFonts w:ascii="Arial" w:cs="Arial" w:eastAsia="Arial" w:hAnsi="Arial"/>
          <w:sz w:val="17"/>
          <w:szCs w:val="17"/>
          <w:color w:val="auto"/>
        </w:rPr>
        <w:t>annually and reviews our enterprise-level risks on a regular basis and as matters arise. Our Audit Committee oversees the process by which we identify and create mitigation plans for enterprise-level risks. See “</w:t>
      </w:r>
      <w:r>
        <w:rPr>
          <w:rFonts w:ascii="Arial" w:cs="Arial" w:eastAsia="Arial" w:hAnsi="Arial"/>
          <w:sz w:val="17"/>
          <w:szCs w:val="17"/>
          <w:u w:val="single" w:color="auto"/>
          <w:color w:val="0000FF"/>
        </w:rPr>
        <w:t>Governance—Board Oversight</w:t>
      </w:r>
      <w:r>
        <w:rPr>
          <w:rFonts w:ascii="Arial" w:cs="Arial" w:eastAsia="Arial" w:hAnsi="Arial"/>
          <w:sz w:val="17"/>
          <w:szCs w:val="17"/>
          <w:color w:val="auto"/>
        </w:rPr>
        <w:t>” for additional information.</w:t>
      </w:r>
    </w:p>
    <w:p>
      <w:pPr>
        <w:spacing w:after="0" w:line="119" w:lineRule="exact"/>
        <w:rPr>
          <w:rFonts w:ascii="Arial" w:cs="Arial" w:eastAsia="Arial" w:hAnsi="Arial"/>
          <w:sz w:val="18"/>
          <w:szCs w:val="18"/>
          <w:b w:val="1"/>
          <w:bCs w:val="1"/>
          <w:color w:val="auto"/>
        </w:rPr>
      </w:pPr>
    </w:p>
    <w:p>
      <w:pPr>
        <w:ind w:left="480" w:hanging="310"/>
        <w:spacing w:after="0"/>
        <w:tabs>
          <w:tab w:leader="none" w:pos="480" w:val="left"/>
        </w:tabs>
        <w:numPr>
          <w:ilvl w:val="0"/>
          <w:numId w:val="10"/>
        </w:numPr>
        <w:rPr>
          <w:rFonts w:ascii="Arial" w:cs="Arial" w:eastAsia="Arial" w:hAnsi="Arial"/>
          <w:sz w:val="16"/>
          <w:szCs w:val="16"/>
          <w:b w:val="1"/>
          <w:bCs w:val="1"/>
          <w:color w:val="auto"/>
        </w:rPr>
      </w:pPr>
      <w:r>
        <w:rPr>
          <w:rFonts w:ascii="Arial" w:cs="Arial" w:eastAsia="Arial" w:hAnsi="Arial"/>
          <w:sz w:val="19"/>
          <w:szCs w:val="19"/>
          <w:b w:val="1"/>
          <w:bCs w:val="1"/>
          <w:color w:val="auto"/>
        </w:rPr>
        <w:t>Board Oversight of Certain Areas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980" w:type="dxa"/>
            <w:vAlign w:val="bottom"/>
            <w:tcBorders>
              <w:right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72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rPr>
              <w:t>Our board oversees our political expenditures and lobbying activities. Directors receive</w:t>
            </w: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80" w:type="dxa"/>
            <w:vAlign w:val="bottom"/>
            <w:tcBorders>
              <w:right w:val="single" w:sz="8" w:color="auto"/>
            </w:tcBorders>
            <w:vMerge w:val="continue"/>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regular updates on public policy issues and on the company’s political activity. The</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board also receives semi-annual updates on political engagement, including</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information on the contributions made by LillyPAC and the company, as well as trade</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2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Political Activity</w:t>
            </w:r>
          </w:p>
        </w:tc>
        <w:tc>
          <w:tcPr>
            <w:tcW w:w="72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association memberships.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1820" w:type="dxa"/>
            <w:vAlign w:val="bottom"/>
            <w:gridSpan w:val="2"/>
            <w:vMerge w:val="continue"/>
          </w:tcPr>
          <w:p>
            <w:pPr>
              <w:spacing w:after="0"/>
              <w:rPr>
                <w:sz w:val="9"/>
                <w:szCs w:val="9"/>
                <w:color w:val="auto"/>
              </w:rPr>
            </w:pPr>
          </w:p>
        </w:tc>
        <w:tc>
          <w:tcPr>
            <w:tcW w:w="7280" w:type="dxa"/>
            <w:vAlign w:val="bottom"/>
            <w:tcBorders>
              <w:right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80" w:type="dxa"/>
            <w:vAlign w:val="bottom"/>
            <w:tcBorders>
              <w:right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280" w:type="dxa"/>
            <w:vAlign w:val="bottom"/>
            <w:tcBorders>
              <w:bottom w:val="single" w:sz="8" w:color="auto"/>
              <w:right w:val="single" w:sz="8" w:color="auto"/>
            </w:tcBorders>
          </w:tcPr>
          <w:p>
            <w:pPr>
              <w:spacing w:after="0"/>
              <w:rPr>
                <w:sz w:val="10"/>
                <w:szCs w:val="10"/>
                <w:color w:val="auto"/>
              </w:rPr>
            </w:pPr>
          </w:p>
        </w:tc>
        <w:tc>
          <w:tcPr>
            <w:tcW w:w="2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2"/>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80" w:type="dxa"/>
            <w:vAlign w:val="bottom"/>
          </w:tcPr>
          <w:p>
            <w:pPr>
              <w:ind w:left="3760"/>
              <w:spacing w:after="0"/>
              <w:rPr>
                <w:sz w:val="20"/>
                <w:szCs w:val="20"/>
                <w:color w:val="auto"/>
              </w:rPr>
            </w:pPr>
            <w:r>
              <w:rPr>
                <w:rFonts w:ascii="Arial" w:cs="Arial" w:eastAsia="Arial" w:hAnsi="Arial"/>
                <w:sz w:val="18"/>
                <w:szCs w:val="18"/>
                <w:color w:val="auto"/>
              </w:rPr>
              <w:t>5</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280" w:type="dxa"/>
            <w:vAlign w:val="bottom"/>
            <w:tcBorders>
              <w:bottom w:val="single" w:sz="8" w:color="9A9A9A"/>
            </w:tcBorders>
          </w:tcPr>
          <w:p>
            <w:pPr>
              <w:spacing w:after="0"/>
              <w:rPr>
                <w:sz w:val="19"/>
                <w:szCs w:val="19"/>
                <w:color w:val="auto"/>
              </w:rPr>
            </w:pPr>
          </w:p>
        </w:tc>
        <w:tc>
          <w:tcPr>
            <w:tcW w:w="21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-1482090</wp:posOffset>
            </wp:positionV>
            <wp:extent cx="488315" cy="488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8315" cy="488950"/>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9" w:name="page10"/>
    <w:bookmarkEnd w:id="9"/>
    <w:p>
      <w:pPr>
        <w:ind w:left="2000" w:right="24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576580</wp:posOffset>
            </wp:positionH>
            <wp:positionV relativeFrom="page">
              <wp:posOffset>654685</wp:posOffset>
            </wp:positionV>
            <wp:extent cx="5400675" cy="128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00675" cy="1285875"/>
                    </a:xfrm>
                    <a:prstGeom prst="rect">
                      <a:avLst/>
                    </a:prstGeom>
                    <a:noFill/>
                  </pic:spPr>
                </pic:pic>
              </a:graphicData>
            </a:graphic>
          </wp:anchor>
        </w:drawing>
        <w:t>Our board of directors monitors cybersecurity risks and regularly participates in presentations on cybersecurity and information technology. The Audit Committee is responsible for oversight of our programs, policies, procedures, and risk management activities related to information security, cybersecurity and data protection. It meets regularly with management to discuss threats, risks, and ongoing efforts to enhance</w:t>
      </w:r>
    </w:p>
    <w:p>
      <w:pPr>
        <w:spacing w:after="0" w:line="3" w:lineRule="exact"/>
        <w:rPr>
          <w:sz w:val="20"/>
          <w:szCs w:val="20"/>
          <w:color w:val="auto"/>
        </w:rPr>
      </w:pPr>
    </w:p>
    <w:p>
      <w:pPr>
        <w:ind w:left="2000" w:right="2420" w:hanging="1599"/>
        <w:spacing w:after="0" w:line="258" w:lineRule="auto"/>
        <w:tabs>
          <w:tab w:leader="none" w:pos="1980" w:val="left"/>
        </w:tabs>
        <w:rPr>
          <w:sz w:val="20"/>
          <w:szCs w:val="20"/>
          <w:color w:val="auto"/>
        </w:rPr>
      </w:pPr>
      <w:r>
        <w:rPr>
          <w:rFonts w:ascii="Arial" w:cs="Arial" w:eastAsia="Arial" w:hAnsi="Arial"/>
          <w:sz w:val="18"/>
          <w:szCs w:val="18"/>
          <w:b w:val="1"/>
          <w:bCs w:val="1"/>
          <w:color w:val="auto"/>
        </w:rPr>
        <w:t>Cybersecurity</w:t>
      </w:r>
      <w:r>
        <w:rPr>
          <w:sz w:val="20"/>
          <w:szCs w:val="20"/>
          <w:color w:val="auto"/>
        </w:rPr>
        <w:tab/>
      </w:r>
      <w:r>
        <w:rPr>
          <w:rFonts w:ascii="Arial" w:cs="Arial" w:eastAsia="Arial" w:hAnsi="Arial"/>
          <w:sz w:val="18"/>
          <w:szCs w:val="18"/>
          <w:color w:val="auto"/>
        </w:rPr>
        <w:t>cyber resiliency, as well as changes to the broader cybersecurity landscape. In addition to regular presentations, management promptly updates our board regarding significant threats and incidents as they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159385</wp:posOffset>
            </wp:positionV>
            <wp:extent cx="5383530" cy="900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8353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0" w:right="2600"/>
        <w:spacing w:after="0" w:line="318" w:lineRule="auto"/>
        <w:rPr>
          <w:sz w:val="20"/>
          <w:szCs w:val="20"/>
          <w:color w:val="auto"/>
        </w:rPr>
      </w:pPr>
      <w:r>
        <w:rPr>
          <w:rFonts w:ascii="Arial" w:cs="Arial" w:eastAsia="Arial" w:hAnsi="Arial"/>
          <w:sz w:val="17"/>
          <w:szCs w:val="17"/>
          <w:color w:val="auto"/>
        </w:rPr>
        <w:t>Our board, including its Directors and Corporate Governance Committee, oversees and maintains ongoing engagement on key climate and sustainability matters.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214630</wp:posOffset>
            </wp:positionV>
            <wp:extent cx="5391785" cy="977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91785" cy="97726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Talent</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auto"/>
        </w:rPr>
        <w:t>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2420"/>
        <w:spacing w:after="0" w:line="259" w:lineRule="auto"/>
        <w:rPr>
          <w:sz w:val="20"/>
          <w:szCs w:val="20"/>
          <w:color w:val="auto"/>
        </w:rPr>
      </w:pPr>
      <w:r>
        <w:rPr>
          <w:rFonts w:ascii="Arial" w:cs="Arial" w:eastAsia="Arial" w:hAnsi="Arial"/>
          <w:sz w:val="18"/>
          <w:szCs w:val="18"/>
          <w:color w:val="auto"/>
        </w:rPr>
        <w:t>Our board exercises active oversight of the overall talent management process, including human capital management strategies, corporate culture, and inclusion efforts. The board also oversees the work of its committees in connection with the board’s development of corporate policies and frameworks designed to attract, retain, engage, and develop a workforce that aligns with our values and mission.</w:t>
      </w:r>
    </w:p>
    <w:p>
      <w:pPr>
        <w:spacing w:after="0" w:line="241" w:lineRule="exact"/>
        <w:rPr>
          <w:sz w:val="20"/>
          <w:szCs w:val="20"/>
          <w:color w:val="auto"/>
        </w:rPr>
      </w:pPr>
    </w:p>
    <w:p>
      <w:pPr>
        <w:sectPr>
          <w:pgSz w:w="11900" w:h="16838" w:orient="portrait"/>
          <w:cols w:equalWidth="0" w:num="2">
            <w:col w:w="1540" w:space="440"/>
            <w:col w:w="9220"/>
          </w:cols>
          <w:pgMar w:left="320" w:top="1160" w:right="379" w:bottom="1440" w:gutter="0" w:footer="0" w:header="0"/>
          <w:type w:val="continuous"/>
        </w:sectPr>
      </w:pPr>
    </w:p>
    <w:p>
      <w:pPr>
        <w:spacing w:after="0" w:line="213"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Responsible AI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5768975" cy="822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8975" cy="822960"/>
                    </a:xfrm>
                    <a:prstGeom prst="rect">
                      <a:avLst/>
                    </a:prstGeom>
                    <a:noFill/>
                  </pic:spPr>
                </pic:pic>
              </a:graphicData>
            </a:graphic>
          </wp:anchor>
        </w:drawing>
      </w:r>
    </w:p>
    <w:p>
      <w:pPr>
        <w:spacing w:after="0" w:line="94" w:lineRule="exact"/>
        <w:rPr>
          <w:sz w:val="20"/>
          <w:szCs w:val="20"/>
          <w:color w:val="auto"/>
        </w:rPr>
      </w:pPr>
    </w:p>
    <w:p>
      <w:pPr>
        <w:ind w:left="200" w:right="2280"/>
        <w:spacing w:after="0" w:line="282" w:lineRule="auto"/>
        <w:rPr>
          <w:sz w:val="20"/>
          <w:szCs w:val="20"/>
          <w:color w:val="auto"/>
        </w:rPr>
      </w:pPr>
      <w:r>
        <w:rPr>
          <w:rFonts w:ascii="Arial" w:cs="Arial" w:eastAsia="Arial" w:hAnsi="Arial"/>
          <w:sz w:val="17"/>
          <w:szCs w:val="17"/>
          <w:color w:val="auto"/>
        </w:rPr>
        <w:t>Our board oversees and receives regular updates from management on AI, including strategy, risks, development, governance, and ethical innovation approaches. As we deploy AI and other emerging technologies in various facets of our operations and continue to explore the responsible development and use of AI technologies, our board continues to deepen its understanding of these transformative technologies.</w:t>
      </w: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Shareholder Access and Engagement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Engagement Response</w:t>
      </w:r>
    </w:p>
    <w:p>
      <w:pPr>
        <w:spacing w:after="0" w:line="54" w:lineRule="exact"/>
        <w:rPr>
          <w:sz w:val="20"/>
          <w:szCs w:val="20"/>
          <w:color w:val="auto"/>
        </w:rPr>
      </w:pPr>
    </w:p>
    <w:p>
      <w:pPr>
        <w:ind w:left="340"/>
        <w:spacing w:after="0" w:line="268" w:lineRule="auto"/>
        <w:rPr>
          <w:sz w:val="20"/>
          <w:szCs w:val="20"/>
          <w:color w:val="auto"/>
        </w:rPr>
      </w:pPr>
      <w:r>
        <w:rPr>
          <w:rFonts w:ascii="Arial" w:cs="Arial" w:eastAsia="Arial" w:hAnsi="Arial"/>
          <w:sz w:val="18"/>
          <w:szCs w:val="18"/>
          <w:color w:val="auto"/>
        </w:rPr>
        <w:t>In response to input from our shareholders and consistent with previous years, management is putting forth for consideration at the Annual Meeting proposals to amend our articles of incorporation to eliminate the classified board structure and to eliminate supermajority voting.</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Access</w:t>
      </w:r>
    </w:p>
    <w:p>
      <w:pPr>
        <w:spacing w:after="0" w:line="54" w:lineRule="exact"/>
        <w:rPr>
          <w:sz w:val="20"/>
          <w:szCs w:val="20"/>
          <w:color w:val="auto"/>
        </w:rPr>
      </w:pPr>
    </w:p>
    <w:p>
      <w:pPr>
        <w:ind w:left="340" w:right="260"/>
        <w:spacing w:after="0" w:line="287" w:lineRule="auto"/>
        <w:rPr>
          <w:sz w:val="20"/>
          <w:szCs w:val="20"/>
          <w:color w:val="auto"/>
        </w:rPr>
      </w:pPr>
      <w:r>
        <w:rPr>
          <w:rFonts w:ascii="Arial" w:cs="Arial" w:eastAsia="Arial" w:hAnsi="Arial"/>
          <w:sz w:val="18"/>
          <w:szCs w:val="18"/>
          <w:color w:val="auto"/>
        </w:rPr>
        <w:t>Our bylaws provide proxy access rights for shareholders holding at least three percent of our common stock for at least three years to nominate to the board the greater of two directors or 20 percent of our board seats.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Accountability</w:t>
      </w:r>
    </w:p>
    <w:p>
      <w:pPr>
        <w:spacing w:after="0" w:line="102" w:lineRule="exact"/>
        <w:rPr>
          <w:sz w:val="20"/>
          <w:szCs w:val="20"/>
          <w:color w:val="auto"/>
        </w:rPr>
      </w:pPr>
    </w:p>
    <w:p>
      <w:pPr>
        <w:ind w:left="480" w:hanging="310"/>
        <w:spacing w:after="0"/>
        <w:tabs>
          <w:tab w:leader="none" w:pos="480"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We have a majority voting standard.</w:t>
      </w:r>
    </w:p>
    <w:p>
      <w:pPr>
        <w:spacing w:after="0" w:line="66"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We have a resignation policy for the election of directors in uncontested elections.</w:t>
      </w:r>
    </w:p>
    <w:p>
      <w:pPr>
        <w:spacing w:after="0" w:line="66"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We hold annual say-on-pay shareholder advisory votes.</w:t>
      </w:r>
    </w:p>
    <w:p>
      <w:pPr>
        <w:spacing w:after="0" w:line="66"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Our board committee members are all independent directors.</w:t>
      </w:r>
    </w:p>
    <w:p>
      <w:pPr>
        <w:spacing w:after="0" w:line="66"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Shareholders have the ability to amend our bylaws.</w:t>
      </w:r>
    </w:p>
    <w:p>
      <w:pPr>
        <w:spacing w:after="0" w:line="79"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We do not have a shareholder rights plan (known as a “poison pill”).</w:t>
      </w:r>
    </w:p>
    <w:p>
      <w:pPr>
        <w:spacing w:after="0" w:line="71" w:lineRule="exact"/>
        <w:rPr>
          <w:rFonts w:ascii="Wingdings" w:cs="Wingdings" w:eastAsia="Wingdings" w:hAnsi="Wingdings"/>
          <w:sz w:val="22"/>
          <w:szCs w:val="22"/>
          <w:b w:val="1"/>
          <w:bCs w:val="1"/>
          <w:color w:val="D52B1E"/>
        </w:rPr>
      </w:pPr>
    </w:p>
    <w:p>
      <w:pPr>
        <w:ind w:left="500" w:right="780" w:hanging="330"/>
        <w:spacing w:after="0" w:line="244" w:lineRule="auto"/>
        <w:tabs>
          <w:tab w:leader="none" w:pos="494"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We have meaningful stock ownership and retention guidelines for our directors and executive officers to foster alignment with shareholders.</w:t>
      </w:r>
    </w:p>
    <w:p>
      <w:pPr>
        <w:spacing w:after="0" w:line="8"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We have an annual cap on director compensation.</w:t>
      </w:r>
    </w:p>
    <w:p>
      <w:pPr>
        <w:spacing w:after="0" w:line="66"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1"/>
        </w:numPr>
        <w:rPr>
          <w:rFonts w:ascii="Wingdings" w:cs="Wingdings" w:eastAsia="Wingdings" w:hAnsi="Wingdings"/>
          <w:sz w:val="22"/>
          <w:szCs w:val="22"/>
          <w:b w:val="1"/>
          <w:bCs w:val="1"/>
          <w:color w:val="D52B1E"/>
        </w:rPr>
      </w:pPr>
      <w:r>
        <w:rPr>
          <w:rFonts w:ascii="Arial" w:cs="Arial" w:eastAsia="Arial" w:hAnsi="Arial"/>
          <w:sz w:val="18"/>
          <w:szCs w:val="18"/>
          <w:color w:val="auto"/>
        </w:rPr>
        <w:t>We have an annual director performance evaluation process.</w:t>
      </w:r>
    </w:p>
    <w:p>
      <w:pPr>
        <w:sectPr>
          <w:pgSz w:w="11900" w:h="16838" w:orient="portrait"/>
          <w:cols w:equalWidth="0" w:num="1">
            <w:col w:w="11200"/>
          </w:cols>
          <w:pgMar w:left="320" w:top="1160" w:right="37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32"/>
          <w:szCs w:val="32"/>
          <w:b w:val="1"/>
          <w:bCs w:val="1"/>
          <w:color w:val="D52B1E"/>
        </w:rPr>
        <w:t>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Compensation Philosophy and Practices</w:t>
      </w:r>
    </w:p>
    <w:p>
      <w:pPr>
        <w:spacing w:after="0" w:line="69"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Our compensation programs are designed to align executive pay with shareholder interests and link pay to performance through a blend of short- and long-term performance measures. Our Talent and Compensation Committee annually reviews our programs to help ensure our incentives deliver long-term, sustainable business results while discouraging excessive risk-taking and other adverse behaviors.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each of the last five years, greater than 94 percent of votes cast were in favor of our executive compensation programs, including greater than 96 percent in 2025. We believe this overwhelming support validates our compensation program and our performance culture. Some of our important practices and requirements include:</w:t>
      </w:r>
    </w:p>
    <w:p>
      <w:pPr>
        <w:spacing w:after="0" w:line="152" w:lineRule="exact"/>
        <w:rPr>
          <w:sz w:val="20"/>
          <w:szCs w:val="20"/>
          <w:color w:val="auto"/>
        </w:rPr>
      </w:pPr>
    </w:p>
    <w:p>
      <w:pPr>
        <w:ind w:left="480" w:hanging="310"/>
        <w:spacing w:after="0"/>
        <w:tabs>
          <w:tab w:leader="none" w:pos="480" w:val="left"/>
        </w:tabs>
        <w:numPr>
          <w:ilvl w:val="0"/>
          <w:numId w:val="12"/>
        </w:numPr>
        <w:rPr>
          <w:rFonts w:ascii="Wingdings" w:cs="Wingdings" w:eastAsia="Wingdings" w:hAnsi="Wingdings"/>
          <w:sz w:val="22"/>
          <w:szCs w:val="22"/>
          <w:b w:val="1"/>
          <w:bCs w:val="1"/>
          <w:color w:val="D52B1E"/>
        </w:rPr>
      </w:pPr>
      <w:r>
        <w:rPr>
          <w:rFonts w:ascii="Arial" w:cs="Arial" w:eastAsia="Arial" w:hAnsi="Arial"/>
          <w:sz w:val="18"/>
          <w:szCs w:val="18"/>
          <w:color w:val="auto"/>
        </w:rPr>
        <w:t>Robust stock ownership guidelines for executive officers.</w:t>
      </w:r>
    </w:p>
    <w:p>
      <w:pPr>
        <w:spacing w:after="0" w:line="66"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2"/>
        </w:numPr>
        <w:rPr>
          <w:rFonts w:ascii="Wingdings" w:cs="Wingdings" w:eastAsia="Wingdings" w:hAnsi="Wingdings"/>
          <w:sz w:val="22"/>
          <w:szCs w:val="22"/>
          <w:b w:val="1"/>
          <w:bCs w:val="1"/>
          <w:color w:val="D52B1E"/>
        </w:rPr>
      </w:pPr>
      <w:r>
        <w:rPr>
          <w:rFonts w:ascii="Arial" w:cs="Arial" w:eastAsia="Arial" w:hAnsi="Arial"/>
          <w:sz w:val="18"/>
          <w:szCs w:val="18"/>
          <w:color w:val="auto"/>
        </w:rPr>
        <w:t>Prohibition of hedging or pledging company stock.</w:t>
      </w:r>
    </w:p>
    <w:p>
      <w:pPr>
        <w:spacing w:after="0" w:line="85" w:lineRule="exact"/>
        <w:rPr>
          <w:rFonts w:ascii="Wingdings" w:cs="Wingdings" w:eastAsia="Wingdings" w:hAnsi="Wingdings"/>
          <w:sz w:val="22"/>
          <w:szCs w:val="22"/>
          <w:b w:val="1"/>
          <w:bCs w:val="1"/>
          <w:color w:val="D52B1E"/>
        </w:rPr>
      </w:pPr>
    </w:p>
    <w:p>
      <w:pPr>
        <w:ind w:left="500" w:right="820" w:hanging="330"/>
        <w:spacing w:after="0" w:line="244" w:lineRule="auto"/>
        <w:tabs>
          <w:tab w:leader="none" w:pos="494" w:val="left"/>
        </w:tabs>
        <w:numPr>
          <w:ilvl w:val="0"/>
          <w:numId w:val="12"/>
        </w:numPr>
        <w:rPr>
          <w:rFonts w:ascii="Wingdings" w:cs="Wingdings" w:eastAsia="Wingdings" w:hAnsi="Wingdings"/>
          <w:sz w:val="22"/>
          <w:szCs w:val="22"/>
          <w:b w:val="1"/>
          <w:bCs w:val="1"/>
          <w:color w:val="D52B1E"/>
        </w:rPr>
      </w:pPr>
      <w:r>
        <w:rPr>
          <w:rFonts w:ascii="Arial" w:cs="Arial" w:eastAsia="Arial" w:hAnsi="Arial"/>
          <w:sz w:val="18"/>
          <w:szCs w:val="18"/>
          <w:color w:val="auto"/>
        </w:rPr>
        <w:t>Compensation recovery or “clawback” policy that aligns with applicable legal requirements and allows the recovery of certain compensation upon a wide range of misconduct.</w:t>
      </w:r>
    </w:p>
    <w:p>
      <w:pPr>
        <w:spacing w:after="0" w:line="62"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2"/>
        </w:numPr>
        <w:rPr>
          <w:rFonts w:ascii="Wingdings" w:cs="Wingdings" w:eastAsia="Wingdings" w:hAnsi="Wingdings"/>
          <w:sz w:val="22"/>
          <w:szCs w:val="22"/>
          <w:b w:val="1"/>
          <w:bCs w:val="1"/>
          <w:color w:val="D52B1E"/>
        </w:rPr>
      </w:pPr>
      <w:r>
        <w:rPr>
          <w:rFonts w:ascii="Arial" w:cs="Arial" w:eastAsia="Arial" w:hAnsi="Arial"/>
          <w:sz w:val="18"/>
          <w:szCs w:val="18"/>
          <w:color w:val="auto"/>
        </w:rPr>
        <w:t>Perquisites provided for compelling business purposes.</w:t>
      </w:r>
    </w:p>
    <w:p>
      <w:pPr>
        <w:spacing w:after="0" w:line="66"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2"/>
        </w:numPr>
        <w:rPr>
          <w:rFonts w:ascii="Wingdings" w:cs="Wingdings" w:eastAsia="Wingdings" w:hAnsi="Wingdings"/>
          <w:sz w:val="22"/>
          <w:szCs w:val="22"/>
          <w:b w:val="1"/>
          <w:bCs w:val="1"/>
          <w:color w:val="D52B1E"/>
        </w:rPr>
      </w:pPr>
      <w:r>
        <w:rPr>
          <w:rFonts w:ascii="Arial" w:cs="Arial" w:eastAsia="Arial" w:hAnsi="Arial"/>
          <w:sz w:val="18"/>
          <w:szCs w:val="18"/>
          <w:color w:val="auto"/>
        </w:rPr>
        <w:t>Double trigger change-in-control provisions in severance plans.</w:t>
      </w:r>
    </w:p>
    <w:p>
      <w:pPr>
        <w:spacing w:after="0" w:line="66" w:lineRule="exact"/>
        <w:rPr>
          <w:rFonts w:ascii="Wingdings" w:cs="Wingdings" w:eastAsia="Wingdings" w:hAnsi="Wingdings"/>
          <w:sz w:val="22"/>
          <w:szCs w:val="22"/>
          <w:b w:val="1"/>
          <w:bCs w:val="1"/>
          <w:color w:val="D52B1E"/>
        </w:rPr>
      </w:pPr>
    </w:p>
    <w:p>
      <w:pPr>
        <w:ind w:left="480" w:hanging="310"/>
        <w:spacing w:after="0"/>
        <w:tabs>
          <w:tab w:leader="none" w:pos="480" w:val="left"/>
        </w:tabs>
        <w:numPr>
          <w:ilvl w:val="0"/>
          <w:numId w:val="12"/>
        </w:numPr>
        <w:rPr>
          <w:rFonts w:ascii="Wingdings" w:cs="Wingdings" w:eastAsia="Wingdings" w:hAnsi="Wingdings"/>
          <w:sz w:val="22"/>
          <w:szCs w:val="22"/>
          <w:b w:val="1"/>
          <w:bCs w:val="1"/>
          <w:color w:val="D52B1E"/>
        </w:rPr>
      </w:pPr>
      <w:r>
        <w:rPr>
          <w:rFonts w:ascii="Arial" w:cs="Arial" w:eastAsia="Arial" w:hAnsi="Arial"/>
          <w:sz w:val="18"/>
          <w:szCs w:val="18"/>
          <w:color w:val="auto"/>
        </w:rPr>
        <w:t>At-will employment with all executive officers.</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Executive Compensation Summary</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2025, the target compensation for our named executive officers was competitive when compared to the company’s peer group. Bonus and stock payouts exceeded target, consistent with strong company performance over the respective performance periods.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for Performance</w:t>
      </w:r>
    </w:p>
    <w:p>
      <w:pPr>
        <w:spacing w:after="0" w:line="18"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As described in the Compensation Discussion and Analysis (CD&amp;A), we link our incentive pay programs to a mix of measures on three dimensions of company performance: operations; progress within our innovation pipeline; and shareholder return. The Talent and Compensation Committee adjusts reported revenue and EPS results in certain circumstances to eliminate the distorting effect of certain unusual items on incentive compensation.</w:t>
      </w:r>
    </w:p>
    <w:p>
      <w:pPr>
        <w:spacing w:after="0" w:line="12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The summary below highlights how our incentive pay programs are designed to align with company performance. Please see </w:t>
      </w:r>
      <w:r>
        <w:rPr>
          <w:rFonts w:ascii="Arial" w:cs="Arial" w:eastAsia="Arial" w:hAnsi="Arial"/>
          <w:sz w:val="18"/>
          <w:szCs w:val="18"/>
          <w:u w:val="single" w:color="auto"/>
          <w:color w:val="0000FF"/>
        </w:rPr>
        <w:t>Appendix A</w:t>
      </w:r>
      <w:r>
        <w:rPr>
          <w:rFonts w:ascii="Arial" w:cs="Arial" w:eastAsia="Arial" w:hAnsi="Arial"/>
          <w:sz w:val="18"/>
          <w:szCs w:val="18"/>
          <w:color w:val="auto"/>
        </w:rPr>
        <w:t xml:space="preserve"> for a reconciliation of, and adjustments made to, revenue and EPS for incentive compensation programs.</w:t>
      </w:r>
    </w:p>
    <w:p>
      <w:pPr>
        <w:sectPr>
          <w:pgSz w:w="11900" w:h="16838" w:orient="portrait"/>
          <w:cols w:equalWidth="0" w:num="1">
            <w:col w:w="11200"/>
          </w:cols>
          <w:pgMar w:left="320" w:top="1243" w:right="379" w:bottom="1440" w:gutter="0" w:footer="0" w:header="0"/>
        </w:sectPr>
      </w:pPr>
    </w:p>
    <w:p>
      <w:pPr>
        <w:spacing w:after="0" w:line="256" w:lineRule="exact"/>
        <w:rPr>
          <w:sz w:val="20"/>
          <w:szCs w:val="20"/>
          <w:color w:val="auto"/>
        </w:rPr>
      </w:pPr>
    </w:p>
    <w:p>
      <w:pPr>
        <w:ind w:left="520" w:hanging="332"/>
        <w:spacing w:after="0" w:line="262" w:lineRule="auto"/>
        <w:tabs>
          <w:tab w:leader="none" w:pos="509" w:val="left"/>
        </w:tabs>
        <w:numPr>
          <w:ilvl w:val="0"/>
          <w:numId w:val="13"/>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Bonus Plan Result: </w:t>
      </w:r>
      <w:r>
        <w:rPr>
          <w:rFonts w:ascii="Arial" w:cs="Arial" w:eastAsia="Arial" w:hAnsi="Arial"/>
          <w:sz w:val="17"/>
          <w:szCs w:val="17"/>
          <w:color w:val="000000"/>
        </w:rPr>
        <w:t>In 2025, the company exceeded its annual bonus</w:t>
      </w:r>
      <w:r>
        <w:rPr>
          <w:rFonts w:ascii="Arial" w:cs="Arial" w:eastAsia="Arial" w:hAnsi="Arial"/>
          <w:sz w:val="20"/>
          <w:szCs w:val="20"/>
          <w:b w:val="1"/>
          <w:bCs w:val="1"/>
          <w:color w:val="D52B1E"/>
        </w:rPr>
        <w:t xml:space="preserve"> </w:t>
      </w:r>
      <w:r>
        <w:rPr>
          <w:rFonts w:ascii="Arial" w:cs="Arial" w:eastAsia="Arial" w:hAnsi="Arial"/>
          <w:sz w:val="17"/>
          <w:szCs w:val="17"/>
          <w:color w:val="000000"/>
        </w:rPr>
        <w:t>target objectives for product revenue, EPS, and pipeline advancements. For bonus purposes, the Talent and Compensation Committee adjusted non-GAAP EPS to exclude the impact of business development transactions and acquired in-process research and development (IPR&amp;D) charges, both of which were not included in original 2025 bonus targets. Foreign exchange impact was also neutralized.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jc w:val="center"/>
        <w:ind w:right="2440"/>
        <w:spacing w:after="0"/>
        <w:rPr>
          <w:sz w:val="20"/>
          <w:szCs w:val="20"/>
          <w:color w:val="auto"/>
        </w:rPr>
      </w:pPr>
      <w:r>
        <w:rPr>
          <w:rFonts w:ascii="Arial" w:cs="Arial" w:eastAsia="Arial" w:hAnsi="Arial"/>
          <w:sz w:val="32"/>
          <w:szCs w:val="32"/>
          <w:color w:val="D52B1E"/>
        </w:rPr>
        <w:t>218%</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Bonus Plan Payout</w:t>
      </w:r>
    </w:p>
    <w:p>
      <w:pPr>
        <w:spacing w:after="0" w:line="765" w:lineRule="exact"/>
        <w:rPr>
          <w:sz w:val="20"/>
          <w:szCs w:val="20"/>
          <w:color w:val="auto"/>
        </w:rPr>
      </w:pPr>
    </w:p>
    <w:p>
      <w:pPr>
        <w:sectPr>
          <w:pgSz w:w="11900" w:h="16838" w:orient="portrait"/>
          <w:cols w:equalWidth="0" w:num="2">
            <w:col w:w="6360" w:space="440"/>
            <w:col w:w="4400"/>
          </w:cols>
          <w:pgMar w:left="320" w:top="1243" w:right="379" w:bottom="1440" w:gutter="0" w:footer="0" w:header="0"/>
          <w:type w:val="continuous"/>
        </w:sectPr>
      </w:pPr>
    </w:p>
    <w:p>
      <w:pPr>
        <w:spacing w:after="0" w:line="94" w:lineRule="exact"/>
        <w:rPr>
          <w:sz w:val="20"/>
          <w:szCs w:val="20"/>
          <w:color w:val="auto"/>
        </w:rPr>
      </w:pPr>
    </w:p>
    <w:p>
      <w:pPr>
        <w:ind w:left="520" w:right="140" w:hanging="332"/>
        <w:spacing w:after="0" w:line="259" w:lineRule="auto"/>
        <w:tabs>
          <w:tab w:leader="none" w:pos="509" w:val="left"/>
        </w:tabs>
        <w:numPr>
          <w:ilvl w:val="0"/>
          <w:numId w:val="1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2023 Shareholder Value Award (SVA) Result: </w:t>
      </w:r>
      <w:r>
        <w:rPr>
          <w:rFonts w:ascii="Arial" w:cs="Arial" w:eastAsia="Arial" w:hAnsi="Arial"/>
          <w:sz w:val="17"/>
          <w:szCs w:val="17"/>
          <w:color w:val="000000"/>
        </w:rPr>
        <w:t>Our stock price</w:t>
      </w:r>
      <w:r>
        <w:rPr>
          <w:rFonts w:ascii="Arial" w:cs="Arial" w:eastAsia="Arial" w:hAnsi="Arial"/>
          <w:sz w:val="20"/>
          <w:szCs w:val="20"/>
          <w:b w:val="1"/>
          <w:bCs w:val="1"/>
          <w:color w:val="D52B1E"/>
        </w:rPr>
        <w:t xml:space="preserve"> </w:t>
      </w:r>
      <w:r>
        <w:rPr>
          <w:rFonts w:ascii="Arial" w:cs="Arial" w:eastAsia="Arial" w:hAnsi="Arial"/>
          <w:sz w:val="17"/>
          <w:szCs w:val="17"/>
          <w:color w:val="000000"/>
        </w:rPr>
        <w:t>growth exceeded our SVA program’s target range at the end of the three-year performance period. This performance resulted in an SVA payout above target.</w:t>
      </w:r>
    </w:p>
    <w:p>
      <w:pPr>
        <w:spacing w:after="0" w:line="296" w:lineRule="exact"/>
        <w:rPr>
          <w:rFonts w:ascii="Arial" w:cs="Arial" w:eastAsia="Arial" w:hAnsi="Arial"/>
          <w:sz w:val="16"/>
          <w:szCs w:val="16"/>
          <w:b w:val="1"/>
          <w:bCs w:val="1"/>
          <w:color w:val="D52B1E"/>
        </w:rPr>
      </w:pPr>
    </w:p>
    <w:p>
      <w:pPr>
        <w:jc w:val="both"/>
        <w:ind w:left="520" w:right="180" w:hanging="332"/>
        <w:spacing w:after="0" w:line="258" w:lineRule="auto"/>
        <w:tabs>
          <w:tab w:leader="none" w:pos="509" w:val="left"/>
        </w:tabs>
        <w:numPr>
          <w:ilvl w:val="0"/>
          <w:numId w:val="1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2023 Relative Value Award (RVA) Result: </w:t>
      </w:r>
      <w:r>
        <w:rPr>
          <w:rFonts w:ascii="Arial" w:cs="Arial" w:eastAsia="Arial" w:hAnsi="Arial"/>
          <w:sz w:val="17"/>
          <w:szCs w:val="17"/>
          <w:color w:val="000000"/>
        </w:rPr>
        <w:t>Lilly’s TSR performance</w:t>
      </w:r>
      <w:r>
        <w:rPr>
          <w:rFonts w:ascii="Arial" w:cs="Arial" w:eastAsia="Arial" w:hAnsi="Arial"/>
          <w:sz w:val="20"/>
          <w:szCs w:val="20"/>
          <w:b w:val="1"/>
          <w:bCs w:val="1"/>
          <w:color w:val="D52B1E"/>
        </w:rPr>
        <w:t xml:space="preserve"> </w:t>
      </w:r>
      <w:r>
        <w:rPr>
          <w:rFonts w:ascii="Arial" w:cs="Arial" w:eastAsia="Arial" w:hAnsi="Arial"/>
          <w:sz w:val="17"/>
          <w:szCs w:val="17"/>
          <w:color w:val="000000"/>
        </w:rPr>
        <w:t>exceeded the peer median TSR over the three-year performance period. This performance resulted in an RVA payout above target.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2800"/>
        <w:spacing w:after="0"/>
        <w:rPr>
          <w:sz w:val="20"/>
          <w:szCs w:val="20"/>
          <w:color w:val="auto"/>
        </w:rPr>
      </w:pPr>
      <w:r>
        <w:rPr>
          <w:rFonts w:ascii="Arial" w:cs="Arial" w:eastAsia="Arial" w:hAnsi="Arial"/>
          <w:sz w:val="32"/>
          <w:szCs w:val="32"/>
          <w:color w:val="D52B1E"/>
        </w:rPr>
        <w:t>200%</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SVA Payout</w:t>
      </w:r>
    </w:p>
    <w:p>
      <w:pPr>
        <w:spacing w:after="0" w:line="200" w:lineRule="exact"/>
        <w:rPr>
          <w:sz w:val="20"/>
          <w:szCs w:val="20"/>
          <w:color w:val="auto"/>
        </w:rPr>
      </w:pPr>
    </w:p>
    <w:p>
      <w:pPr>
        <w:spacing w:after="0" w:line="236" w:lineRule="exact"/>
        <w:rPr>
          <w:sz w:val="20"/>
          <w:szCs w:val="20"/>
          <w:color w:val="auto"/>
        </w:rPr>
      </w:pPr>
    </w:p>
    <w:p>
      <w:pPr>
        <w:jc w:val="center"/>
        <w:ind w:right="2800"/>
        <w:spacing w:after="0"/>
        <w:rPr>
          <w:sz w:val="20"/>
          <w:szCs w:val="20"/>
          <w:color w:val="auto"/>
        </w:rPr>
      </w:pPr>
      <w:r>
        <w:rPr>
          <w:rFonts w:ascii="Arial" w:cs="Arial" w:eastAsia="Arial" w:hAnsi="Arial"/>
          <w:sz w:val="32"/>
          <w:szCs w:val="32"/>
          <w:color w:val="D52B1E"/>
        </w:rPr>
        <w:t>200%</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RVA Payout</w:t>
      </w:r>
    </w:p>
    <w:p>
      <w:pPr>
        <w:spacing w:after="0" w:line="332" w:lineRule="exact"/>
        <w:rPr>
          <w:sz w:val="20"/>
          <w:szCs w:val="20"/>
          <w:color w:val="auto"/>
        </w:rPr>
      </w:pPr>
    </w:p>
    <w:p>
      <w:pPr>
        <w:sectPr>
          <w:pgSz w:w="11900" w:h="16838" w:orient="portrait"/>
          <w:cols w:equalWidth="0" w:num="2">
            <w:col w:w="6460" w:space="720"/>
            <w:col w:w="4020"/>
          </w:cols>
          <w:pgMar w:left="320" w:top="1243" w:right="379" w:bottom="1440" w:gutter="0" w:footer="0" w:header="0"/>
          <w:type w:val="continuous"/>
        </w:sect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3" w:right="3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52"/>
          <w:szCs w:val="52"/>
          <w:b w:val="1"/>
          <w:bCs w:val="1"/>
          <w:color w:val="auto"/>
        </w:rPr>
        <w:t>Governance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How We Build an Effective Board</w:t>
      </w:r>
    </w:p>
    <w:p>
      <w:pPr>
        <w:spacing w:after="0" w:line="200" w:lineRule="exact"/>
        <w:rPr>
          <w:sz w:val="20"/>
          <w:szCs w:val="20"/>
          <w:color w:val="auto"/>
        </w:rPr>
      </w:pPr>
    </w:p>
    <w:p>
      <w:pPr>
        <w:spacing w:after="0" w:line="213" w:lineRule="exact"/>
        <w:rPr>
          <w:sz w:val="20"/>
          <w:szCs w:val="20"/>
          <w:color w:val="auto"/>
        </w:rPr>
      </w:pPr>
    </w:p>
    <w:p>
      <w:pPr>
        <w:ind w:left="3220" w:right="2160"/>
        <w:spacing w:after="0" w:line="254" w:lineRule="auto"/>
        <w:rPr>
          <w:sz w:val="20"/>
          <w:szCs w:val="20"/>
          <w:color w:val="auto"/>
        </w:rPr>
      </w:pPr>
      <w:r>
        <w:rPr>
          <w:rFonts w:ascii="Arial" w:cs="Arial" w:eastAsia="Arial" w:hAnsi="Arial"/>
          <w:sz w:val="18"/>
          <w:szCs w:val="18"/>
          <w:color w:val="auto"/>
        </w:rPr>
        <w:t>Our directors are elected by our shareholders to oversee Lilly’s business operations, strategy, and management. The Directors and Corporate Governance Committee, led by our lead independent director, regularly assesses the board to ensure that directors have the skills, experience and diverse perspectives needed to oversee our complex and evolving business. Our board assessment process, corporate governance guidelines, and refreshment efforts have resulted in a board that balances institutional knowledge with fresh viewpoints and reflects diverse backgrounds. This structure creates an effective board capable of providing strategic guidance and rigorous oversight to drive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-1500505</wp:posOffset>
            </wp:positionV>
            <wp:extent cx="1808480" cy="1448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08480" cy="144843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240"/>
        <w:spacing w:after="0" w:line="233" w:lineRule="auto"/>
        <w:rPr>
          <w:sz w:val="20"/>
          <w:szCs w:val="20"/>
          <w:color w:val="auto"/>
        </w:rPr>
      </w:pPr>
      <w:r>
        <w:rPr>
          <w:rFonts w:ascii="Arial" w:cs="Arial" w:eastAsia="Arial" w:hAnsi="Arial"/>
          <w:sz w:val="22"/>
          <w:szCs w:val="22"/>
          <w:b w:val="1"/>
          <w:bCs w:val="1"/>
          <w:color w:val="auto"/>
        </w:rPr>
        <w:t xml:space="preserve">Character: </w:t>
      </w:r>
      <w:r>
        <w:rPr>
          <w:rFonts w:ascii="Arial" w:cs="Arial" w:eastAsia="Arial" w:hAnsi="Arial"/>
          <w:sz w:val="17"/>
          <w:szCs w:val="17"/>
          <w:color w:val="auto"/>
        </w:rPr>
        <w:t>Board members should possess the personal attributes necessary to be effective directors, including unquestioned integrity,</w:t>
      </w:r>
      <w:r>
        <w:rPr>
          <w:rFonts w:ascii="Arial" w:cs="Arial" w:eastAsia="Arial" w:hAnsi="Arial"/>
          <w:sz w:val="22"/>
          <w:szCs w:val="22"/>
          <w:b w:val="1"/>
          <w:bCs w:val="1"/>
          <w:color w:val="auto"/>
        </w:rPr>
        <w:t xml:space="preserve"> </w:t>
      </w:r>
      <w:r>
        <w:rPr>
          <w:rFonts w:ascii="Arial" w:cs="Arial" w:eastAsia="Arial" w:hAnsi="Arial"/>
          <w:sz w:val="17"/>
          <w:szCs w:val="17"/>
          <w:color w:val="auto"/>
        </w:rPr>
        <w:t>sound judgment, a collaborative spirit, and commitment to our company, shareholders, and stakeholders.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22"/>
          <w:szCs w:val="22"/>
          <w:b w:val="1"/>
          <w:bCs w:val="1"/>
          <w:color w:val="auto"/>
        </w:rPr>
        <w:t xml:space="preserve">Independence: </w:t>
      </w:r>
      <w:r>
        <w:rPr>
          <w:rFonts w:ascii="Arial" w:cs="Arial" w:eastAsia="Arial" w:hAnsi="Arial"/>
          <w:sz w:val="17"/>
          <w:szCs w:val="17"/>
          <w:color w:val="auto"/>
        </w:rPr>
        <w:t>We believe there should always be a substantial majority (75 percent or more) of independent directors on the board.</w:t>
      </w:r>
      <w:r>
        <w:rPr>
          <w:rFonts w:ascii="Arial" w:cs="Arial" w:eastAsia="Arial" w:hAnsi="Arial"/>
          <w:sz w:val="22"/>
          <w:szCs w:val="22"/>
          <w:b w:val="1"/>
          <w:bCs w:val="1"/>
          <w:color w:val="auto"/>
        </w:rPr>
        <w:t xml:space="preserve"> </w:t>
      </w:r>
      <w:r>
        <w:rPr>
          <w:rFonts w:ascii="Arial" w:cs="Arial" w:eastAsia="Arial" w:hAnsi="Arial"/>
          <w:sz w:val="17"/>
          <w:szCs w:val="17"/>
          <w:color w:val="auto"/>
        </w:rPr>
        <w:t>The board annually determines independence based on a review and recommendation by the Directors and Corporate Governance Committee. No director is considered independent unless the board has affirmatively determined that he or she has no material relationship with the company, either directly or as a partner, shareholder, or officer of an organization that has a relationship with the company.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w:t>
      </w:r>
    </w:p>
    <w:p>
      <w:pPr>
        <w:spacing w:after="0" w:line="11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 xml:space="preserve">Lilly’s process for determining director independence is set forth in our Standards for Director Independence, available on our website at </w:t>
      </w:r>
      <w:r>
        <w:rPr>
          <w:rFonts w:ascii="Arial" w:cs="Arial" w:eastAsia="Arial" w:hAnsi="Arial"/>
          <w:sz w:val="18"/>
          <w:szCs w:val="18"/>
          <w:color w:val="D52B1E"/>
        </w:rPr>
        <w:t>lilly.com/about/leadership/governance</w:t>
      </w:r>
      <w:r>
        <w:rPr>
          <w:rFonts w:ascii="Arial" w:cs="Arial" w:eastAsia="Arial" w:hAnsi="Arial"/>
          <w:sz w:val="18"/>
          <w:szCs w:val="18"/>
          <w:color w:val="000000"/>
        </w:rPr>
        <w:t>, along with our corporate governance guidelines.</w:t>
      </w:r>
    </w:p>
    <w:p>
      <w:pPr>
        <w:spacing w:after="0" w:line="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the recommendation of the Directors and Corporate Governance Committee, the board determined that each current non-employee director is independent and that the members of our Audit and Talent and Compensation Committees meet the heightened independence standards applicable to those committees. The board determined that none of the current non-employee directors has had during the last three years (i) any of the relationships identified in the company’s categorical independence standards or (ii) any other material relationship with the company that would compromise his or her independence.</w:t>
      </w:r>
    </w:p>
    <w:p>
      <w:pPr>
        <w:spacing w:after="0" w:line="179" w:lineRule="exact"/>
        <w:rPr>
          <w:sz w:val="20"/>
          <w:szCs w:val="20"/>
          <w:color w:val="auto"/>
        </w:rPr>
      </w:pPr>
    </w:p>
    <w:p>
      <w:pPr>
        <w:ind w:left="20" w:right="2280"/>
        <w:spacing w:after="0" w:line="291" w:lineRule="auto"/>
        <w:rPr>
          <w:sz w:val="20"/>
          <w:szCs w:val="20"/>
          <w:color w:val="auto"/>
        </w:rPr>
      </w:pPr>
      <w:r>
        <w:rPr>
          <w:rFonts w:ascii="Arial" w:cs="Arial" w:eastAsia="Arial" w:hAnsi="Arial"/>
          <w:sz w:val="17"/>
          <w:szCs w:val="17"/>
          <w:color w:val="auto"/>
        </w:rPr>
        <w:t>The board considered that certain non-employee directors are affiliated with entities that transact with the company in the ordinary course of business. Drs. Baicker, Bertozzi, Kaelin, and Hedley are employed at medical or academic institutions with which the company engages in clinical research, provides grants, or conducts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92075</wp:posOffset>
            </wp:positionV>
            <wp:extent cx="1808480" cy="557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8480" cy="557530"/>
                    </a:xfrm>
                    <a:prstGeom prst="rect">
                      <a:avLst/>
                    </a:prstGeom>
                    <a:noFill/>
                  </pic:spPr>
                </pic:pic>
              </a:graphicData>
            </a:graphic>
          </wp:anchor>
        </w:drawing>
      </w:r>
    </w:p>
    <w:p>
      <w:pPr>
        <w:spacing w:after="0" w:line="133" w:lineRule="exact"/>
        <w:rPr>
          <w:sz w:val="20"/>
          <w:szCs w:val="20"/>
          <w:color w:val="auto"/>
        </w:rPr>
      </w:pPr>
    </w:p>
    <w:p>
      <w:pPr>
        <w:ind w:left="3640" w:right="2540"/>
        <w:spacing w:after="0" w:line="282" w:lineRule="auto"/>
        <w:rPr>
          <w:sz w:val="20"/>
          <w:szCs w:val="20"/>
          <w:color w:val="auto"/>
        </w:rPr>
      </w:pPr>
      <w:r>
        <w:rPr>
          <w:rFonts w:ascii="Arial" w:cs="Arial" w:eastAsia="Arial" w:hAnsi="Arial"/>
          <w:sz w:val="17"/>
          <w:szCs w:val="17"/>
          <w:color w:val="auto"/>
        </w:rPr>
        <w:t>commercial transactions. Mr. Luciano is employed by Archer-Daniels-Midland Company, with which the company engaged in routine business transactions. The board determined that these transactions did not impair the independence of any directors.</w:t>
      </w:r>
    </w:p>
    <w:p>
      <w:pPr>
        <w:spacing w:after="0" w:line="2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Transactions with these entities fell below the applicable thresholds for independence impairment under the NYSE Listed Company Manual and the company's Standards for Director Independence, and did not constitute related party transactions under the company's Related Persons Transactions Policy (discussed more fully on p.</w:t>
      </w:r>
      <w:r>
        <w:rPr>
          <w:rFonts w:ascii="Arial" w:cs="Arial" w:eastAsia="Arial" w:hAnsi="Arial"/>
          <w:sz w:val="18"/>
          <w:szCs w:val="18"/>
          <w:u w:val="single" w:color="auto"/>
          <w:color w:val="0000FF"/>
        </w:rPr>
        <w:t>39</w:t>
      </w:r>
      <w:r>
        <w:rPr>
          <w:rFonts w:ascii="Arial" w:cs="Arial" w:eastAsia="Arial" w:hAnsi="Arial"/>
          <w:sz w:val="18"/>
          <w:szCs w:val="18"/>
          <w:color w:val="auto"/>
        </w:rPr>
        <w:t>).</w:t>
      </w:r>
    </w:p>
    <w:p>
      <w:pPr>
        <w:spacing w:after="0" w:line="174" w:lineRule="exact"/>
        <w:rPr>
          <w:sz w:val="20"/>
          <w:szCs w:val="20"/>
          <w:color w:val="auto"/>
        </w:rPr>
      </w:pPr>
    </w:p>
    <w:p>
      <w:pPr>
        <w:ind w:right="260"/>
        <w:spacing w:after="0" w:line="233" w:lineRule="auto"/>
        <w:rPr>
          <w:sz w:val="20"/>
          <w:szCs w:val="20"/>
          <w:color w:val="auto"/>
        </w:rPr>
      </w:pPr>
      <w:r>
        <w:rPr>
          <w:rFonts w:ascii="Arial" w:cs="Arial" w:eastAsia="Arial" w:hAnsi="Arial"/>
          <w:sz w:val="22"/>
          <w:szCs w:val="22"/>
          <w:b w:val="1"/>
          <w:bCs w:val="1"/>
          <w:color w:val="auto"/>
        </w:rPr>
        <w:t xml:space="preserve">Diversity of Experience: </w:t>
      </w:r>
      <w:r>
        <w:rPr>
          <w:rFonts w:ascii="Arial" w:cs="Arial" w:eastAsia="Arial" w:hAnsi="Arial"/>
          <w:sz w:val="17"/>
          <w:szCs w:val="17"/>
          <w:color w:val="auto"/>
        </w:rPr>
        <w:t>The board does not have specific diversity goals or a standalone diversity policy. The board seeks director</w:t>
      </w:r>
      <w:r>
        <w:rPr>
          <w:rFonts w:ascii="Arial" w:cs="Arial" w:eastAsia="Arial" w:hAnsi="Arial"/>
          <w:sz w:val="22"/>
          <w:szCs w:val="22"/>
          <w:b w:val="1"/>
          <w:bCs w:val="1"/>
          <w:color w:val="auto"/>
        </w:rPr>
        <w:t xml:space="preserve"> </w:t>
      </w:r>
      <w:r>
        <w:rPr>
          <w:rFonts w:ascii="Arial" w:cs="Arial" w:eastAsia="Arial" w:hAnsi="Arial"/>
          <w:sz w:val="17"/>
          <w:szCs w:val="17"/>
          <w:color w:val="auto"/>
        </w:rPr>
        <w:t>candidates who represent a mix of backgrounds and experiences that will enhance the</w:t>
      </w:r>
    </w:p>
    <w:p>
      <w:pPr>
        <w:sectPr>
          <w:pgSz w:w="11900" w:h="16838" w:orient="portrait"/>
          <w:cols w:equalWidth="0" w:num="1">
            <w:col w:w="11220"/>
          </w:cols>
          <w:pgMar w:left="320" w:top="1233" w:right="359" w:bottom="1440" w:gutter="0" w:footer="0" w:header="0"/>
        </w:sect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3" w:right="359" w:bottom="1440" w:gutter="0" w:footer="0" w:header="0"/>
          <w:type w:val="continuous"/>
        </w:sectPr>
      </w:pPr>
    </w:p>
    <w:bookmarkStart w:id="12" w:name="page13"/>
    <w:bookmarkEnd w:id="12"/>
    <w:p>
      <w:pPr>
        <w:spacing w:after="0" w:line="268" w:lineRule="auto"/>
        <w:rPr>
          <w:sz w:val="20"/>
          <w:szCs w:val="20"/>
          <w:color w:val="auto"/>
        </w:rPr>
      </w:pPr>
      <w:r>
        <w:rPr>
          <w:rFonts w:ascii="Arial" w:cs="Arial" w:eastAsia="Arial" w:hAnsi="Arial"/>
          <w:sz w:val="18"/>
          <w:szCs w:val="18"/>
          <w:color w:val="auto"/>
        </w:rPr>
        <w:t>quality of deliberations and decisions. Candidates are expected to have substantial experience with one or more publicly traded national or multinational companies or to have achieved a high level of distinction in their chosen field. The company’s current 12 directors range in age from 53 to 70 and include five women and seven 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0</wp:posOffset>
            </wp:positionV>
            <wp:extent cx="1054735" cy="737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54735" cy="737235"/>
                    </a:xfrm>
                    <a:prstGeom prst="rect">
                      <a:avLst/>
                    </a:prstGeom>
                    <a:noFill/>
                  </pic:spPr>
                </pic:pic>
              </a:graphicData>
            </a:graphic>
          </wp:anchor>
        </w:drawing>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060" w:type="dxa"/>
            <w:vAlign w:val="bottom"/>
          </w:tcPr>
          <w:p>
            <w:pPr>
              <w:jc w:val="center"/>
              <w:ind w:right="1181"/>
              <w:spacing w:after="0"/>
              <w:rPr>
                <w:sz w:val="20"/>
                <w:szCs w:val="20"/>
                <w:color w:val="auto"/>
              </w:rPr>
            </w:pPr>
            <w:r>
              <w:rPr>
                <w:rFonts w:ascii="Arial" w:cs="Arial" w:eastAsia="Arial" w:hAnsi="Arial"/>
                <w:sz w:val="20"/>
                <w:szCs w:val="20"/>
                <w:b w:val="1"/>
                <w:bCs w:val="1"/>
                <w:color w:val="D52B1E"/>
                <w:w w:val="98"/>
              </w:rPr>
              <w:t>9 Years</w:t>
            </w:r>
          </w:p>
        </w:tc>
        <w:tc>
          <w:tcPr>
            <w:tcW w:w="6500" w:type="dxa"/>
            <w:vAlign w:val="bottom"/>
            <w:vMerge w:val="restart"/>
          </w:tcPr>
          <w:p>
            <w:pPr>
              <w:ind w:left="1280"/>
              <w:spacing w:after="0"/>
              <w:rPr>
                <w:sz w:val="20"/>
                <w:szCs w:val="20"/>
                <w:color w:val="auto"/>
              </w:rPr>
            </w:pPr>
            <w:r>
              <w:rPr>
                <w:rFonts w:ascii="Arial" w:cs="Arial" w:eastAsia="Arial" w:hAnsi="Arial"/>
                <w:sz w:val="22"/>
                <w:szCs w:val="22"/>
                <w:b w:val="1"/>
                <w:bCs w:val="1"/>
                <w:color w:val="auto"/>
              </w:rPr>
              <w:t xml:space="preserve">Tenure: </w:t>
            </w:r>
            <w:r>
              <w:rPr>
                <w:rFonts w:ascii="Arial" w:cs="Arial" w:eastAsia="Arial" w:hAnsi="Arial"/>
                <w:sz w:val="17"/>
                <w:szCs w:val="17"/>
                <w:color w:val="auto"/>
              </w:rPr>
              <w:t>Our director composition reflects a mix of board tenure,</w:t>
            </w:r>
          </w:p>
        </w:tc>
        <w:tc>
          <w:tcPr>
            <w:tcW w:w="0" w:type="dxa"/>
            <w:vAlign w:val="bottom"/>
          </w:tcPr>
          <w:p>
            <w:pPr>
              <w:spacing w:after="0"/>
              <w:rPr>
                <w:sz w:val="1"/>
                <w:szCs w:val="1"/>
                <w:color w:val="auto"/>
              </w:rPr>
            </w:pPr>
          </w:p>
        </w:tc>
      </w:tr>
      <w:tr>
        <w:trPr>
          <w:trHeight w:val="140"/>
        </w:trPr>
        <w:tc>
          <w:tcPr>
            <w:tcW w:w="2060" w:type="dxa"/>
            <w:vAlign w:val="bottom"/>
            <w:vMerge w:val="restart"/>
          </w:tcPr>
          <w:p>
            <w:pPr>
              <w:jc w:val="center"/>
              <w:ind w:right="1181"/>
              <w:spacing w:after="0"/>
              <w:rPr>
                <w:sz w:val="20"/>
                <w:szCs w:val="20"/>
                <w:color w:val="auto"/>
              </w:rPr>
            </w:pPr>
            <w:r>
              <w:rPr>
                <w:rFonts w:ascii="Arial" w:cs="Arial" w:eastAsia="Arial" w:hAnsi="Arial"/>
                <w:sz w:val="20"/>
                <w:szCs w:val="20"/>
                <w:b w:val="1"/>
                <w:bCs w:val="1"/>
                <w:color w:val="auto"/>
                <w:w w:val="98"/>
              </w:rPr>
              <w:t>Average</w:t>
            </w:r>
          </w:p>
        </w:tc>
        <w:tc>
          <w:tcPr>
            <w:tcW w:w="6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60" w:type="dxa"/>
            <w:vAlign w:val="bottom"/>
            <w:vMerge w:val="continue"/>
          </w:tcPr>
          <w:p>
            <w:pPr>
              <w:spacing w:after="0"/>
              <w:rPr>
                <w:sz w:val="7"/>
                <w:szCs w:val="7"/>
                <w:color w:val="auto"/>
              </w:rPr>
            </w:pPr>
          </w:p>
        </w:tc>
        <w:tc>
          <w:tcPr>
            <w:tcW w:w="6500" w:type="dxa"/>
            <w:vAlign w:val="bottom"/>
            <w:vMerge w:val="restart"/>
          </w:tcPr>
          <w:p>
            <w:pPr>
              <w:ind w:left="1280"/>
              <w:spacing w:after="0"/>
              <w:rPr>
                <w:sz w:val="20"/>
                <w:szCs w:val="20"/>
                <w:color w:val="auto"/>
              </w:rPr>
            </w:pPr>
            <w:r>
              <w:rPr>
                <w:rFonts w:ascii="Arial" w:cs="Arial" w:eastAsia="Arial" w:hAnsi="Arial"/>
                <w:sz w:val="18"/>
                <w:szCs w:val="18"/>
                <w:color w:val="auto"/>
              </w:rPr>
              <w:t>which provides an effective balance of historical perspective and</w:t>
            </w:r>
          </w:p>
        </w:tc>
        <w:tc>
          <w:tcPr>
            <w:tcW w:w="0" w:type="dxa"/>
            <w:vAlign w:val="bottom"/>
          </w:tcPr>
          <w:p>
            <w:pPr>
              <w:spacing w:after="0"/>
              <w:rPr>
                <w:sz w:val="1"/>
                <w:szCs w:val="1"/>
                <w:color w:val="auto"/>
              </w:rPr>
            </w:pPr>
          </w:p>
        </w:tc>
      </w:tr>
      <w:tr>
        <w:trPr>
          <w:trHeight w:val="126"/>
        </w:trPr>
        <w:tc>
          <w:tcPr>
            <w:tcW w:w="2060" w:type="dxa"/>
            <w:vAlign w:val="bottom"/>
            <w:vMerge w:val="restart"/>
          </w:tcPr>
          <w:p>
            <w:pPr>
              <w:jc w:val="center"/>
              <w:ind w:right="1201"/>
              <w:spacing w:after="0"/>
              <w:rPr>
                <w:sz w:val="20"/>
                <w:szCs w:val="20"/>
                <w:color w:val="auto"/>
              </w:rPr>
            </w:pPr>
            <w:r>
              <w:rPr>
                <w:rFonts w:ascii="Arial" w:cs="Arial" w:eastAsia="Arial" w:hAnsi="Arial"/>
                <w:sz w:val="20"/>
                <w:szCs w:val="20"/>
                <w:b w:val="1"/>
                <w:bCs w:val="1"/>
                <w:color w:val="auto"/>
                <w:w w:val="99"/>
              </w:rPr>
              <w:t>Director</w:t>
            </w:r>
          </w:p>
        </w:tc>
        <w:tc>
          <w:tcPr>
            <w:tcW w:w="6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60" w:type="dxa"/>
            <w:vAlign w:val="bottom"/>
            <w:vMerge w:val="continue"/>
          </w:tcPr>
          <w:p>
            <w:pPr>
              <w:spacing w:after="0"/>
              <w:rPr>
                <w:sz w:val="8"/>
                <w:szCs w:val="8"/>
                <w:color w:val="auto"/>
              </w:rPr>
            </w:pPr>
          </w:p>
        </w:tc>
        <w:tc>
          <w:tcPr>
            <w:tcW w:w="6500" w:type="dxa"/>
            <w:vAlign w:val="bottom"/>
            <w:vMerge w:val="restart"/>
          </w:tcPr>
          <w:p>
            <w:pPr>
              <w:ind w:left="1280"/>
              <w:spacing w:after="0"/>
              <w:rPr>
                <w:sz w:val="20"/>
                <w:szCs w:val="20"/>
                <w:color w:val="auto"/>
              </w:rPr>
            </w:pPr>
            <w:r>
              <w:rPr>
                <w:rFonts w:ascii="Arial" w:cs="Arial" w:eastAsia="Arial" w:hAnsi="Arial"/>
                <w:sz w:val="18"/>
                <w:szCs w:val="18"/>
                <w:color w:val="auto"/>
              </w:rPr>
              <w:t>an understanding of the evolution of our business with fresh</w:t>
            </w:r>
          </w:p>
        </w:tc>
        <w:tc>
          <w:tcPr>
            <w:tcW w:w="0" w:type="dxa"/>
            <w:vAlign w:val="bottom"/>
          </w:tcPr>
          <w:p>
            <w:pPr>
              <w:spacing w:after="0"/>
              <w:rPr>
                <w:sz w:val="1"/>
                <w:szCs w:val="1"/>
                <w:color w:val="auto"/>
              </w:rPr>
            </w:pPr>
          </w:p>
        </w:tc>
      </w:tr>
      <w:tr>
        <w:trPr>
          <w:trHeight w:val="113"/>
        </w:trPr>
        <w:tc>
          <w:tcPr>
            <w:tcW w:w="2060" w:type="dxa"/>
            <w:vAlign w:val="bottom"/>
            <w:vMerge w:val="restart"/>
          </w:tcPr>
          <w:p>
            <w:pPr>
              <w:jc w:val="center"/>
              <w:ind w:right="1201"/>
              <w:spacing w:after="0"/>
              <w:rPr>
                <w:sz w:val="20"/>
                <w:szCs w:val="20"/>
                <w:color w:val="auto"/>
              </w:rPr>
            </w:pPr>
            <w:r>
              <w:rPr>
                <w:rFonts w:ascii="Arial" w:cs="Arial" w:eastAsia="Arial" w:hAnsi="Arial"/>
                <w:sz w:val="20"/>
                <w:szCs w:val="20"/>
                <w:b w:val="1"/>
                <w:bCs w:val="1"/>
                <w:color w:val="auto"/>
                <w:w w:val="95"/>
              </w:rPr>
              <w:t>Tenure</w:t>
            </w:r>
          </w:p>
        </w:tc>
        <w:tc>
          <w:tcPr>
            <w:tcW w:w="6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60" w:type="dxa"/>
            <w:vAlign w:val="bottom"/>
            <w:vMerge w:val="continue"/>
          </w:tcPr>
          <w:p>
            <w:pPr>
              <w:spacing w:after="0"/>
              <w:rPr>
                <w:sz w:val="13"/>
                <w:szCs w:val="13"/>
                <w:color w:val="auto"/>
              </w:rPr>
            </w:pPr>
          </w:p>
        </w:tc>
        <w:tc>
          <w:tcPr>
            <w:tcW w:w="6500" w:type="dxa"/>
            <w:vAlign w:val="bottom"/>
            <w:vMerge w:val="restart"/>
          </w:tcPr>
          <w:p>
            <w:pPr>
              <w:ind w:left="1280"/>
              <w:spacing w:after="0"/>
              <w:rPr>
                <w:sz w:val="20"/>
                <w:szCs w:val="20"/>
                <w:color w:val="auto"/>
              </w:rPr>
            </w:pPr>
            <w:r>
              <w:rPr>
                <w:rFonts w:ascii="Arial" w:cs="Arial" w:eastAsia="Arial" w:hAnsi="Arial"/>
                <w:sz w:val="18"/>
                <w:szCs w:val="18"/>
                <w:color w:val="auto"/>
              </w:rPr>
              <w:t>perspectives and insights.</w:t>
            </w:r>
          </w:p>
        </w:tc>
        <w:tc>
          <w:tcPr>
            <w:tcW w:w="0" w:type="dxa"/>
            <w:vAlign w:val="bottom"/>
          </w:tcPr>
          <w:p>
            <w:pPr>
              <w:spacing w:after="0"/>
              <w:rPr>
                <w:sz w:val="1"/>
                <w:szCs w:val="1"/>
                <w:color w:val="auto"/>
              </w:rPr>
            </w:pPr>
          </w:p>
        </w:tc>
      </w:tr>
      <w:tr>
        <w:trPr>
          <w:trHeight w:val="78"/>
        </w:trPr>
        <w:tc>
          <w:tcPr>
            <w:tcW w:w="2060" w:type="dxa"/>
            <w:vAlign w:val="bottom"/>
          </w:tcPr>
          <w:p>
            <w:pPr>
              <w:spacing w:after="0"/>
              <w:rPr>
                <w:sz w:val="6"/>
                <w:szCs w:val="6"/>
                <w:color w:val="auto"/>
              </w:rPr>
            </w:pPr>
          </w:p>
        </w:tc>
        <w:tc>
          <w:tcPr>
            <w:tcW w:w="6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Director Governance 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5768975" cy="3771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8975" cy="3771900"/>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p>
      <w:pPr>
        <w:spacing w:after="0" w:line="109" w:lineRule="exact"/>
        <w:rPr>
          <w:sz w:val="20"/>
          <w:szCs w:val="20"/>
          <w:color w:val="auto"/>
        </w:rPr>
      </w:pPr>
    </w:p>
    <w:p>
      <w:pPr>
        <w:ind w:left="300"/>
        <w:spacing w:after="0"/>
        <w:rPr>
          <w:sz w:val="20"/>
          <w:szCs w:val="20"/>
          <w:color w:val="auto"/>
        </w:rPr>
      </w:pPr>
      <w:r>
        <w:rPr>
          <w:rFonts w:ascii="Wingdings" w:cs="Wingdings" w:eastAsia="Wingdings" w:hAnsi="Wingdings"/>
          <w:sz w:val="25"/>
          <w:szCs w:val="25"/>
          <w:b w:val="1"/>
          <w:bCs w:val="1"/>
          <w:color w:val="auto"/>
          <w:shd w:val="clear" w:color="auto" w:fill="00A1DE"/>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Wingdings" w:cs="Wingdings" w:eastAsia="Wingdings" w:hAnsi="Wingdings"/>
          <w:sz w:val="25"/>
          <w:szCs w:val="25"/>
          <w:b w:val="1"/>
          <w:bCs w:val="1"/>
          <w:color w:val="auto"/>
          <w:shd w:val="clear" w:color="auto" w:fill="00A1DE"/>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0"/>
        <w:spacing w:after="0"/>
        <w:rPr>
          <w:sz w:val="20"/>
          <w:szCs w:val="20"/>
          <w:color w:val="auto"/>
        </w:rPr>
      </w:pPr>
      <w:r>
        <w:rPr>
          <w:rFonts w:ascii="Wingdings" w:cs="Wingdings" w:eastAsia="Wingdings" w:hAnsi="Wingdings"/>
          <w:sz w:val="25"/>
          <w:szCs w:val="25"/>
          <w:b w:val="1"/>
          <w:bCs w:val="1"/>
          <w:color w:val="auto"/>
          <w:shd w:val="clear" w:color="auto" w:fill="00A1DE"/>
        </w:rPr>
        <w:t>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00"/>
        <w:spacing w:after="0"/>
        <w:rPr>
          <w:sz w:val="20"/>
          <w:szCs w:val="20"/>
          <w:color w:val="auto"/>
        </w:rPr>
      </w:pPr>
      <w:r>
        <w:rPr>
          <w:rFonts w:ascii="Wingdings" w:cs="Wingdings" w:eastAsia="Wingdings" w:hAnsi="Wingdings"/>
          <w:sz w:val="25"/>
          <w:szCs w:val="25"/>
          <w:b w:val="1"/>
          <w:bCs w:val="1"/>
          <w:color w:val="auto"/>
          <w:shd w:val="clear" w:color="auto" w:fill="00A1DE"/>
        </w:rPr>
        <w:t>ü</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360"/>
        <w:spacing w:after="0" w:line="214" w:lineRule="auto"/>
        <w:rPr>
          <w:sz w:val="20"/>
          <w:szCs w:val="20"/>
          <w:color w:val="auto"/>
        </w:rPr>
      </w:pPr>
      <w:r>
        <w:rPr>
          <w:rFonts w:ascii="Arial" w:cs="Arial" w:eastAsia="Arial" w:hAnsi="Arial"/>
          <w:sz w:val="19"/>
          <w:szCs w:val="19"/>
          <w:b w:val="1"/>
          <w:bCs w:val="1"/>
          <w:color w:val="auto"/>
        </w:rPr>
        <w:t xml:space="preserve">Resignation Policy </w:t>
      </w:r>
      <w:r>
        <w:rPr>
          <w:rFonts w:ascii="Arial" w:cs="Arial" w:eastAsia="Arial" w:hAnsi="Arial"/>
          <w:sz w:val="17"/>
          <w:szCs w:val="17"/>
          <w:color w:val="auto"/>
        </w:rPr>
        <w:t>- In an uncontested election, directors are elected by a majority of votes cast. An</w:t>
      </w:r>
      <w:r>
        <w:rPr>
          <w:rFonts w:ascii="Arial" w:cs="Arial" w:eastAsia="Arial" w:hAnsi="Arial"/>
          <w:sz w:val="19"/>
          <w:szCs w:val="19"/>
          <w:b w:val="1"/>
          <w:bCs w:val="1"/>
          <w:color w:val="auto"/>
        </w:rPr>
        <w:t xml:space="preserve"> </w:t>
      </w:r>
      <w:r>
        <w:rPr>
          <w:rFonts w:ascii="Arial" w:cs="Arial" w:eastAsia="Arial" w:hAnsi="Arial"/>
          <w:sz w:val="17"/>
          <w:szCs w:val="17"/>
          <w:color w:val="auto"/>
        </w:rPr>
        <w:t>incumbent nominee who fails to receive a greater number of votes “for” than “against” will tender a resignation from the board following the certification of the shareholder vote. The board, on</w:t>
      </w:r>
    </w:p>
    <w:p>
      <w:pPr>
        <w:spacing w:after="0" w:line="2" w:lineRule="exact"/>
        <w:rPr>
          <w:sz w:val="20"/>
          <w:szCs w:val="20"/>
          <w:color w:val="auto"/>
        </w:rPr>
      </w:pPr>
    </w:p>
    <w:p>
      <w:pPr>
        <w:ind w:right="2340"/>
        <w:spacing w:after="0" w:line="221" w:lineRule="auto"/>
        <w:rPr>
          <w:sz w:val="20"/>
          <w:szCs w:val="20"/>
          <w:color w:val="auto"/>
        </w:rPr>
      </w:pPr>
      <w:r>
        <w:rPr>
          <w:rFonts w:ascii="Arial" w:cs="Arial" w:eastAsia="Arial" w:hAnsi="Arial"/>
          <w:sz w:val="18"/>
          <w:szCs w:val="18"/>
          <w:color w:val="auto"/>
        </w:rPr>
        <w:t>recommendation of the Directors and Corporate Governance Committee, will decide whether to accept the resignation. The company will promptly disclose the board’s decision, including, if applicable, the reasons for rejecting a resignation.</w:t>
      </w:r>
    </w:p>
    <w:p>
      <w:pPr>
        <w:spacing w:after="0" w:line="104" w:lineRule="exact"/>
        <w:rPr>
          <w:sz w:val="20"/>
          <w:szCs w:val="20"/>
          <w:color w:val="auto"/>
        </w:rPr>
      </w:pPr>
    </w:p>
    <w:p>
      <w:pPr>
        <w:ind w:right="2580"/>
        <w:spacing w:after="0" w:line="214" w:lineRule="auto"/>
        <w:rPr>
          <w:sz w:val="20"/>
          <w:szCs w:val="20"/>
          <w:color w:val="auto"/>
        </w:rPr>
      </w:pPr>
      <w:r>
        <w:rPr>
          <w:rFonts w:ascii="Arial" w:cs="Arial" w:eastAsia="Arial" w:hAnsi="Arial"/>
          <w:sz w:val="19"/>
          <w:szCs w:val="19"/>
          <w:b w:val="1"/>
          <w:bCs w:val="1"/>
          <w:color w:val="auto"/>
        </w:rPr>
        <w:t xml:space="preserve">Director Retirement Policy </w:t>
      </w:r>
      <w:r>
        <w:rPr>
          <w:rFonts w:ascii="Arial" w:cs="Arial" w:eastAsia="Arial" w:hAnsi="Arial"/>
          <w:sz w:val="17"/>
          <w:szCs w:val="17"/>
          <w:color w:val="auto"/>
        </w:rPr>
        <w:t>- Non-employee directors must retire from the board no later than the</w:t>
      </w:r>
      <w:r>
        <w:rPr>
          <w:rFonts w:ascii="Arial" w:cs="Arial" w:eastAsia="Arial" w:hAnsi="Arial"/>
          <w:sz w:val="19"/>
          <w:szCs w:val="19"/>
          <w:b w:val="1"/>
          <w:bCs w:val="1"/>
          <w:color w:val="auto"/>
        </w:rPr>
        <w:t xml:space="preserve"> </w:t>
      </w:r>
      <w:r>
        <w:rPr>
          <w:rFonts w:ascii="Arial" w:cs="Arial" w:eastAsia="Arial" w:hAnsi="Arial"/>
          <w:sz w:val="17"/>
          <w:szCs w:val="17"/>
          <w:color w:val="auto"/>
        </w:rPr>
        <w:t>date of the annual meeting that follows their seventy-second birthday, although the Directors and</w:t>
      </w:r>
    </w:p>
    <w:p>
      <w:pPr>
        <w:spacing w:after="0" w:line="1" w:lineRule="exact"/>
        <w:rPr>
          <w:sz w:val="20"/>
          <w:szCs w:val="20"/>
          <w:color w:val="auto"/>
        </w:rPr>
      </w:pPr>
    </w:p>
    <w:p>
      <w:pPr>
        <w:ind w:right="2580"/>
        <w:spacing w:after="0" w:line="208" w:lineRule="auto"/>
        <w:rPr>
          <w:sz w:val="20"/>
          <w:szCs w:val="20"/>
          <w:color w:val="auto"/>
        </w:rPr>
      </w:pPr>
      <w:r>
        <w:rPr>
          <w:rFonts w:ascii="Arial" w:cs="Arial" w:eastAsia="Arial" w:hAnsi="Arial"/>
          <w:sz w:val="18"/>
          <w:szCs w:val="18"/>
          <w:color w:val="auto"/>
        </w:rPr>
        <w:t>Corporate Governance Committee may recommend exceptions to this policy. The Directors and Corporate Governance Committee, with input from all board members, also considers the individual director’s contributions annually, with a more robust assessment at least every three years when</w:t>
      </w:r>
    </w:p>
    <w:p>
      <w:pPr>
        <w:spacing w:after="0" w:line="2" w:lineRule="exact"/>
        <w:rPr>
          <w:sz w:val="20"/>
          <w:szCs w:val="20"/>
          <w:color w:val="auto"/>
        </w:rPr>
      </w:pPr>
    </w:p>
    <w:p>
      <w:pPr>
        <w:jc w:val="both"/>
        <w:ind w:right="2680"/>
        <w:spacing w:after="0" w:line="221" w:lineRule="auto"/>
        <w:rPr>
          <w:sz w:val="20"/>
          <w:szCs w:val="20"/>
          <w:color w:val="auto"/>
        </w:rPr>
      </w:pPr>
      <w:r>
        <w:rPr>
          <w:rFonts w:ascii="Arial" w:cs="Arial" w:eastAsia="Arial" w:hAnsi="Arial"/>
          <w:sz w:val="18"/>
          <w:szCs w:val="18"/>
          <w:color w:val="auto"/>
        </w:rPr>
        <w:t>considering whether to nominate directors to new three-year terms. The company has not adopted term limits because the board believes that the company benefits from having a mix of longer- and shorter-tenured board members.</w:t>
      </w:r>
    </w:p>
    <w:p>
      <w:pPr>
        <w:spacing w:after="0" w:line="145" w:lineRule="exact"/>
        <w:rPr>
          <w:sz w:val="20"/>
          <w:szCs w:val="20"/>
          <w:color w:val="auto"/>
        </w:rPr>
      </w:pPr>
    </w:p>
    <w:p>
      <w:pPr>
        <w:ind w:right="2420"/>
        <w:spacing w:after="0" w:line="214" w:lineRule="auto"/>
        <w:rPr>
          <w:sz w:val="20"/>
          <w:szCs w:val="20"/>
          <w:color w:val="auto"/>
        </w:rPr>
      </w:pPr>
      <w:r>
        <w:rPr>
          <w:rFonts w:ascii="Arial" w:cs="Arial" w:eastAsia="Arial" w:hAnsi="Arial"/>
          <w:sz w:val="19"/>
          <w:szCs w:val="19"/>
          <w:b w:val="1"/>
          <w:bCs w:val="1"/>
          <w:color w:val="auto"/>
        </w:rPr>
        <w:t xml:space="preserve">Other Board Service Policy </w:t>
      </w:r>
      <w:r>
        <w:rPr>
          <w:rFonts w:ascii="Arial" w:cs="Arial" w:eastAsia="Arial" w:hAnsi="Arial"/>
          <w:sz w:val="17"/>
          <w:szCs w:val="17"/>
          <w:color w:val="auto"/>
        </w:rPr>
        <w:t>- To ensure proper engagement from our directors and effective</w:t>
      </w:r>
      <w:r>
        <w:rPr>
          <w:rFonts w:ascii="Arial" w:cs="Arial" w:eastAsia="Arial" w:hAnsi="Arial"/>
          <w:sz w:val="19"/>
          <w:szCs w:val="19"/>
          <w:b w:val="1"/>
          <w:bCs w:val="1"/>
          <w:color w:val="auto"/>
        </w:rPr>
        <w:t xml:space="preserve"> </w:t>
      </w:r>
      <w:r>
        <w:rPr>
          <w:rFonts w:ascii="Arial" w:cs="Arial" w:eastAsia="Arial" w:hAnsi="Arial"/>
          <w:sz w:val="17"/>
          <w:szCs w:val="17"/>
          <w:color w:val="auto"/>
        </w:rPr>
        <w:t>functioning of our board, we have instituted certain limitations on service on the boards of other public</w:t>
      </w:r>
    </w:p>
    <w:p>
      <w:pPr>
        <w:spacing w:after="0" w:line="1" w:lineRule="exact"/>
        <w:rPr>
          <w:sz w:val="20"/>
          <w:szCs w:val="20"/>
          <w:color w:val="auto"/>
        </w:rPr>
      </w:pPr>
    </w:p>
    <w:p>
      <w:pPr>
        <w:ind w:right="2500"/>
        <w:spacing w:after="0" w:line="221" w:lineRule="auto"/>
        <w:rPr>
          <w:sz w:val="20"/>
          <w:szCs w:val="20"/>
          <w:color w:val="auto"/>
        </w:rPr>
      </w:pPr>
      <w:r>
        <w:rPr>
          <w:rFonts w:ascii="Arial" w:cs="Arial" w:eastAsia="Arial" w:hAnsi="Arial"/>
          <w:sz w:val="17"/>
          <w:szCs w:val="17"/>
          <w:color w:val="auto"/>
        </w:rPr>
        <w:t>companies. In general, no director may serve on more than three other public company boards. No director that is an executive officer of a public company may serve on more than two public company boards (inclusive of Lilly). The Directors and Corporate Governance Committee may approve</w:t>
      </w:r>
    </w:p>
    <w:p>
      <w:pPr>
        <w:ind w:right="2460"/>
        <w:spacing w:after="0" w:line="221" w:lineRule="auto"/>
        <w:rPr>
          <w:sz w:val="20"/>
          <w:szCs w:val="20"/>
          <w:color w:val="auto"/>
        </w:rPr>
      </w:pPr>
      <w:r>
        <w:rPr>
          <w:rFonts w:ascii="Arial" w:cs="Arial" w:eastAsia="Arial" w:hAnsi="Arial"/>
          <w:sz w:val="18"/>
          <w:szCs w:val="18"/>
          <w:color w:val="auto"/>
        </w:rPr>
        <w:t>exceptions if it determines that the additional service will not impair the director’s effectiveness on the Lilly board. In addition, no director serving on the Audit Committee may serve simultaneously on the audit committee of more than two other public companies without the prior approval of the board.</w:t>
      </w:r>
    </w:p>
    <w:p>
      <w:pPr>
        <w:spacing w:after="0" w:line="145" w:lineRule="exact"/>
        <w:rPr>
          <w:sz w:val="20"/>
          <w:szCs w:val="20"/>
          <w:color w:val="auto"/>
        </w:rPr>
      </w:pPr>
    </w:p>
    <w:p>
      <w:pPr>
        <w:ind w:right="2480"/>
        <w:spacing w:after="0" w:line="214" w:lineRule="auto"/>
        <w:rPr>
          <w:sz w:val="20"/>
          <w:szCs w:val="20"/>
          <w:color w:val="auto"/>
        </w:rPr>
      </w:pPr>
      <w:r>
        <w:rPr>
          <w:rFonts w:ascii="Arial" w:cs="Arial" w:eastAsia="Arial" w:hAnsi="Arial"/>
          <w:sz w:val="19"/>
          <w:szCs w:val="19"/>
          <w:b w:val="1"/>
          <w:bCs w:val="1"/>
          <w:color w:val="auto"/>
        </w:rPr>
        <w:t xml:space="preserve">Confidentiality Policy </w:t>
      </w:r>
      <w:r>
        <w:rPr>
          <w:rFonts w:ascii="Arial" w:cs="Arial" w:eastAsia="Arial" w:hAnsi="Arial"/>
          <w:sz w:val="17"/>
          <w:szCs w:val="17"/>
          <w:b w:val="1"/>
          <w:bCs w:val="1"/>
          <w:color w:val="auto"/>
        </w:rPr>
        <w:t>-</w:t>
      </w:r>
      <w:r>
        <w:rPr>
          <w:rFonts w:ascii="Arial" w:cs="Arial" w:eastAsia="Arial" w:hAnsi="Arial"/>
          <w:sz w:val="19"/>
          <w:szCs w:val="19"/>
          <w:b w:val="1"/>
          <w:bCs w:val="1"/>
          <w:color w:val="auto"/>
        </w:rPr>
        <w:t xml:space="preserve"> </w:t>
      </w:r>
      <w:r>
        <w:rPr>
          <w:rFonts w:ascii="Arial" w:cs="Arial" w:eastAsia="Arial" w:hAnsi="Arial"/>
          <w:sz w:val="17"/>
          <w:szCs w:val="17"/>
          <w:color w:val="auto"/>
        </w:rPr>
        <w:t>The board has adopted a Board Confidentiality Policy (available at:</w:t>
      </w:r>
      <w:r>
        <w:rPr>
          <w:rFonts w:ascii="Arial" w:cs="Arial" w:eastAsia="Arial" w:hAnsi="Arial"/>
          <w:sz w:val="19"/>
          <w:szCs w:val="19"/>
          <w:b w:val="1"/>
          <w:bCs w:val="1"/>
          <w:color w:val="auto"/>
        </w:rPr>
        <w:t xml:space="preserve"> </w:t>
      </w:r>
      <w:r>
        <w:rPr>
          <w:rFonts w:ascii="Arial" w:cs="Arial" w:eastAsia="Arial" w:hAnsi="Arial"/>
          <w:sz w:val="17"/>
          <w:szCs w:val="17"/>
          <w:color w:val="D52B1E"/>
        </w:rPr>
        <w:t>lilly.com/about/leadership/governance</w:t>
      </w:r>
      <w:r>
        <w:rPr>
          <w:rFonts w:ascii="Arial" w:cs="Arial" w:eastAsia="Arial" w:hAnsi="Arial"/>
          <w:sz w:val="17"/>
          <w:szCs w:val="17"/>
          <w:color w:val="000000"/>
        </w:rPr>
        <w:t>), applicable to all members of the board. The policy prohibits a</w:t>
      </w:r>
      <w:r>
        <w:rPr>
          <w:rFonts w:ascii="Arial" w:cs="Arial" w:eastAsia="Arial" w:hAnsi="Arial"/>
          <w:sz w:val="17"/>
          <w:szCs w:val="17"/>
          <w:color w:val="D52B1E"/>
        </w:rPr>
        <w:t xml:space="preserve"> </w:t>
      </w:r>
      <w:r>
        <w:rPr>
          <w:rFonts w:ascii="Arial" w:cs="Arial" w:eastAsia="Arial" w:hAnsi="Arial"/>
          <w:sz w:val="17"/>
          <w:szCs w:val="17"/>
          <w:color w:val="000000"/>
        </w:rPr>
        <w:t>director from sharing confidential information obtained in his or her role as a director with any third</w:t>
      </w:r>
    </w:p>
    <w:p>
      <w:pPr>
        <w:spacing w:after="0" w:line="2" w:lineRule="exact"/>
        <w:rPr>
          <w:sz w:val="20"/>
          <w:szCs w:val="20"/>
          <w:color w:val="auto"/>
        </w:rPr>
      </w:pPr>
    </w:p>
    <w:p>
      <w:pPr>
        <w:ind w:right="2560"/>
        <w:spacing w:after="0" w:line="229" w:lineRule="auto"/>
        <w:rPr>
          <w:sz w:val="20"/>
          <w:szCs w:val="20"/>
          <w:color w:val="auto"/>
        </w:rPr>
      </w:pPr>
      <w:r>
        <w:rPr>
          <w:rFonts w:ascii="Arial" w:cs="Arial" w:eastAsia="Arial" w:hAnsi="Arial"/>
          <w:sz w:val="18"/>
          <w:szCs w:val="18"/>
          <w:color w:val="auto"/>
        </w:rPr>
        <w:t>party except under limited circumstances where the director is seeking legal advice or is required by law to disclose information.</w:t>
      </w:r>
    </w:p>
    <w:p>
      <w:pPr>
        <w:spacing w:after="0" w:line="200" w:lineRule="exact"/>
        <w:rPr>
          <w:sz w:val="20"/>
          <w:szCs w:val="20"/>
          <w:color w:val="auto"/>
        </w:rPr>
      </w:pPr>
    </w:p>
    <w:p>
      <w:pPr>
        <w:sectPr>
          <w:pgSz w:w="11900" w:h="16838" w:orient="portrait"/>
          <w:cols w:equalWidth="0" w:num="2">
            <w:col w:w="500" w:space="140"/>
            <w:col w:w="10500"/>
          </w:cols>
          <w:pgMar w:left="320" w:top="1093" w:right="439" w:bottom="1440" w:gutter="0" w:footer="0" w:header="0"/>
          <w:type w:val="continuous"/>
        </w:sect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32"/>
          <w:szCs w:val="32"/>
          <w:b w:val="1"/>
          <w:bCs w:val="1"/>
          <w:color w:val="D52B1E"/>
        </w:rPr>
        <w:t>Item 1. Election of Directors</w:t>
      </w:r>
    </w:p>
    <w:p>
      <w:pPr>
        <w:spacing w:after="0" w:line="8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Under our articles of incorporation, the board is divided into three classes with approximately one-third of the directors standing for election each year. The Directors and Corporate Governance Committee has recommended that each of the following four nominees be elected at the Annual Meeting. Each of the director nominees is currently serving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102870</wp:posOffset>
            </wp:positionV>
            <wp:extent cx="4937760"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37760" cy="205740"/>
                    </a:xfrm>
                    <a:prstGeom prst="rect">
                      <a:avLst/>
                    </a:prstGeom>
                    <a:noFill/>
                  </pic:spPr>
                </pic:pic>
              </a:graphicData>
            </a:graphic>
          </wp:anchor>
        </w:drawing>
      </w:r>
    </w:p>
    <w:p>
      <w:pPr>
        <w:spacing w:after="0" w:line="168"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29210</wp:posOffset>
            </wp:positionV>
            <wp:extent cx="4937760" cy="874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3776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740" w:type="dxa"/>
        <w:tblCellMar>
          <w:top w:w="0" w:type="dxa"/>
          <w:left w:w="0" w:type="dxa"/>
          <w:bottom w:w="0" w:type="dxa"/>
          <w:right w:w="0" w:type="dxa"/>
        </w:tblCellMar>
      </w:tblPr>
      <w:tr>
        <w:trPr>
          <w:trHeight w:val="270"/>
        </w:trPr>
        <w:tc>
          <w:tcPr>
            <w:tcW w:w="190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98"/>
              </w:rPr>
              <w:t>Carolyn Bertozzi</w:t>
            </w:r>
          </w:p>
        </w:tc>
        <w:tc>
          <w:tcPr>
            <w:tcW w:w="206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98"/>
              </w:rPr>
              <w:t>William Kaelin, Jr.</w:t>
            </w:r>
          </w:p>
        </w:tc>
        <w:tc>
          <w:tcPr>
            <w:tcW w:w="178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20"/>
                <w:szCs w:val="20"/>
                <w:b w:val="1"/>
                <w:bCs w:val="1"/>
                <w:color w:val="auto"/>
                <w:w w:val="98"/>
              </w:rPr>
              <w:t>Jon Moeller</w:t>
            </w:r>
          </w:p>
        </w:tc>
        <w:tc>
          <w:tcPr>
            <w:tcW w:w="204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9"/>
                <w:szCs w:val="19"/>
                <w:b w:val="1"/>
                <w:bCs w:val="1"/>
                <w:color w:val="auto"/>
              </w:rPr>
              <w:t>David Ricks</w:t>
            </w:r>
          </w:p>
        </w:tc>
        <w:tc>
          <w:tcPr>
            <w:tcW w:w="0" w:type="dxa"/>
            <w:vAlign w:val="bottom"/>
          </w:tcPr>
          <w:p>
            <w:pPr>
              <w:spacing w:after="0"/>
              <w:rPr>
                <w:sz w:val="1"/>
                <w:szCs w:val="1"/>
                <w:color w:val="auto"/>
              </w:rPr>
            </w:pPr>
          </w:p>
        </w:tc>
      </w:tr>
      <w:tr>
        <w:trPr>
          <w:trHeight w:val="189"/>
        </w:trPr>
        <w:tc>
          <w:tcPr>
            <w:tcW w:w="19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Independent Director</w:t>
            </w:r>
          </w:p>
        </w:tc>
        <w:tc>
          <w:tcPr>
            <w:tcW w:w="2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Independent Director</w:t>
            </w:r>
          </w:p>
        </w:tc>
        <w:tc>
          <w:tcPr>
            <w:tcW w:w="17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Independent Director</w:t>
            </w:r>
          </w:p>
        </w:tc>
        <w:tc>
          <w:tcPr>
            <w:tcW w:w="20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President, CEO and Chair</w:t>
            </w:r>
          </w:p>
        </w:tc>
        <w:tc>
          <w:tcPr>
            <w:tcW w:w="0" w:type="dxa"/>
            <w:vAlign w:val="bottom"/>
          </w:tcPr>
          <w:p>
            <w:pPr>
              <w:spacing w:after="0"/>
              <w:rPr>
                <w:sz w:val="1"/>
                <w:szCs w:val="1"/>
                <w:color w:val="auto"/>
              </w:rPr>
            </w:pPr>
          </w:p>
        </w:tc>
      </w:tr>
      <w:tr>
        <w:trPr>
          <w:trHeight w:val="46"/>
        </w:trPr>
        <w:tc>
          <w:tcPr>
            <w:tcW w:w="1900" w:type="dxa"/>
            <w:vAlign w:val="bottom"/>
            <w:shd w:val="clear" w:color="auto" w:fill="F2F2F2"/>
          </w:tcPr>
          <w:p>
            <w:pPr>
              <w:spacing w:after="0"/>
              <w:rPr>
                <w:sz w:val="4"/>
                <w:szCs w:val="4"/>
                <w:color w:val="auto"/>
              </w:rPr>
            </w:pPr>
          </w:p>
        </w:tc>
        <w:tc>
          <w:tcPr>
            <w:tcW w:w="2060" w:type="dxa"/>
            <w:vAlign w:val="bottom"/>
            <w:shd w:val="clear" w:color="auto" w:fill="F2F2F2"/>
          </w:tcPr>
          <w:p>
            <w:pPr>
              <w:spacing w:after="0"/>
              <w:rPr>
                <w:sz w:val="4"/>
                <w:szCs w:val="4"/>
                <w:color w:val="auto"/>
              </w:rPr>
            </w:pPr>
          </w:p>
        </w:tc>
        <w:tc>
          <w:tcPr>
            <w:tcW w:w="1780" w:type="dxa"/>
            <w:vAlign w:val="bottom"/>
            <w:shd w:val="clear" w:color="auto" w:fill="F2F2F2"/>
          </w:tcPr>
          <w:p>
            <w:pPr>
              <w:spacing w:after="0"/>
              <w:rPr>
                <w:sz w:val="4"/>
                <w:szCs w:val="4"/>
                <w:color w:val="auto"/>
              </w:rPr>
            </w:pPr>
          </w:p>
        </w:tc>
        <w:tc>
          <w:tcPr>
            <w:tcW w:w="2040" w:type="dxa"/>
            <w:vAlign w:val="bottom"/>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1900" w:type="dxa"/>
            <w:vAlign w:val="bottom"/>
            <w:tcBorders>
              <w:bottom w:val="single" w:sz="8" w:color="auto"/>
            </w:tcBorders>
            <w:shd w:val="clear" w:color="auto" w:fill="F2F2F2"/>
          </w:tcPr>
          <w:p>
            <w:pPr>
              <w:spacing w:after="0"/>
              <w:rPr>
                <w:sz w:val="6"/>
                <w:szCs w:val="6"/>
                <w:color w:val="auto"/>
              </w:rPr>
            </w:pPr>
          </w:p>
        </w:tc>
        <w:tc>
          <w:tcPr>
            <w:tcW w:w="2060" w:type="dxa"/>
            <w:vAlign w:val="bottom"/>
            <w:tcBorders>
              <w:bottom w:val="single" w:sz="8" w:color="auto"/>
            </w:tcBorders>
            <w:shd w:val="clear" w:color="auto" w:fill="F2F2F2"/>
          </w:tcPr>
          <w:p>
            <w:pPr>
              <w:spacing w:after="0"/>
              <w:rPr>
                <w:sz w:val="6"/>
                <w:szCs w:val="6"/>
                <w:color w:val="auto"/>
              </w:rPr>
            </w:pPr>
          </w:p>
        </w:tc>
        <w:tc>
          <w:tcPr>
            <w:tcW w:w="1780" w:type="dxa"/>
            <w:vAlign w:val="bottom"/>
            <w:tcBorders>
              <w:bottom w:val="single" w:sz="8" w:color="auto"/>
            </w:tcBorders>
            <w:shd w:val="clear" w:color="auto" w:fill="F2F2F2"/>
          </w:tcPr>
          <w:p>
            <w:pPr>
              <w:spacing w:after="0"/>
              <w:rPr>
                <w:sz w:val="6"/>
                <w:szCs w:val="6"/>
                <w:color w:val="auto"/>
              </w:rPr>
            </w:pPr>
          </w:p>
        </w:tc>
        <w:tc>
          <w:tcPr>
            <w:tcW w:w="2040" w:type="dxa"/>
            <w:vAlign w:val="bottom"/>
            <w:tcBorders>
              <w:bottom w:val="single" w:sz="8" w:color="auto"/>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term for directors to be elected this year will expire at the annual meeting of shareholders held in 2029. Each of the director nominees above has agreed to serve for that term. Nominees are elected to serve until his or her successor is duly elected and qualified. If a nominee set forth in this proxy statement is unable to serve or for good cause will not serve, proxy holders may vote for another nominee proposed by the board or, as an alternative, the board may reduce the number of directors to be elected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8975" cy="9944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8975" cy="99441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66" w:lineRule="exact"/>
        <w:rPr>
          <w:sz w:val="20"/>
          <w:szCs w:val="20"/>
          <w:color w:val="auto"/>
        </w:rPr>
      </w:pPr>
    </w:p>
    <w:p>
      <w:pPr>
        <w:ind w:left="200" w:right="2320"/>
        <w:spacing w:after="0" w:line="262"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board’s nominees, </w:t>
      </w:r>
      <w:r>
        <w:rPr>
          <w:rFonts w:ascii="Arial" w:cs="Arial" w:eastAsia="Arial" w:hAnsi="Arial"/>
          <w:sz w:val="18"/>
          <w:szCs w:val="18"/>
          <w:b w:val="1"/>
          <w:bCs w:val="1"/>
          <w:color w:val="auto"/>
        </w:rPr>
        <w:t>Carolyn Bertozzi</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William Kaelin, Jr., Jon Moeller, and David Ricks </w:t>
      </w:r>
      <w:r>
        <w:rPr>
          <w:rFonts w:ascii="Arial" w:cs="Arial" w:eastAsia="Arial" w:hAnsi="Arial"/>
          <w:sz w:val="18"/>
          <w:szCs w:val="18"/>
          <w:color w:val="auto"/>
        </w:rPr>
        <w:t>to serve as directors until our 2029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and until their successors are duly elected and qualified, or until their earlier death, resignation, or removal.</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Biographies:</w:t>
      </w:r>
    </w:p>
    <w:p>
      <w:pPr>
        <w:spacing w:after="0" w:line="1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Set forth below is information, as of March 20, 2026, regarding our directors and director nominees. We have provided the most relevant experiences, qualifications, attributes, and skills that support the conclusion that each director or director nominee should serve as a director in light of our business and operations.</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 pursuant to which he or she was or is to be selected as a director or director nominee.</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3" w:right="41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D52B1E"/>
        </w:rPr>
        <w:t>Class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349250</wp:posOffset>
            </wp:positionV>
            <wp:extent cx="1517015" cy="3308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01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839"/>
        <w:spacing w:after="0"/>
        <w:rPr>
          <w:sz w:val="20"/>
          <w:szCs w:val="20"/>
          <w:color w:val="auto"/>
        </w:rPr>
      </w:pPr>
      <w:r>
        <w:rPr>
          <w:rFonts w:ascii="Arial" w:cs="Arial" w:eastAsia="Arial" w:hAnsi="Arial"/>
          <w:sz w:val="25"/>
          <w:szCs w:val="25"/>
          <w:b w:val="1"/>
          <w:bCs w:val="1"/>
          <w:color w:val="D52B1E"/>
        </w:rPr>
        <w:t>Carolyn R. Bertozzi, Ph.D.</w:t>
      </w:r>
    </w:p>
    <w:p>
      <w:pPr>
        <w:sectPr>
          <w:pgSz w:w="11900" w:h="16838" w:orient="portrait"/>
          <w:cols w:equalWidth="0" w:num="1">
            <w:col w:w="10139"/>
          </w:cols>
          <w:pgMar w:left="320" w:top="1074" w:right="1440" w:bottom="1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360" w:right="620" w:hanging="162"/>
        <w:spacing w:after="0" w:line="298" w:lineRule="auto"/>
        <w:rPr>
          <w:sz w:val="20"/>
          <w:szCs w:val="20"/>
          <w:color w:val="auto"/>
        </w:rPr>
      </w:pPr>
      <w:r>
        <w:rPr>
          <w:rFonts w:ascii="Arial" w:cs="Arial" w:eastAsia="Arial" w:hAnsi="Arial"/>
          <w:sz w:val="17"/>
          <w:szCs w:val="17"/>
          <w:color w:val="auto"/>
        </w:rPr>
        <w:t>– Ethics and Compliance</w:t>
      </w:r>
    </w:p>
    <w:p>
      <w:pPr>
        <w:ind w:left="360" w:right="580" w:hanging="162"/>
        <w:spacing w:after="0" w:line="281" w:lineRule="auto"/>
        <w:rPr>
          <w:sz w:val="20"/>
          <w:szCs w:val="20"/>
          <w:color w:val="auto"/>
        </w:rPr>
      </w:pPr>
      <w:r>
        <w:rPr>
          <w:rFonts w:ascii="Arial" w:cs="Arial" w:eastAsia="Arial" w:hAnsi="Arial"/>
          <w:sz w:val="18"/>
          <w:szCs w:val="18"/>
          <w:color w:val="auto"/>
        </w:rPr>
        <w:t>– Science and Technology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Public Boards: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OmniAb, Inc.</w:t>
      </w:r>
    </w:p>
    <w:p>
      <w:pPr>
        <w:spacing w:after="0" w:line="63" w:lineRule="exact"/>
        <w:rPr>
          <w:sz w:val="20"/>
          <w:szCs w:val="20"/>
          <w:color w:val="auto"/>
        </w:rPr>
      </w:pPr>
    </w:p>
    <w:p>
      <w:pPr>
        <w:ind w:left="20" w:right="24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4063365" cy="2040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63365" cy="2040255"/>
                    </a:xfrm>
                    <a:prstGeom prst="rect">
                      <a:avLst/>
                    </a:prstGeom>
                    <a:noFill/>
                  </pic:spPr>
                </pic:pic>
              </a:graphicData>
            </a:graphic>
          </wp:anchor>
        </w:drawing>
      </w:r>
    </w:p>
    <w:p>
      <w:pPr>
        <w:spacing w:after="0" w:line="23" w:lineRule="exact"/>
        <w:rPr>
          <w:sz w:val="20"/>
          <w:szCs w:val="20"/>
          <w:color w:val="auto"/>
        </w:rPr>
      </w:pPr>
    </w:p>
    <w:p>
      <w:pPr>
        <w:ind w:right="1219"/>
        <w:spacing w:after="0" w:line="265" w:lineRule="auto"/>
        <w:rPr>
          <w:sz w:val="20"/>
          <w:szCs w:val="20"/>
          <w:color w:val="auto"/>
        </w:rPr>
      </w:pPr>
      <w:r>
        <w:rPr>
          <w:rFonts w:ascii="Arial" w:cs="Arial" w:eastAsia="Arial" w:hAnsi="Arial"/>
          <w:sz w:val="16"/>
          <w:szCs w:val="16"/>
          <w:i w:val="1"/>
          <w:iCs w:val="1"/>
          <w:color w:val="auto"/>
        </w:rPr>
        <w:t>Dr. Bertozzi is a world-renowned Nobel Laureate, scientist, academician, and pioneer in chemical biology who provides valuable leadership to the board's oversight of Lilly's discovery and development programs.</w:t>
      </w:r>
    </w:p>
    <w:p>
      <w:pPr>
        <w:spacing w:after="0" w:line="23" w:lineRule="exact"/>
        <w:rPr>
          <w:sz w:val="20"/>
          <w:szCs w:val="20"/>
          <w:color w:val="auto"/>
        </w:rPr>
      </w:pPr>
    </w:p>
    <w:p>
      <w:pPr>
        <w:ind w:left="640" w:right="1439" w:hanging="325"/>
        <w:spacing w:after="0" w:line="275" w:lineRule="auto"/>
        <w:tabs>
          <w:tab w:leader="none" w:pos="6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Dr. Bertozzi has decades of groundbreaking research experience, offering a valuable perspective and resource to the board and management in pharmaceutical research and discovery across multiple therapeutic areas.</w:t>
      </w:r>
    </w:p>
    <w:p>
      <w:pPr>
        <w:spacing w:after="0" w:line="2" w:lineRule="exact"/>
        <w:rPr>
          <w:rFonts w:ascii="Arial" w:cs="Arial" w:eastAsia="Arial" w:hAnsi="Arial"/>
          <w:sz w:val="16"/>
          <w:szCs w:val="16"/>
          <w:color w:val="auto"/>
        </w:rPr>
      </w:pPr>
    </w:p>
    <w:p>
      <w:pPr>
        <w:ind w:left="640" w:right="1479" w:hanging="325"/>
        <w:spacing w:after="0" w:line="265" w:lineRule="auto"/>
        <w:tabs>
          <w:tab w:leader="none" w:pos="6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Through her work founding and advising various biotechnology companies, Dr. Bertozzi has a deep understanding of the challenges, perspectives, and opportunities for translating basic scientific research into therapeutic application.</w:t>
      </w:r>
    </w:p>
    <w:p>
      <w:pPr>
        <w:spacing w:after="0" w:line="24" w:lineRule="exact"/>
        <w:rPr>
          <w:rFonts w:ascii="Arial" w:cs="Arial" w:eastAsia="Arial" w:hAnsi="Arial"/>
          <w:sz w:val="16"/>
          <w:szCs w:val="16"/>
          <w:color w:val="auto"/>
        </w:rPr>
      </w:pPr>
    </w:p>
    <w:p>
      <w:pPr>
        <w:ind w:left="640" w:right="1239" w:hanging="325"/>
        <w:spacing w:after="0" w:line="265" w:lineRule="auto"/>
        <w:tabs>
          <w:tab w:leader="none" w:pos="629" w:val="left"/>
        </w:tabs>
        <w:numPr>
          <w:ilvl w:val="0"/>
          <w:numId w:val="16"/>
        </w:numPr>
        <w:rPr>
          <w:rFonts w:ascii="Arial" w:cs="Arial" w:eastAsia="Arial" w:hAnsi="Arial"/>
          <w:sz w:val="16"/>
          <w:szCs w:val="16"/>
          <w:color w:val="auto"/>
        </w:rPr>
      </w:pPr>
      <w:r>
        <w:rPr>
          <w:rFonts w:ascii="Arial" w:cs="Arial" w:eastAsia="Arial" w:hAnsi="Arial"/>
          <w:sz w:val="16"/>
          <w:szCs w:val="16"/>
          <w:color w:val="auto"/>
        </w:rPr>
        <w:t>Dr. Bertozzi also brings commercialization experience to the board through her work founding biotechnology companies and leadership roles in more than a dozen academic and scientific advisory boards and life sciences companies, bridging academic discovery and pharmaceutical innovation.</w:t>
      </w:r>
    </w:p>
    <w:p>
      <w:pPr>
        <w:spacing w:after="0" w:line="289" w:lineRule="exact"/>
        <w:rPr>
          <w:sz w:val="20"/>
          <w:szCs w:val="20"/>
          <w:color w:val="auto"/>
        </w:rPr>
      </w:pPr>
    </w:p>
    <w:p>
      <w:pPr>
        <w:sectPr>
          <w:pgSz w:w="11900" w:h="16838" w:orient="portrait"/>
          <w:cols w:equalWidth="0" w:num="2">
            <w:col w:w="1920" w:space="720"/>
            <w:col w:w="7499"/>
          </w:cols>
          <w:pgMar w:left="320" w:top="1074" w:right="1440" w:bottom="1159" w:gutter="0" w:footer="0" w:header="0"/>
          <w:type w:val="continuous"/>
        </w:sectPr>
      </w:pPr>
    </w:p>
    <w:p>
      <w:pPr>
        <w:ind w:left="360" w:hanging="162"/>
        <w:spacing w:after="0" w:line="298" w:lineRule="auto"/>
        <w:rPr>
          <w:sz w:val="20"/>
          <w:szCs w:val="20"/>
          <w:color w:val="auto"/>
        </w:rPr>
      </w:pPr>
      <w:r>
        <w:rPr>
          <w:rFonts w:ascii="Arial" w:cs="Arial" w:eastAsia="Arial" w:hAnsi="Arial"/>
          <w:sz w:val="17"/>
          <w:szCs w:val="17"/>
          <w:color w:val="auto"/>
        </w:rPr>
        <w:t>– Alnylam Pharmaceuticals,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985520" cy="8058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5520" cy="805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HIGHLIGHTS</w:t>
      </w:r>
    </w:p>
    <w:p>
      <w:pPr>
        <w:spacing w:after="0" w:line="104" w:lineRule="exact"/>
        <w:rPr>
          <w:sz w:val="20"/>
          <w:szCs w:val="20"/>
          <w:color w:val="auto"/>
        </w:rPr>
      </w:pPr>
    </w:p>
    <w:p>
      <w:pPr>
        <w:ind w:left="640" w:hanging="325"/>
        <w:spacing w:after="0"/>
        <w:tabs>
          <w:tab w:leader="none" w:pos="640" w:val="left"/>
        </w:tabs>
        <w:numPr>
          <w:ilvl w:val="0"/>
          <w:numId w:val="18"/>
        </w:numPr>
        <w:rPr>
          <w:rFonts w:ascii="Cambria" w:cs="Cambria" w:eastAsia="Cambria" w:hAnsi="Cambria"/>
          <w:sz w:val="18"/>
          <w:szCs w:val="18"/>
          <w:b w:val="1"/>
          <w:bCs w:val="1"/>
          <w:color w:val="auto"/>
        </w:rPr>
      </w:pPr>
      <w:r>
        <w:rPr>
          <w:rFonts w:ascii="Arial" w:cs="Arial" w:eastAsia="Arial" w:hAnsi="Arial"/>
          <w:sz w:val="18"/>
          <w:szCs w:val="18"/>
          <w:b w:val="1"/>
          <w:bCs w:val="1"/>
          <w:color w:val="auto"/>
        </w:rPr>
        <w:t>Stanford University</w:t>
      </w:r>
    </w:p>
    <w:p>
      <w:pPr>
        <w:spacing w:after="0" w:line="63" w:lineRule="exact"/>
        <w:rPr>
          <w:rFonts w:ascii="Cambria" w:cs="Cambria" w:eastAsia="Cambria" w:hAnsi="Cambria"/>
          <w:sz w:val="18"/>
          <w:szCs w:val="18"/>
          <w:b w:val="1"/>
          <w:bCs w:val="1"/>
          <w:color w:val="auto"/>
        </w:rPr>
      </w:pPr>
    </w:p>
    <w:p>
      <w:pPr>
        <w:ind w:left="960" w:right="1159" w:hanging="324"/>
        <w:spacing w:after="0" w:line="286" w:lineRule="auto"/>
        <w:rPr>
          <w:rFonts w:ascii="Cambria" w:cs="Cambria" w:eastAsia="Cambria" w:hAnsi="Cambria"/>
          <w:sz w:val="18"/>
          <w:szCs w:val="18"/>
          <w:b w:val="1"/>
          <w:bCs w:val="1"/>
          <w:color w:val="auto"/>
        </w:rPr>
      </w:pPr>
      <w:r>
        <w:rPr>
          <w:rFonts w:ascii="Arial" w:cs="Arial" w:eastAsia="Arial" w:hAnsi="Arial"/>
          <w:sz w:val="16"/>
          <w:szCs w:val="16"/>
          <w:color w:val="auto"/>
        </w:rPr>
        <w:t>– Anne T. and Robert M. Bass Professor of Chemistry, Professor of Chemical and Systems Biology and Radiology by courtesy (2015 - present)</w:t>
      </w:r>
    </w:p>
    <w:p>
      <w:pPr>
        <w:spacing w:after="0" w:line="7" w:lineRule="exact"/>
        <w:rPr>
          <w:rFonts w:ascii="Cambria" w:cs="Cambria" w:eastAsia="Cambria" w:hAnsi="Cambria"/>
          <w:sz w:val="18"/>
          <w:szCs w:val="18"/>
          <w:b w:val="1"/>
          <w:bCs w:val="1"/>
          <w:color w:val="auto"/>
        </w:rPr>
      </w:pPr>
    </w:p>
    <w:p>
      <w:pPr>
        <w:ind w:left="640"/>
        <w:spacing w:after="0"/>
        <w:rPr>
          <w:rFonts w:ascii="Cambria" w:cs="Cambria" w:eastAsia="Cambria" w:hAnsi="Cambria"/>
          <w:sz w:val="18"/>
          <w:szCs w:val="18"/>
          <w:b w:val="1"/>
          <w:bCs w:val="1"/>
          <w:color w:val="auto"/>
        </w:rPr>
      </w:pPr>
      <w:r>
        <w:rPr>
          <w:rFonts w:ascii="Arial" w:cs="Arial" w:eastAsia="Arial" w:hAnsi="Arial"/>
          <w:sz w:val="16"/>
          <w:szCs w:val="16"/>
          <w:color w:val="auto"/>
        </w:rPr>
        <w:t>–   Baker Family Director of Sarafan ChEM-H (2017 - present)</w:t>
      </w:r>
    </w:p>
    <w:p>
      <w:pPr>
        <w:spacing w:after="0" w:line="54" w:lineRule="exact"/>
        <w:rPr>
          <w:rFonts w:ascii="Cambria" w:cs="Cambria" w:eastAsia="Cambria" w:hAnsi="Cambria"/>
          <w:sz w:val="18"/>
          <w:szCs w:val="18"/>
          <w:b w:val="1"/>
          <w:bCs w:val="1"/>
          <w:color w:val="auto"/>
        </w:rPr>
      </w:pPr>
    </w:p>
    <w:p>
      <w:pPr>
        <w:ind w:left="640" w:hanging="325"/>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Howard Hughes Medical Institute</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Investigator (2000 - present)</w:t>
      </w:r>
    </w:p>
    <w:p>
      <w:pPr>
        <w:spacing w:after="0" w:line="200" w:lineRule="exact"/>
        <w:rPr>
          <w:sz w:val="20"/>
          <w:szCs w:val="20"/>
          <w:color w:val="auto"/>
        </w:rPr>
      </w:pPr>
    </w:p>
    <w:p>
      <w:pPr>
        <w:sectPr>
          <w:pgSz w:w="11900" w:h="16838" w:orient="portrait"/>
          <w:cols w:equalWidth="0" w:num="2">
            <w:col w:w="2080" w:space="560"/>
            <w:col w:w="7499"/>
          </w:cols>
          <w:pgMar w:left="320" w:top="1074" w:right="1440" w:bottom="1159" w:gutter="0" w:footer="0" w:header="0"/>
          <w:type w:val="continuous"/>
        </w:sectPr>
      </w:pPr>
    </w:p>
    <w:p>
      <w:pPr>
        <w:spacing w:after="0" w:line="19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OTHER HIGHLIGHTS</w:t>
      </w:r>
    </w:p>
    <w:p>
      <w:pPr>
        <w:spacing w:after="0" w:line="122" w:lineRule="exact"/>
        <w:rPr>
          <w:sz w:val="20"/>
          <w:szCs w:val="20"/>
          <w:color w:val="auto"/>
        </w:rPr>
      </w:pPr>
    </w:p>
    <w:p>
      <w:pPr>
        <w:ind w:left="3260" w:hanging="305"/>
        <w:spacing w:after="0"/>
        <w:tabs>
          <w:tab w:leader="none" w:pos="3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Recipient of numerous prizes and honors, including:</w:t>
      </w:r>
    </w:p>
    <w:p>
      <w:pPr>
        <w:spacing w:after="0" w:line="59"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Nobel Prize in Chemistry</w:t>
      </w:r>
    </w:p>
    <w:p>
      <w:pPr>
        <w:spacing w:after="0" w:line="59"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Lemelson-MIT award for inventors</w:t>
      </w:r>
    </w:p>
    <w:p>
      <w:pPr>
        <w:spacing w:after="0" w:line="72"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Whistler Award</w:t>
      </w:r>
    </w:p>
    <w:p>
      <w:pPr>
        <w:spacing w:after="0" w:line="59"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Ernst Schering Prize</w:t>
      </w:r>
    </w:p>
    <w:p>
      <w:pPr>
        <w:spacing w:after="0" w:line="72"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MacArthur Foundation Fellowship</w:t>
      </w:r>
    </w:p>
    <w:p>
      <w:pPr>
        <w:spacing w:after="0" w:line="59" w:lineRule="exact"/>
        <w:rPr>
          <w:rFonts w:ascii="Arial" w:cs="Arial" w:eastAsia="Arial" w:hAnsi="Arial"/>
          <w:sz w:val="16"/>
          <w:szCs w:val="16"/>
          <w:color w:val="auto"/>
        </w:rPr>
      </w:pPr>
    </w:p>
    <w:p>
      <w:pPr>
        <w:ind w:left="3280" w:right="1339" w:hanging="325"/>
        <w:spacing w:after="0" w:line="275" w:lineRule="auto"/>
        <w:tabs>
          <w:tab w:leader="none" w:pos="3269"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Member, National Academy of Medicine; National Academy of Sciences; American Academy of Arts and Sciences; and German Academy of Sciences Leopoldina</w:t>
      </w:r>
    </w:p>
    <w:p>
      <w:pPr>
        <w:sectPr>
          <w:pgSz w:w="11900" w:h="16838" w:orient="portrait"/>
          <w:cols w:equalWidth="0" w:num="1">
            <w:col w:w="10139"/>
          </w:cols>
          <w:pgMar w:left="320" w:top="1074" w:right="1440" w:bottom="115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4" w:right="1440" w:bottom="1159"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911860</wp:posOffset>
            </wp:positionV>
            <wp:extent cx="1517015" cy="3334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1701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240"/>
        <w:spacing w:after="0"/>
        <w:rPr>
          <w:sz w:val="20"/>
          <w:szCs w:val="20"/>
          <w:color w:val="auto"/>
        </w:rPr>
      </w:pPr>
      <w:r>
        <w:rPr>
          <w:rFonts w:ascii="Arial" w:cs="Arial" w:eastAsia="Arial" w:hAnsi="Arial"/>
          <w:sz w:val="25"/>
          <w:szCs w:val="25"/>
          <w:b w:val="1"/>
          <w:bCs w:val="1"/>
          <w:color w:val="D52B1E"/>
        </w:rPr>
        <w:t>William G. Kaelin, Jr., M.D.</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340" w:right="500" w:hanging="162"/>
        <w:spacing w:after="0" w:line="268" w:lineRule="auto"/>
        <w:rPr>
          <w:sz w:val="20"/>
          <w:szCs w:val="20"/>
          <w:color w:val="auto"/>
        </w:rPr>
      </w:pPr>
      <w:r>
        <w:rPr>
          <w:rFonts w:ascii="Arial" w:cs="Arial" w:eastAsia="Arial" w:hAnsi="Arial"/>
          <w:sz w:val="18"/>
          <w:szCs w:val="18"/>
          <w:color w:val="auto"/>
        </w:rPr>
        <w:t>– Directors and Corporate Governance</w:t>
      </w:r>
    </w:p>
    <w:p>
      <w:pPr>
        <w:spacing w:after="0" w:line="8" w:lineRule="exact"/>
        <w:rPr>
          <w:sz w:val="20"/>
          <w:szCs w:val="20"/>
          <w:color w:val="auto"/>
        </w:rPr>
      </w:pPr>
    </w:p>
    <w:p>
      <w:pPr>
        <w:ind w:left="340" w:right="60" w:hanging="162"/>
        <w:spacing w:after="0" w:line="298" w:lineRule="auto"/>
        <w:rPr>
          <w:sz w:val="20"/>
          <w:szCs w:val="20"/>
          <w:color w:val="auto"/>
        </w:rPr>
      </w:pPr>
      <w:r>
        <w:rPr>
          <w:rFonts w:ascii="Arial" w:cs="Arial" w:eastAsia="Arial" w:hAnsi="Arial"/>
          <w:sz w:val="17"/>
          <w:szCs w:val="17"/>
          <w:color w:val="auto"/>
        </w:rPr>
        <w:t>– Science and Technology (Chair)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IQVIA Holdings Inc.</w:t>
      </w:r>
    </w:p>
    <w:p>
      <w:pPr>
        <w:spacing w:after="0" w:line="63" w:lineRule="exact"/>
        <w:rPr>
          <w:sz w:val="20"/>
          <w:szCs w:val="20"/>
          <w:color w:val="auto"/>
        </w:rPr>
      </w:pPr>
    </w:p>
    <w:p>
      <w:pPr>
        <w:ind w:right="24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wp:posOffset>
            </wp:positionV>
            <wp:extent cx="985520" cy="814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5520" cy="814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4063365" cy="2074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063365" cy="2074545"/>
                    </a:xfrm>
                    <a:prstGeom prst="rect">
                      <a:avLst/>
                    </a:prstGeom>
                    <a:noFill/>
                  </pic:spPr>
                </pic:pic>
              </a:graphicData>
            </a:graphic>
          </wp:anchor>
        </w:drawing>
      </w:r>
    </w:p>
    <w:p>
      <w:pPr>
        <w:spacing w:after="0" w:line="23" w:lineRule="exact"/>
        <w:rPr>
          <w:sz w:val="20"/>
          <w:szCs w:val="20"/>
          <w:color w:val="auto"/>
        </w:rPr>
      </w:pPr>
    </w:p>
    <w:p>
      <w:pPr>
        <w:ind w:right="1399"/>
        <w:spacing w:after="0" w:line="274" w:lineRule="auto"/>
        <w:rPr>
          <w:sz w:val="20"/>
          <w:szCs w:val="20"/>
          <w:color w:val="auto"/>
        </w:rPr>
      </w:pPr>
      <w:r>
        <w:rPr>
          <w:rFonts w:ascii="Arial" w:cs="Arial" w:eastAsia="Arial" w:hAnsi="Arial"/>
          <w:sz w:val="16"/>
          <w:szCs w:val="16"/>
          <w:i w:val="1"/>
          <w:iCs w:val="1"/>
          <w:color w:val="auto"/>
        </w:rPr>
        <w:t>Dr. Kaelin is a world-renowned Nobel Laureate, scientist, academician, and physician who provides valuable leadership to the board’s oversight of Lilly’s discovery and development programs.</w:t>
      </w:r>
    </w:p>
    <w:p>
      <w:pPr>
        <w:spacing w:after="0" w:line="2" w:lineRule="exact"/>
        <w:rPr>
          <w:sz w:val="20"/>
          <w:szCs w:val="20"/>
          <w:color w:val="auto"/>
        </w:rPr>
      </w:pPr>
    </w:p>
    <w:p>
      <w:pPr>
        <w:ind w:left="640" w:right="1639" w:hanging="325"/>
        <w:spacing w:after="0" w:line="265" w:lineRule="auto"/>
        <w:tabs>
          <w:tab w:leader="none" w:pos="6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decades of preeminent medical research and discovery experience, particularly within oncology, Dr. Kaelin offers a valuable perspective and resource to the board and management in pharmaceutical research and discovery in key therapeutic areas.</w:t>
      </w:r>
    </w:p>
    <w:p>
      <w:pPr>
        <w:spacing w:after="0" w:line="24" w:lineRule="exact"/>
        <w:rPr>
          <w:rFonts w:ascii="Arial" w:cs="Arial" w:eastAsia="Arial" w:hAnsi="Arial"/>
          <w:sz w:val="16"/>
          <w:szCs w:val="16"/>
          <w:color w:val="auto"/>
        </w:rPr>
      </w:pPr>
    </w:p>
    <w:p>
      <w:pPr>
        <w:jc w:val="both"/>
        <w:ind w:left="640" w:right="1579" w:hanging="325"/>
        <w:spacing w:after="0" w:line="286" w:lineRule="auto"/>
        <w:tabs>
          <w:tab w:leader="none" w:pos="6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Kaelin has extensive experience as a professor and mentor to medical professionals who are key constituents for Lilly’s business and workforce.</w:t>
      </w:r>
    </w:p>
    <w:p>
      <w:pPr>
        <w:spacing w:after="0" w:line="7" w:lineRule="exact"/>
        <w:rPr>
          <w:rFonts w:ascii="Arial" w:cs="Arial" w:eastAsia="Arial" w:hAnsi="Arial"/>
          <w:sz w:val="16"/>
          <w:szCs w:val="16"/>
          <w:color w:val="auto"/>
        </w:rPr>
      </w:pPr>
    </w:p>
    <w:p>
      <w:pPr>
        <w:jc w:val="both"/>
        <w:ind w:left="640" w:right="1339" w:hanging="325"/>
        <w:spacing w:after="0" w:line="266" w:lineRule="auto"/>
        <w:tabs>
          <w:tab w:leader="none" w:pos="6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an investigator at Howard Hughes Medical Institute, Dr. Kaelin has a deep understanding of the challenges, perspectives, and opportunities for medical researchers.</w:t>
      </w:r>
    </w:p>
    <w:p>
      <w:pPr>
        <w:spacing w:after="0" w:line="22" w:lineRule="exact"/>
        <w:rPr>
          <w:rFonts w:ascii="Arial" w:cs="Arial" w:eastAsia="Arial" w:hAnsi="Arial"/>
          <w:sz w:val="16"/>
          <w:szCs w:val="16"/>
          <w:color w:val="auto"/>
        </w:rPr>
      </w:pPr>
    </w:p>
    <w:p>
      <w:pPr>
        <w:ind w:left="640" w:right="1399" w:hanging="325"/>
        <w:spacing w:after="0" w:line="286" w:lineRule="auto"/>
        <w:tabs>
          <w:tab w:leader="none" w:pos="629" w:val="left"/>
        </w:tabs>
        <w:numPr>
          <w:ilvl w:val="0"/>
          <w:numId w:val="22"/>
        </w:numPr>
        <w:rPr>
          <w:rFonts w:ascii="Arial" w:cs="Arial" w:eastAsia="Arial" w:hAnsi="Arial"/>
          <w:sz w:val="16"/>
          <w:szCs w:val="16"/>
          <w:color w:val="auto"/>
        </w:rPr>
      </w:pPr>
      <w:r>
        <w:rPr>
          <w:rFonts w:ascii="Arial" w:cs="Arial" w:eastAsia="Arial" w:hAnsi="Arial"/>
          <w:sz w:val="16"/>
          <w:szCs w:val="16"/>
          <w:color w:val="auto"/>
        </w:rPr>
        <w:t>Dr. Kaelin also brings commercialization experience to the board through his work with venture capital funds and biotechnology companies.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ind w:left="640" w:hanging="325"/>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Harvard Medical School</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Sidney Farber Professor of Medicine (2018 - present)</w:t>
      </w:r>
    </w:p>
    <w:p>
      <w:pPr>
        <w:spacing w:after="0" w:line="7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Professor of Medicine (2002 - 2018)</w:t>
      </w:r>
    </w:p>
    <w:p>
      <w:pPr>
        <w:spacing w:after="0" w:line="54" w:lineRule="exact"/>
        <w:rPr>
          <w:rFonts w:ascii="Arial" w:cs="Arial" w:eastAsia="Arial" w:hAnsi="Arial"/>
          <w:sz w:val="18"/>
          <w:szCs w:val="18"/>
          <w:b w:val="1"/>
          <w:bCs w:val="1"/>
          <w:color w:val="auto"/>
        </w:rPr>
      </w:pPr>
    </w:p>
    <w:p>
      <w:pPr>
        <w:ind w:left="640" w:hanging="325"/>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Dana-Farber Cancer Institute</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Professor (2002 - present)</w:t>
      </w:r>
    </w:p>
    <w:p>
      <w:pPr>
        <w:spacing w:after="0" w:line="67" w:lineRule="exact"/>
        <w:rPr>
          <w:rFonts w:ascii="Arial" w:cs="Arial" w:eastAsia="Arial" w:hAnsi="Arial"/>
          <w:sz w:val="18"/>
          <w:szCs w:val="18"/>
          <w:b w:val="1"/>
          <w:bCs w:val="1"/>
          <w:color w:val="auto"/>
        </w:rPr>
      </w:pPr>
    </w:p>
    <w:p>
      <w:pPr>
        <w:ind w:left="640" w:hanging="325"/>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Howard Hughes Medical Institute</w:t>
      </w:r>
    </w:p>
    <w:p>
      <w:pPr>
        <w:spacing w:after="0" w:line="6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Investigator (2002 - present)</w:t>
      </w:r>
    </w:p>
    <w:p>
      <w:pPr>
        <w:spacing w:after="0" w:line="5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   Assistant Investigator (1998 - 2002)</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620" w:hanging="305"/>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Recipient of numerous prizes and honors, including:</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Nobel Prize in Physiology or Medicine</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Albert Lasker Basic Medical Research Award</w:t>
      </w:r>
    </w:p>
    <w:p>
      <w:pPr>
        <w:spacing w:after="0" w:line="7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Canada Gairdner International Award</w:t>
      </w:r>
    </w:p>
    <w:p>
      <w:pPr>
        <w:spacing w:after="0" w:line="59"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   Wiley Prize in Biomedical Sciences from the Rockefeller University</w:t>
      </w:r>
    </w:p>
    <w:p>
      <w:pPr>
        <w:spacing w:after="0" w:line="59" w:lineRule="exact"/>
        <w:rPr>
          <w:rFonts w:ascii="Arial" w:cs="Arial" w:eastAsia="Arial" w:hAnsi="Arial"/>
          <w:sz w:val="16"/>
          <w:szCs w:val="16"/>
          <w:color w:val="auto"/>
        </w:rPr>
      </w:pPr>
    </w:p>
    <w:p>
      <w:pPr>
        <w:ind w:left="960" w:right="1279" w:hanging="324"/>
        <w:spacing w:after="0" w:line="290" w:lineRule="auto"/>
        <w:rPr>
          <w:rFonts w:ascii="Arial" w:cs="Arial" w:eastAsia="Arial" w:hAnsi="Arial"/>
          <w:sz w:val="16"/>
          <w:szCs w:val="16"/>
          <w:color w:val="auto"/>
        </w:rPr>
      </w:pPr>
      <w:r>
        <w:rPr>
          <w:rFonts w:ascii="Arial" w:cs="Arial" w:eastAsia="Arial" w:hAnsi="Arial"/>
          <w:sz w:val="16"/>
          <w:szCs w:val="16"/>
          <w:color w:val="auto"/>
        </w:rPr>
        <w:t>– Paul Marks Prize for Cancer Research from the Memorial Sloan Kettering Cancer Center</w:t>
      </w:r>
    </w:p>
    <w:p>
      <w:pPr>
        <w:ind w:left="640" w:right="1159" w:hanging="325"/>
        <w:spacing w:after="0" w:line="265" w:lineRule="auto"/>
        <w:tabs>
          <w:tab w:leader="none" w:pos="6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Member, National Academy of Medicine; National Academy of Sciences; American College of Physicians; Association of American Physicians; American Society of Clinical Investigation; American Academy of Arts and Sciences; American Philosophical Society</w:t>
      </w:r>
    </w:p>
    <w:p>
      <w:pPr>
        <w:spacing w:after="0" w:line="200" w:lineRule="exact"/>
        <w:rPr>
          <w:sz w:val="20"/>
          <w:szCs w:val="20"/>
          <w:color w:val="auto"/>
        </w:rPr>
      </w:pPr>
    </w:p>
    <w:p>
      <w:pPr>
        <w:sectPr>
          <w:pgSz w:w="11900" w:h="16838" w:orient="portrait"/>
          <w:cols w:equalWidth="0" w:num="2">
            <w:col w:w="1900" w:space="720"/>
            <w:col w:w="749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937895</wp:posOffset>
            </wp:positionV>
            <wp:extent cx="1517015" cy="3686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01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Audit</w:t>
      </w:r>
    </w:p>
    <w:p>
      <w:pPr>
        <w:spacing w:after="0" w:line="63" w:lineRule="exact"/>
        <w:rPr>
          <w:sz w:val="20"/>
          <w:szCs w:val="20"/>
          <w:color w:val="auto"/>
        </w:rPr>
      </w:pPr>
    </w:p>
    <w:p>
      <w:pPr>
        <w:ind w:left="340" w:right="400" w:hanging="168"/>
        <w:spacing w:after="0" w:line="268" w:lineRule="auto"/>
        <w:rPr>
          <w:sz w:val="20"/>
          <w:szCs w:val="20"/>
          <w:color w:val="auto"/>
        </w:rPr>
      </w:pPr>
      <w:r>
        <w:rPr>
          <w:rFonts w:ascii="Arial" w:cs="Arial" w:eastAsia="Arial" w:hAnsi="Arial"/>
          <w:sz w:val="18"/>
          <w:szCs w:val="18"/>
          <w:color w:val="auto"/>
        </w:rPr>
        <w:t>– Directors and Corporate Governance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Boards:</w:t>
      </w:r>
    </w:p>
    <w:p>
      <w:pPr>
        <w:spacing w:after="0" w:line="75" w:lineRule="exact"/>
        <w:rPr>
          <w:sz w:val="20"/>
          <w:szCs w:val="20"/>
          <w:color w:val="auto"/>
        </w:rPr>
      </w:pPr>
    </w:p>
    <w:p>
      <w:pPr>
        <w:ind w:left="340" w:right="40" w:hanging="168"/>
        <w:spacing w:after="0" w:line="281" w:lineRule="auto"/>
        <w:rPr>
          <w:sz w:val="20"/>
          <w:szCs w:val="20"/>
          <w:color w:val="auto"/>
        </w:rPr>
      </w:pPr>
      <w:r>
        <w:rPr>
          <w:rFonts w:ascii="Arial" w:cs="Arial" w:eastAsia="Arial" w:hAnsi="Arial"/>
          <w:sz w:val="18"/>
          <w:szCs w:val="18"/>
          <w:color w:val="auto"/>
        </w:rPr>
        <w:t>– Procter &amp; Gamble Company</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1062990" cy="1619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62990" cy="1619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b w:val="1"/>
          <w:bCs w:val="1"/>
          <w:color w:val="D52B1E"/>
        </w:rPr>
        <w:t>Jon Moeller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-127635</wp:posOffset>
            </wp:positionV>
            <wp:extent cx="4063365" cy="2417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63365" cy="2417445"/>
                    </a:xfrm>
                    <a:prstGeom prst="rect">
                      <a:avLst/>
                    </a:prstGeom>
                    <a:noFill/>
                  </pic:spPr>
                </pic:pic>
              </a:graphicData>
            </a:graphic>
          </wp:anchor>
        </w:drawing>
      </w:r>
    </w:p>
    <w:p>
      <w:pPr>
        <w:spacing w:after="0" w:line="23" w:lineRule="exact"/>
        <w:rPr>
          <w:sz w:val="20"/>
          <w:szCs w:val="20"/>
          <w:color w:val="auto"/>
        </w:rPr>
      </w:pPr>
    </w:p>
    <w:p>
      <w:pPr>
        <w:ind w:left="380" w:right="1599"/>
        <w:spacing w:after="0" w:line="280" w:lineRule="auto"/>
        <w:rPr>
          <w:sz w:val="20"/>
          <w:szCs w:val="20"/>
          <w:color w:val="auto"/>
        </w:rPr>
      </w:pPr>
      <w:r>
        <w:rPr>
          <w:rFonts w:ascii="Arial" w:cs="Arial" w:eastAsia="Arial" w:hAnsi="Arial"/>
          <w:sz w:val="16"/>
          <w:szCs w:val="16"/>
          <w:i w:val="1"/>
          <w:iCs w:val="1"/>
          <w:color w:val="auto"/>
        </w:rPr>
        <w:t>Mr. Moeller brings to the board extensive leadership experience, financial acumen, strategic vision, and a commitment to high standards of corporate governance.</w:t>
      </w:r>
    </w:p>
    <w:p>
      <w:pPr>
        <w:spacing w:after="0" w:line="1" w:lineRule="exact"/>
        <w:rPr>
          <w:sz w:val="20"/>
          <w:szCs w:val="20"/>
          <w:color w:val="auto"/>
        </w:rPr>
      </w:pPr>
    </w:p>
    <w:p>
      <w:pPr>
        <w:ind w:left="1020" w:right="1199" w:hanging="326"/>
        <w:spacing w:after="0" w:line="261" w:lineRule="auto"/>
        <w:tabs>
          <w:tab w:leader="none" w:pos="10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Mr. Moeller has served in various senior capacities at Procter &amp; Gamble (P&amp;G) over the past three decades (including chief executive officer), giving him a wealth of experience in navigating complex regulatory environments and fostering a culture of integrity. His tenure at P&amp;G has been characterized by his ability to drive growth and innovation, including a willingness to change, adapt and create new trends and embrace new technologies.</w:t>
      </w:r>
    </w:p>
    <w:p>
      <w:pPr>
        <w:spacing w:after="0" w:line="27" w:lineRule="exact"/>
        <w:rPr>
          <w:rFonts w:ascii="Arial" w:cs="Arial" w:eastAsia="Arial" w:hAnsi="Arial"/>
          <w:sz w:val="16"/>
          <w:szCs w:val="16"/>
          <w:color w:val="auto"/>
        </w:rPr>
      </w:pPr>
    </w:p>
    <w:p>
      <w:pPr>
        <w:ind w:left="1020" w:right="1159" w:hanging="326"/>
        <w:spacing w:after="0" w:line="260" w:lineRule="auto"/>
        <w:tabs>
          <w:tab w:leader="none" w:pos="1009"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Mr. Moeller was P&amp;G’s chief financial officer for more than 12 years, leading its finance and accounting, tax, treasury, corporate strategy, business development and investor relations functions. His financial background has also equipped him with the skills to oversee complex financial operations, manage risks, and ensure fiscal responsibility.</w:t>
      </w:r>
    </w:p>
    <w:p>
      <w:pPr>
        <w:spacing w:after="0" w:line="29" w:lineRule="exact"/>
        <w:rPr>
          <w:rFonts w:ascii="Arial" w:cs="Arial" w:eastAsia="Arial" w:hAnsi="Arial"/>
          <w:sz w:val="16"/>
          <w:szCs w:val="16"/>
          <w:i w:val="1"/>
          <w:iCs w:val="1"/>
          <w:color w:val="auto"/>
        </w:rPr>
      </w:pPr>
    </w:p>
    <w:p>
      <w:pPr>
        <w:ind w:left="1020" w:right="1319" w:hanging="326"/>
        <w:spacing w:after="0" w:line="265" w:lineRule="auto"/>
        <w:tabs>
          <w:tab w:leader="none" w:pos="10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chief operating officer, Mr. Moeller optimized P&amp;G's operations to enhance efficiency and performance. He successfully managed the company's supply chain, manufacturing, and overall operational strategies, ensuring that they aligned with the company's goals and objectives.</w:t>
      </w:r>
    </w:p>
    <w:p>
      <w:pPr>
        <w:spacing w:after="0" w:line="33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ind w:left="1020" w:hanging="325"/>
        <w:spacing w:after="0"/>
        <w:tabs>
          <w:tab w:leader="none" w:pos="10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Procter &amp; Gamble Company, </w:t>
      </w:r>
      <w:r>
        <w:rPr>
          <w:rFonts w:ascii="Arial" w:cs="Arial" w:eastAsia="Arial" w:hAnsi="Arial"/>
          <w:sz w:val="16"/>
          <w:szCs w:val="16"/>
          <w:color w:val="auto"/>
        </w:rPr>
        <w:t>a multinational consumer goods corporation</w:t>
      </w:r>
    </w:p>
    <w:p>
      <w:pPr>
        <w:spacing w:after="0" w:line="67"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6"/>
          <w:szCs w:val="16"/>
          <w:color w:val="auto"/>
        </w:rPr>
        <w:t>–   Executive Chairman (2026 - present)</w:t>
      </w:r>
    </w:p>
    <w:p>
      <w:pPr>
        <w:spacing w:after="0" w:line="59"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6"/>
          <w:szCs w:val="16"/>
          <w:color w:val="auto"/>
        </w:rPr>
        <w:t>–   Chairman, President and Chief Executive Officer (2022 – 2025)</w:t>
      </w:r>
    </w:p>
    <w:p>
      <w:pPr>
        <w:spacing w:after="0" w:line="72"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6"/>
          <w:szCs w:val="16"/>
          <w:color w:val="auto"/>
        </w:rPr>
        <w:t>–   President and Chief Executive Officer (2021 - 2022)</w:t>
      </w:r>
    </w:p>
    <w:p>
      <w:pPr>
        <w:spacing w:after="0" w:line="59" w:lineRule="exact"/>
        <w:rPr>
          <w:rFonts w:ascii="Arial" w:cs="Arial" w:eastAsia="Arial" w:hAnsi="Arial"/>
          <w:sz w:val="18"/>
          <w:szCs w:val="18"/>
          <w:b w:val="1"/>
          <w:bCs w:val="1"/>
          <w:color w:val="auto"/>
        </w:rPr>
      </w:pPr>
    </w:p>
    <w:p>
      <w:pPr>
        <w:ind w:left="1340" w:right="1199" w:hanging="324"/>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Vice Chairman, Chief Financial Officer, and Chief Operating Officer (2019 - 2021)</w:t>
      </w:r>
    </w:p>
    <w:p>
      <w:pPr>
        <w:ind w:left="1020"/>
        <w:spacing w:after="0"/>
        <w:rPr>
          <w:rFonts w:ascii="Arial" w:cs="Arial" w:eastAsia="Arial" w:hAnsi="Arial"/>
          <w:sz w:val="18"/>
          <w:szCs w:val="18"/>
          <w:b w:val="1"/>
          <w:bCs w:val="1"/>
          <w:color w:val="auto"/>
        </w:rPr>
      </w:pPr>
      <w:r>
        <w:rPr>
          <w:rFonts w:ascii="Arial" w:cs="Arial" w:eastAsia="Arial" w:hAnsi="Arial"/>
          <w:sz w:val="16"/>
          <w:szCs w:val="16"/>
          <w:color w:val="auto"/>
        </w:rPr>
        <w:t>–   Vice Chairman, Chief Financial Officer (2017 - 2019)</w:t>
      </w:r>
    </w:p>
    <w:p>
      <w:pPr>
        <w:spacing w:after="0" w:line="59"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6"/>
          <w:szCs w:val="16"/>
          <w:color w:val="auto"/>
        </w:rPr>
        <w:t>–   Chief Financial Officer (2009 - 2017)</w:t>
      </w:r>
    </w:p>
    <w:p>
      <w:pPr>
        <w:spacing w:after="0" w:line="3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1000" w:hanging="305"/>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Member, The Business Roundtable</w:t>
      </w:r>
    </w:p>
    <w:p>
      <w:pPr>
        <w:spacing w:after="0" w:line="59" w:lineRule="exact"/>
        <w:rPr>
          <w:rFonts w:ascii="Arial" w:cs="Arial" w:eastAsia="Arial" w:hAnsi="Arial"/>
          <w:sz w:val="16"/>
          <w:szCs w:val="16"/>
          <w:color w:val="auto"/>
        </w:rPr>
      </w:pPr>
    </w:p>
    <w:p>
      <w:pPr>
        <w:ind w:left="1000" w:hanging="305"/>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Member, American Society of Corporate Executives</w:t>
      </w:r>
    </w:p>
    <w:p>
      <w:pPr>
        <w:spacing w:after="0" w:line="72" w:lineRule="exact"/>
        <w:rPr>
          <w:rFonts w:ascii="Arial" w:cs="Arial" w:eastAsia="Arial" w:hAnsi="Arial"/>
          <w:sz w:val="16"/>
          <w:szCs w:val="16"/>
          <w:color w:val="auto"/>
        </w:rPr>
      </w:pPr>
    </w:p>
    <w:p>
      <w:pPr>
        <w:ind w:left="1000" w:hanging="305"/>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Director, US China Business Counsel</w:t>
      </w:r>
    </w:p>
    <w:p>
      <w:pPr>
        <w:spacing w:after="0" w:line="59" w:lineRule="exact"/>
        <w:rPr>
          <w:rFonts w:ascii="Arial" w:cs="Arial" w:eastAsia="Arial" w:hAnsi="Arial"/>
          <w:sz w:val="16"/>
          <w:szCs w:val="16"/>
          <w:color w:val="auto"/>
        </w:rPr>
      </w:pPr>
    </w:p>
    <w:p>
      <w:pPr>
        <w:ind w:left="1000" w:hanging="305"/>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Director (Vice-Chair), Alliance to End Plastic Waste</w:t>
      </w:r>
    </w:p>
    <w:p>
      <w:pPr>
        <w:spacing w:after="0" w:line="200" w:lineRule="exact"/>
        <w:rPr>
          <w:sz w:val="20"/>
          <w:szCs w:val="20"/>
          <w:color w:val="auto"/>
        </w:rPr>
      </w:pPr>
    </w:p>
    <w:p>
      <w:pPr>
        <w:sectPr>
          <w:pgSz w:w="11900" w:h="16838" w:orient="portrait"/>
          <w:cols w:equalWidth="0" w:num="2">
            <w:col w:w="1800" w:space="440"/>
            <w:col w:w="78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1543050" cy="4097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0"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Boards: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Adobe Inc.</w:t>
      </w:r>
    </w:p>
    <w:p>
      <w:pPr>
        <w:spacing w:after="0" w:line="63"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875030</wp:posOffset>
            </wp:positionV>
            <wp:extent cx="1062990" cy="25374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2990" cy="2537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D52B1E"/>
        </w:rPr>
        <w:t>David A. Ricks</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Chair, President, and CEO</w:t>
      </w:r>
    </w:p>
    <w:p>
      <w:pPr>
        <w:spacing w:after="0" w:line="3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-127635</wp:posOffset>
            </wp:positionV>
            <wp:extent cx="4063365" cy="2674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63365" cy="2674620"/>
                    </a:xfrm>
                    <a:prstGeom prst="rect">
                      <a:avLst/>
                    </a:prstGeom>
                    <a:noFill/>
                  </pic:spPr>
                </pic:pic>
              </a:graphicData>
            </a:graphic>
          </wp:anchor>
        </w:drawing>
      </w:r>
    </w:p>
    <w:p>
      <w:pPr>
        <w:spacing w:after="0" w:line="23" w:lineRule="exact"/>
        <w:rPr>
          <w:sz w:val="20"/>
          <w:szCs w:val="20"/>
          <w:color w:val="auto"/>
        </w:rPr>
      </w:pPr>
    </w:p>
    <w:p>
      <w:pPr>
        <w:ind w:left="380" w:right="1159"/>
        <w:spacing w:after="0" w:line="261" w:lineRule="auto"/>
        <w:rPr>
          <w:sz w:val="20"/>
          <w:szCs w:val="20"/>
          <w:color w:val="auto"/>
        </w:rPr>
      </w:pPr>
      <w:r>
        <w:rPr>
          <w:rFonts w:ascii="Arial" w:cs="Arial" w:eastAsia="Arial" w:hAnsi="Arial"/>
          <w:sz w:val="16"/>
          <w:szCs w:val="16"/>
          <w:i w:val="1"/>
          <w:iCs w:val="1"/>
          <w:color w:val="auto"/>
        </w:rPr>
        <w:t>Mr. Ricks has over 25 years of experience at Lilly, leading and shaping large-scale operations across the world. He has overseen some of the most transformative growth in the company’s history; since assuming the role as Chief Executive Officer, Lilly has (i) experienced revenue growth of approximately 207%, (ii) experienced a five-year total shareholder return of 571%, and (iii) taken important steps to increase the affordability and accessibility of our products around the globe.</w:t>
      </w:r>
    </w:p>
    <w:p>
      <w:pPr>
        <w:spacing w:after="0" w:line="12" w:lineRule="exact"/>
        <w:rPr>
          <w:sz w:val="20"/>
          <w:szCs w:val="20"/>
          <w:color w:val="auto"/>
        </w:rPr>
      </w:pPr>
    </w:p>
    <w:p>
      <w:pPr>
        <w:ind w:left="1020" w:right="1319" w:hanging="325"/>
        <w:spacing w:after="0" w:line="275" w:lineRule="auto"/>
        <w:tabs>
          <w:tab w:leader="none" w:pos="10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Ricks embodies the “tone at the top” that strengthens Lilly’s culture, including through his commitment to compliance, talent development, and the expansion of our workforce.</w:t>
      </w:r>
    </w:p>
    <w:p>
      <w:pPr>
        <w:spacing w:after="0" w:line="15" w:lineRule="exact"/>
        <w:rPr>
          <w:rFonts w:ascii="Arial" w:cs="Arial" w:eastAsia="Arial" w:hAnsi="Arial"/>
          <w:sz w:val="16"/>
          <w:szCs w:val="16"/>
          <w:color w:val="auto"/>
        </w:rPr>
      </w:pPr>
    </w:p>
    <w:p>
      <w:pPr>
        <w:ind w:left="1020" w:right="1239" w:hanging="325"/>
        <w:spacing w:after="0" w:line="265" w:lineRule="auto"/>
        <w:tabs>
          <w:tab w:leader="none" w:pos="10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Ricks has combined his company-specific and industry knowledge to grow, articulate and implement Lilly’s strategic plan, as reflected by the growth in revenue, robust pipeline, and progressive approach on leveraging technology into the business.</w:t>
      </w:r>
    </w:p>
    <w:p>
      <w:pPr>
        <w:spacing w:after="0" w:line="10" w:lineRule="exact"/>
        <w:rPr>
          <w:rFonts w:ascii="Arial" w:cs="Arial" w:eastAsia="Arial" w:hAnsi="Arial"/>
          <w:sz w:val="16"/>
          <w:szCs w:val="16"/>
          <w:color w:val="auto"/>
        </w:rPr>
      </w:pPr>
    </w:p>
    <w:p>
      <w:pPr>
        <w:ind w:left="1020" w:right="1179" w:hanging="325"/>
        <w:spacing w:after="0" w:line="275" w:lineRule="auto"/>
        <w:tabs>
          <w:tab w:leader="none" w:pos="10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Ricks is able to draw on his extensive interactions with various stakeholders to apprise the board of significant developments in our business and industry, as well as to communicate feedback to the board and offer insights.</w:t>
      </w:r>
    </w:p>
    <w:p>
      <w:pPr>
        <w:spacing w:after="0" w:line="2" w:lineRule="exact"/>
        <w:rPr>
          <w:rFonts w:ascii="Arial" w:cs="Arial" w:eastAsia="Arial" w:hAnsi="Arial"/>
          <w:sz w:val="16"/>
          <w:szCs w:val="16"/>
          <w:color w:val="auto"/>
        </w:rPr>
      </w:pPr>
    </w:p>
    <w:p>
      <w:pPr>
        <w:ind w:left="1020" w:right="1179" w:hanging="325"/>
        <w:spacing w:after="0" w:line="275" w:lineRule="auto"/>
        <w:tabs>
          <w:tab w:leader="none" w:pos="10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Ricks’ leadership approach is derived from his experience in marketing, sales, drug development, and international operations, as well as his significant experience in public policy.</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ind w:left="1020" w:hanging="325"/>
        <w:spacing w:after="0"/>
        <w:tabs>
          <w:tab w:leader="none" w:pos="1020" w:val="left"/>
        </w:tabs>
        <w:numPr>
          <w:ilvl w:val="0"/>
          <w:numId w:val="33"/>
        </w:numPr>
        <w:rPr>
          <w:rFonts w:ascii="Cambria" w:cs="Cambria" w:eastAsia="Cambria" w:hAnsi="Cambria"/>
          <w:sz w:val="16"/>
          <w:szCs w:val="16"/>
          <w:b w:val="1"/>
          <w:bCs w:val="1"/>
          <w:color w:val="auto"/>
        </w:rPr>
      </w:pPr>
      <w:r>
        <w:rPr>
          <w:rFonts w:ascii="Arial" w:cs="Arial" w:eastAsia="Arial" w:hAnsi="Arial"/>
          <w:sz w:val="18"/>
          <w:szCs w:val="18"/>
          <w:b w:val="1"/>
          <w:bCs w:val="1"/>
          <w:color w:val="auto"/>
        </w:rPr>
        <w:t>Eli Lilly and Company</w:t>
      </w:r>
    </w:p>
    <w:p>
      <w:pPr>
        <w:spacing w:after="0" w:line="67"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Chair, President, and Chief Executive Officer (2017 - present)</w:t>
      </w:r>
    </w:p>
    <w:p>
      <w:pPr>
        <w:spacing w:after="0" w:line="72"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Vice President and President, Lilly Bio-Medicines (2012 - 2016)</w:t>
      </w:r>
    </w:p>
    <w:p>
      <w:pPr>
        <w:spacing w:after="0" w:line="59"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Lilly USA (2009 - 2012)</w:t>
      </w:r>
    </w:p>
    <w:p>
      <w:pPr>
        <w:spacing w:after="0" w:line="72"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Served in various marketing, sales and international leadership roles (1996</w:t>
      </w:r>
    </w:p>
    <w:p>
      <w:pPr>
        <w:spacing w:after="0" w:line="21" w:lineRule="exact"/>
        <w:rPr>
          <w:rFonts w:ascii="Cambria" w:cs="Cambria" w:eastAsia="Cambria" w:hAnsi="Cambria"/>
          <w:sz w:val="16"/>
          <w:szCs w:val="16"/>
          <w:b w:val="1"/>
          <w:bCs w:val="1"/>
          <w:color w:val="auto"/>
        </w:rPr>
      </w:pPr>
    </w:p>
    <w:p>
      <w:pPr>
        <w:ind w:left="1440" w:hanging="97"/>
        <w:spacing w:after="0"/>
        <w:tabs>
          <w:tab w:leader="none" w:pos="1440" w:val="left"/>
        </w:tabs>
        <w:numPr>
          <w:ilvl w:val="2"/>
          <w:numId w:val="33"/>
        </w:numPr>
        <w:rPr>
          <w:rFonts w:ascii="Arial" w:cs="Arial" w:eastAsia="Arial" w:hAnsi="Arial"/>
          <w:sz w:val="16"/>
          <w:szCs w:val="16"/>
          <w:color w:val="auto"/>
        </w:rPr>
      </w:pPr>
      <w:r>
        <w:rPr>
          <w:rFonts w:ascii="Arial" w:cs="Arial" w:eastAsia="Arial" w:hAnsi="Arial"/>
          <w:sz w:val="16"/>
          <w:szCs w:val="16"/>
          <w:color w:val="auto"/>
        </w:rPr>
        <w:t>2009), including:</w:t>
      </w:r>
    </w:p>
    <w:p>
      <w:pPr>
        <w:spacing w:after="0" w:line="66" w:lineRule="exact"/>
        <w:rPr>
          <w:rFonts w:ascii="Arial" w:cs="Arial" w:eastAsia="Arial" w:hAnsi="Arial"/>
          <w:sz w:val="16"/>
          <w:szCs w:val="16"/>
          <w:color w:val="auto"/>
        </w:rPr>
      </w:pPr>
    </w:p>
    <w:p>
      <w:pPr>
        <w:ind w:left="1860" w:hanging="193"/>
        <w:spacing w:after="0"/>
        <w:tabs>
          <w:tab w:leader="none" w:pos="1860" w:val="left"/>
        </w:tabs>
        <w:numPr>
          <w:ilvl w:val="3"/>
          <w:numId w:val="33"/>
        </w:numPr>
        <w:rPr>
          <w:rFonts w:ascii="Arial" w:cs="Arial" w:eastAsia="Arial" w:hAnsi="Arial"/>
          <w:sz w:val="19"/>
          <w:szCs w:val="19"/>
          <w:color w:val="auto"/>
        </w:rPr>
      </w:pPr>
      <w:r>
        <w:rPr>
          <w:rFonts w:ascii="Arial" w:cs="Arial" w:eastAsia="Arial" w:hAnsi="Arial"/>
          <w:sz w:val="16"/>
          <w:szCs w:val="16"/>
          <w:color w:val="auto"/>
        </w:rPr>
        <w:t>As President and General Manager of Lilly China</w:t>
      </w:r>
    </w:p>
    <w:p>
      <w:pPr>
        <w:spacing w:after="0" w:line="65" w:lineRule="exact"/>
        <w:rPr>
          <w:rFonts w:ascii="Arial" w:cs="Arial" w:eastAsia="Arial" w:hAnsi="Arial"/>
          <w:sz w:val="19"/>
          <w:szCs w:val="19"/>
          <w:color w:val="auto"/>
        </w:rPr>
      </w:pPr>
    </w:p>
    <w:p>
      <w:pPr>
        <w:ind w:left="1860" w:hanging="193"/>
        <w:spacing w:after="0"/>
        <w:tabs>
          <w:tab w:leader="none" w:pos="1860" w:val="left"/>
        </w:tabs>
        <w:numPr>
          <w:ilvl w:val="3"/>
          <w:numId w:val="33"/>
        </w:numPr>
        <w:rPr>
          <w:rFonts w:ascii="Arial" w:cs="Arial" w:eastAsia="Arial" w:hAnsi="Arial"/>
          <w:sz w:val="19"/>
          <w:szCs w:val="19"/>
          <w:color w:val="auto"/>
        </w:rPr>
      </w:pPr>
      <w:r>
        <w:rPr>
          <w:rFonts w:ascii="Arial" w:cs="Arial" w:eastAsia="Arial" w:hAnsi="Arial"/>
          <w:sz w:val="16"/>
          <w:szCs w:val="16"/>
          <w:color w:val="auto"/>
        </w:rPr>
        <w:t>As General Manager of Lilly Canada</w:t>
      </w:r>
    </w:p>
    <w:p>
      <w:pPr>
        <w:spacing w:after="0" w:line="34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1020" w:right="1939" w:hanging="325"/>
        <w:spacing w:after="0" w:line="290" w:lineRule="auto"/>
        <w:tabs>
          <w:tab w:leader="none" w:pos="1009"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Director, International Federation of Pharmaceutical Manufacturers &amp; Associations (IFPMA)</w:t>
      </w:r>
    </w:p>
    <w:p>
      <w:pPr>
        <w:ind w:left="1000" w:hanging="305"/>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Director, Pharmaceutical Research and Manufacturers of America (PhRMA)</w:t>
      </w:r>
    </w:p>
    <w:p>
      <w:pPr>
        <w:spacing w:after="0" w:line="72" w:lineRule="exact"/>
        <w:rPr>
          <w:rFonts w:ascii="Arial" w:cs="Arial" w:eastAsia="Arial" w:hAnsi="Arial"/>
          <w:sz w:val="16"/>
          <w:szCs w:val="16"/>
          <w:color w:val="auto"/>
        </w:rPr>
      </w:pPr>
    </w:p>
    <w:p>
      <w:pPr>
        <w:ind w:left="1000" w:hanging="305"/>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Member, U.S. Patent and Trademark Office Council for Inclusive Innovation</w:t>
      </w:r>
    </w:p>
    <w:p>
      <w:pPr>
        <w:spacing w:after="0" w:line="59" w:lineRule="exact"/>
        <w:rPr>
          <w:rFonts w:ascii="Arial" w:cs="Arial" w:eastAsia="Arial" w:hAnsi="Arial"/>
          <w:sz w:val="16"/>
          <w:szCs w:val="16"/>
          <w:color w:val="auto"/>
        </w:rPr>
      </w:pPr>
    </w:p>
    <w:p>
      <w:pPr>
        <w:ind w:left="1020" w:right="1879" w:hanging="325"/>
        <w:spacing w:after="0" w:line="286" w:lineRule="auto"/>
        <w:tabs>
          <w:tab w:leader="none" w:pos="1009"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Director and executive committee member, Central Indiana Corporate Partnership</w:t>
      </w:r>
    </w:p>
    <w:p>
      <w:pPr>
        <w:spacing w:after="0" w:line="7" w:lineRule="exact"/>
        <w:rPr>
          <w:rFonts w:ascii="Arial" w:cs="Arial" w:eastAsia="Arial" w:hAnsi="Arial"/>
          <w:sz w:val="16"/>
          <w:szCs w:val="16"/>
          <w:color w:val="auto"/>
        </w:rPr>
      </w:pPr>
    </w:p>
    <w:p>
      <w:pPr>
        <w:ind w:left="1000" w:hanging="305"/>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Director, The Business Roundtable</w:t>
      </w:r>
    </w:p>
    <w:p>
      <w:pPr>
        <w:spacing w:after="0" w:line="59" w:lineRule="exact"/>
        <w:rPr>
          <w:rFonts w:ascii="Arial" w:cs="Arial" w:eastAsia="Arial" w:hAnsi="Arial"/>
          <w:sz w:val="16"/>
          <w:szCs w:val="16"/>
          <w:color w:val="auto"/>
        </w:rPr>
      </w:pPr>
    </w:p>
    <w:p>
      <w:pPr>
        <w:ind w:left="1000" w:hanging="305"/>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Trustee, Purdue University Board of Trustees</w:t>
      </w:r>
    </w:p>
    <w:p>
      <w:pPr>
        <w:spacing w:after="0" w:line="200" w:lineRule="exact"/>
        <w:rPr>
          <w:sz w:val="20"/>
          <w:szCs w:val="20"/>
          <w:color w:val="auto"/>
        </w:rPr>
      </w:pPr>
    </w:p>
    <w:p>
      <w:pPr>
        <w:sectPr>
          <w:pgSz w:w="11900" w:h="16838" w:orient="portrait"/>
          <w:cols w:equalWidth="0" w:num="2">
            <w:col w:w="1800" w:space="440"/>
            <w:col w:w="78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color w:val="D52B1E"/>
        </w:rPr>
        <w:t>Class of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212090</wp:posOffset>
            </wp:positionV>
            <wp:extent cx="1543050" cy="4192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0" cy="419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5019"/>
        <w:spacing w:after="0"/>
        <w:rPr>
          <w:sz w:val="20"/>
          <w:szCs w:val="20"/>
          <w:color w:val="auto"/>
        </w:rPr>
      </w:pPr>
      <w:r>
        <w:rPr>
          <w:rFonts w:ascii="Arial" w:cs="Arial" w:eastAsia="Arial" w:hAnsi="Arial"/>
          <w:sz w:val="25"/>
          <w:szCs w:val="25"/>
          <w:b w:val="1"/>
          <w:bCs w:val="1"/>
          <w:color w:val="D52B1E"/>
        </w:rPr>
        <w:t>Katherine Baicker, Ph.D.</w:t>
      </w:r>
    </w:p>
    <w:p>
      <w:pPr>
        <w:sectPr>
          <w:pgSz w:w="11900" w:h="16838" w:orient="portrait"/>
          <w:cols w:equalWidth="0" w:num="1">
            <w:col w:w="10139"/>
          </w:cols>
          <w:pgMar w:left="320" w:top="1074" w:right="1440" w:bottom="9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360" w:right="80" w:hanging="162"/>
        <w:spacing w:after="0" w:line="298" w:lineRule="auto"/>
        <w:rPr>
          <w:sz w:val="20"/>
          <w:szCs w:val="20"/>
          <w:color w:val="auto"/>
        </w:rPr>
      </w:pPr>
      <w:r>
        <w:rPr>
          <w:rFonts w:ascii="Arial" w:cs="Arial" w:eastAsia="Arial" w:hAnsi="Arial"/>
          <w:sz w:val="17"/>
          <w:szCs w:val="17"/>
          <w:color w:val="auto"/>
        </w:rPr>
        <w:t>– Ethics and Compliance (Chair)</w:t>
      </w:r>
    </w:p>
    <w:p>
      <w:pPr>
        <w:ind w:left="360" w:right="640" w:hanging="162"/>
        <w:spacing w:after="0" w:line="281" w:lineRule="auto"/>
        <w:rPr>
          <w:sz w:val="20"/>
          <w:szCs w:val="20"/>
          <w:color w:val="auto"/>
        </w:rPr>
      </w:pPr>
      <w:r>
        <w:rPr>
          <w:rFonts w:ascii="Arial" w:cs="Arial" w:eastAsia="Arial" w:hAnsi="Arial"/>
          <w:sz w:val="18"/>
          <w:szCs w:val="18"/>
          <w:color w:val="auto"/>
        </w:rPr>
        <w:t>– Science and Technology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Public Boards: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ind w:left="20" w:right="30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HMS Holdings Corp.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4063365" cy="2691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63365" cy="2691765"/>
                    </a:xfrm>
                    <a:prstGeom prst="rect">
                      <a:avLst/>
                    </a:prstGeom>
                    <a:noFill/>
                  </pic:spPr>
                </pic:pic>
              </a:graphicData>
            </a:graphic>
          </wp:anchor>
        </w:drawing>
      </w:r>
    </w:p>
    <w:p>
      <w:pPr>
        <w:spacing w:after="0" w:line="23" w:lineRule="exact"/>
        <w:rPr>
          <w:sz w:val="20"/>
          <w:szCs w:val="20"/>
          <w:color w:val="auto"/>
        </w:rPr>
      </w:pPr>
    </w:p>
    <w:p>
      <w:pPr>
        <w:jc w:val="both"/>
        <w:ind w:right="1219"/>
        <w:spacing w:after="0" w:line="265" w:lineRule="auto"/>
        <w:rPr>
          <w:sz w:val="20"/>
          <w:szCs w:val="20"/>
          <w:color w:val="auto"/>
        </w:rPr>
      </w:pPr>
      <w:r>
        <w:rPr>
          <w:rFonts w:ascii="Arial" w:cs="Arial" w:eastAsia="Arial" w:hAnsi="Arial"/>
          <w:sz w:val="16"/>
          <w:szCs w:val="16"/>
          <w:i w:val="1"/>
          <w:iCs w:val="1"/>
          <w:color w:val="auto"/>
        </w:rPr>
        <w:t>Dr. Baicker’s experience in health economics research and policy at the highest levels, including as a former economic advisor to the White House and a current health advisor to the Congressional Budget Office, provides an invaluable perspective to the board.</w:t>
      </w:r>
    </w:p>
    <w:p>
      <w:pPr>
        <w:spacing w:after="0" w:line="23" w:lineRule="exact"/>
        <w:rPr>
          <w:sz w:val="20"/>
          <w:szCs w:val="20"/>
          <w:color w:val="auto"/>
        </w:rPr>
      </w:pPr>
    </w:p>
    <w:p>
      <w:pPr>
        <w:ind w:left="640" w:right="1259" w:hanging="325"/>
        <w:spacing w:after="0" w:line="275" w:lineRule="auto"/>
        <w:tabs>
          <w:tab w:leader="none" w:pos="6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addition to Dr. Baicker’s own high-impact research, her leadership of a preeminent research and educational institution gives her both insight into and influence over the future of health policy.</w:t>
      </w:r>
    </w:p>
    <w:p>
      <w:pPr>
        <w:spacing w:after="0" w:line="2" w:lineRule="exact"/>
        <w:rPr>
          <w:rFonts w:ascii="Arial" w:cs="Arial" w:eastAsia="Arial" w:hAnsi="Arial"/>
          <w:sz w:val="16"/>
          <w:szCs w:val="16"/>
          <w:color w:val="auto"/>
        </w:rPr>
      </w:pPr>
    </w:p>
    <w:p>
      <w:pPr>
        <w:ind w:left="640" w:right="1199" w:hanging="325"/>
        <w:spacing w:after="0" w:line="261" w:lineRule="auto"/>
        <w:tabs>
          <w:tab w:leader="none" w:pos="6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Through Dr. Baicker’s decades of research and policy engagement, including with respect to the effects of health system reforms of public and private insurance coverage and payment policy, she brings to the board insight and context as it oversees the company’s navigation of the complex environment of government regulation, insurance reimbursement, and access to affordable care.</w:t>
      </w:r>
    </w:p>
    <w:p>
      <w:pPr>
        <w:spacing w:after="0" w:line="14" w:lineRule="exact"/>
        <w:rPr>
          <w:rFonts w:ascii="Arial" w:cs="Arial" w:eastAsia="Arial" w:hAnsi="Arial"/>
          <w:sz w:val="16"/>
          <w:szCs w:val="16"/>
          <w:color w:val="auto"/>
        </w:rPr>
      </w:pPr>
    </w:p>
    <w:p>
      <w:pPr>
        <w:ind w:left="640" w:right="1179" w:hanging="325"/>
        <w:spacing w:after="0" w:line="271" w:lineRule="auto"/>
        <w:tabs>
          <w:tab w:leader="none" w:pos="6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Drawing on Dr. Baicker’s experience as an advisor to both the executive and legislative branches of the U.S. government, state governments, and numerous healthcare-related commissions and committees provides a keen understanding of government perspectives in our highly regulated industry.</w:t>
      </w:r>
    </w:p>
    <w:p>
      <w:pPr>
        <w:spacing w:after="0" w:line="5" w:lineRule="exact"/>
        <w:rPr>
          <w:rFonts w:ascii="Arial" w:cs="Arial" w:eastAsia="Arial" w:hAnsi="Arial"/>
          <w:sz w:val="16"/>
          <w:szCs w:val="16"/>
          <w:color w:val="auto"/>
        </w:rPr>
      </w:pPr>
    </w:p>
    <w:p>
      <w:pPr>
        <w:ind w:left="640" w:right="1279" w:hanging="325"/>
        <w:spacing w:after="0" w:line="275" w:lineRule="auto"/>
        <w:tabs>
          <w:tab w:leader="none" w:pos="6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Dr. Baicker, with extensive involvement with medical and health system research organizations, adds valuable input on the research and development landscape within the pharmaceutical industry.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sectPr>
          <w:pgSz w:w="11900" w:h="16838" w:orient="portrait"/>
          <w:cols w:equalWidth="0" w:num="2">
            <w:col w:w="1980" w:space="660"/>
            <w:col w:w="7499"/>
          </w:cols>
          <w:pgMar w:left="320" w:top="1074" w:right="1440" w:bottom="999" w:gutter="0" w:footer="0" w:header="0"/>
          <w:type w:val="continuous"/>
        </w:sectPr>
      </w:pPr>
    </w:p>
    <w:p>
      <w:pPr>
        <w:ind w:left="3260" w:hanging="305"/>
        <w:spacing w:after="0"/>
        <w:tabs>
          <w:tab w:leader="none" w:pos="3260" w:val="left"/>
        </w:tabs>
        <w:numPr>
          <w:ilvl w:val="0"/>
          <w:numId w:val="38"/>
        </w:numPr>
        <w:rPr>
          <w:rFonts w:ascii="Arial" w:cs="Arial" w:eastAsia="Arial" w:hAnsi="Arial"/>
          <w:sz w:val="16"/>
          <w:szCs w:val="16"/>
          <w:color w:val="auto"/>
        </w:rPr>
      </w:pPr>
      <w:r>
        <w:rPr>
          <w:rFonts w:ascii="Arial" w:cs="Arial" w:eastAsia="Arial" w:hAnsi="Arial"/>
          <w:sz w:val="18"/>
          <w:szCs w:val="18"/>
          <w:b w:val="1"/>
          <w:bCs w:val="1"/>
          <w:color w:val="auto"/>
        </w:rPr>
        <w:t>University of Chicago</w:t>
      </w:r>
    </w:p>
    <w:p>
      <w:pPr>
        <w:spacing w:after="0" w:line="67"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Provost (2023 - present)</w:t>
      </w:r>
    </w:p>
    <w:p>
      <w:pPr>
        <w:spacing w:after="0" w:line="59"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Emmett Dedmon Professor, Harris School of Public Policy (2017 - present)</w:t>
      </w:r>
    </w:p>
    <w:p>
      <w:pPr>
        <w:spacing w:after="0" w:line="72" w:lineRule="exact"/>
        <w:rPr>
          <w:rFonts w:ascii="Arial" w:cs="Arial" w:eastAsia="Arial" w:hAnsi="Arial"/>
          <w:sz w:val="16"/>
          <w:szCs w:val="16"/>
          <w:color w:val="auto"/>
        </w:rPr>
      </w:pPr>
    </w:p>
    <w:p>
      <w:pPr>
        <w:ind w:left="3280"/>
        <w:spacing w:after="0"/>
        <w:rPr>
          <w:rFonts w:ascii="Arial" w:cs="Arial" w:eastAsia="Arial" w:hAnsi="Arial"/>
          <w:sz w:val="16"/>
          <w:szCs w:val="16"/>
          <w:color w:val="auto"/>
        </w:rPr>
      </w:pPr>
      <w:r>
        <w:rPr>
          <w:rFonts w:ascii="Arial" w:cs="Arial" w:eastAsia="Arial" w:hAnsi="Arial"/>
          <w:sz w:val="16"/>
          <w:szCs w:val="16"/>
          <w:color w:val="auto"/>
        </w:rPr>
        <w:t>–   Dean of the Harris School of Public Policy (2017 - 2023)</w:t>
      </w:r>
    </w:p>
    <w:p>
      <w:pPr>
        <w:spacing w:after="0" w:line="54" w:lineRule="exact"/>
        <w:rPr>
          <w:rFonts w:ascii="Arial" w:cs="Arial" w:eastAsia="Arial" w:hAnsi="Arial"/>
          <w:sz w:val="16"/>
          <w:szCs w:val="16"/>
          <w:color w:val="auto"/>
        </w:rPr>
      </w:pPr>
    </w:p>
    <w:p>
      <w:pPr>
        <w:ind w:left="3260" w:hanging="305"/>
        <w:spacing w:after="0"/>
        <w:tabs>
          <w:tab w:leader="none" w:pos="3260" w:val="left"/>
        </w:tabs>
        <w:numPr>
          <w:ilvl w:val="0"/>
          <w:numId w:val="38"/>
        </w:numPr>
        <w:rPr>
          <w:rFonts w:ascii="Arial" w:cs="Arial" w:eastAsia="Arial" w:hAnsi="Arial"/>
          <w:sz w:val="16"/>
          <w:szCs w:val="16"/>
          <w:color w:val="auto"/>
        </w:rPr>
      </w:pPr>
      <w:r>
        <w:rPr>
          <w:rFonts w:ascii="Arial" w:cs="Arial" w:eastAsia="Arial" w:hAnsi="Arial"/>
          <w:sz w:val="18"/>
          <w:szCs w:val="18"/>
          <w:b w:val="1"/>
          <w:bCs w:val="1"/>
          <w:color w:val="auto"/>
        </w:rPr>
        <w:t>Harvard University</w:t>
      </w:r>
    </w:p>
    <w:p>
      <w:pPr>
        <w:spacing w:after="0" w:line="67" w:lineRule="exact"/>
        <w:rPr>
          <w:rFonts w:ascii="Arial" w:cs="Arial" w:eastAsia="Arial" w:hAnsi="Arial"/>
          <w:sz w:val="16"/>
          <w:szCs w:val="16"/>
          <w:color w:val="auto"/>
        </w:rPr>
      </w:pPr>
    </w:p>
    <w:p>
      <w:pPr>
        <w:ind w:left="330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C. Boyden Gray Professor of Health Economics (2014 - 2017)</w:t>
      </w:r>
    </w:p>
    <w:p>
      <w:pPr>
        <w:spacing w:after="0" w:line="72" w:lineRule="exact"/>
        <w:rPr>
          <w:rFonts w:ascii="Arial" w:cs="Arial" w:eastAsia="Arial" w:hAnsi="Arial"/>
          <w:sz w:val="16"/>
          <w:szCs w:val="16"/>
          <w:color w:val="auto"/>
        </w:rPr>
      </w:pPr>
    </w:p>
    <w:p>
      <w:pPr>
        <w:ind w:left="330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Department of Health Policy and Management, chair (2014 - 2016)</w:t>
      </w:r>
    </w:p>
    <w:p>
      <w:pPr>
        <w:spacing w:after="0" w:line="59" w:lineRule="exact"/>
        <w:rPr>
          <w:rFonts w:ascii="Arial" w:cs="Arial" w:eastAsia="Arial" w:hAnsi="Arial"/>
          <w:sz w:val="16"/>
          <w:szCs w:val="16"/>
          <w:color w:val="auto"/>
        </w:rPr>
      </w:pPr>
    </w:p>
    <w:p>
      <w:pPr>
        <w:ind w:left="330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Harvard T.H. Chan School of Public Health (primary)</w:t>
      </w:r>
    </w:p>
    <w:p>
      <w:pPr>
        <w:spacing w:after="0" w:line="59" w:lineRule="exact"/>
        <w:rPr>
          <w:rFonts w:ascii="Arial" w:cs="Arial" w:eastAsia="Arial" w:hAnsi="Arial"/>
          <w:sz w:val="16"/>
          <w:szCs w:val="16"/>
          <w:color w:val="auto"/>
        </w:rPr>
      </w:pPr>
    </w:p>
    <w:p>
      <w:pPr>
        <w:ind w:left="330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Harvard Kennedy School of Government (secondary</w:t>
      </w:r>
      <w:r>
        <w:rPr>
          <w:rFonts w:ascii="Arial" w:cs="Arial" w:eastAsia="Arial" w:hAnsi="Arial"/>
          <w:sz w:val="14"/>
          <w:szCs w:val="14"/>
          <w:color w:val="auto"/>
        </w:rPr>
        <w:t>)</w:t>
      </w:r>
    </w:p>
    <w:p>
      <w:pPr>
        <w:spacing w:after="0" w:line="67" w:lineRule="exact"/>
        <w:rPr>
          <w:rFonts w:ascii="Arial" w:cs="Arial" w:eastAsia="Arial" w:hAnsi="Arial"/>
          <w:sz w:val="16"/>
          <w:szCs w:val="16"/>
          <w:color w:val="auto"/>
        </w:rPr>
      </w:pPr>
    </w:p>
    <w:p>
      <w:pPr>
        <w:ind w:left="3260" w:hanging="305"/>
        <w:spacing w:after="0"/>
        <w:tabs>
          <w:tab w:leader="none" w:pos="3260" w:val="left"/>
        </w:tabs>
        <w:numPr>
          <w:ilvl w:val="0"/>
          <w:numId w:val="38"/>
        </w:numPr>
        <w:rPr>
          <w:rFonts w:ascii="Arial" w:cs="Arial" w:eastAsia="Arial" w:hAnsi="Arial"/>
          <w:sz w:val="16"/>
          <w:szCs w:val="16"/>
          <w:color w:val="auto"/>
        </w:rPr>
      </w:pPr>
      <w:r>
        <w:rPr>
          <w:rFonts w:ascii="Arial" w:cs="Arial" w:eastAsia="Arial" w:hAnsi="Arial"/>
          <w:sz w:val="18"/>
          <w:szCs w:val="18"/>
          <w:b w:val="1"/>
          <w:bCs w:val="1"/>
          <w:color w:val="auto"/>
        </w:rPr>
        <w:t>National Bureau of Economic Research</w:t>
      </w:r>
    </w:p>
    <w:p>
      <w:pPr>
        <w:spacing w:after="0" w:line="67" w:lineRule="exact"/>
        <w:rPr>
          <w:rFonts w:ascii="Arial" w:cs="Arial" w:eastAsia="Arial" w:hAnsi="Arial"/>
          <w:sz w:val="16"/>
          <w:szCs w:val="16"/>
          <w:color w:val="auto"/>
        </w:rPr>
      </w:pPr>
    </w:p>
    <w:p>
      <w:pPr>
        <w:ind w:left="3620" w:right="1179" w:hanging="324"/>
        <w:spacing w:after="0" w:line="286" w:lineRule="auto"/>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Research Associate, Health Care and Public Economics Programs (2007 -</w:t>
      </w:r>
      <w:r>
        <w:rPr>
          <w:rFonts w:ascii="Arial" w:cs="Arial" w:eastAsia="Arial" w:hAnsi="Arial"/>
          <w:sz w:val="14"/>
          <w:szCs w:val="14"/>
          <w:color w:val="auto"/>
        </w:rPr>
        <w:t xml:space="preserve"> </w:t>
      </w:r>
      <w:r>
        <w:rPr>
          <w:rFonts w:ascii="Arial" w:cs="Arial" w:eastAsia="Arial" w:hAnsi="Arial"/>
          <w:sz w:val="16"/>
          <w:szCs w:val="16"/>
          <w:color w:val="auto"/>
        </w:rPr>
        <w:t>present)</w:t>
      </w:r>
    </w:p>
    <w:p>
      <w:pPr>
        <w:spacing w:after="0" w:line="2" w:lineRule="exact"/>
        <w:rPr>
          <w:rFonts w:ascii="Arial" w:cs="Arial" w:eastAsia="Arial" w:hAnsi="Arial"/>
          <w:sz w:val="16"/>
          <w:szCs w:val="16"/>
          <w:color w:val="auto"/>
        </w:rPr>
      </w:pPr>
    </w:p>
    <w:p>
      <w:pPr>
        <w:ind w:left="3260" w:hanging="305"/>
        <w:spacing w:after="0"/>
        <w:tabs>
          <w:tab w:leader="none" w:pos="3260" w:val="left"/>
        </w:tabs>
        <w:numPr>
          <w:ilvl w:val="0"/>
          <w:numId w:val="38"/>
        </w:numPr>
        <w:rPr>
          <w:rFonts w:ascii="Arial" w:cs="Arial" w:eastAsia="Arial" w:hAnsi="Arial"/>
          <w:sz w:val="16"/>
          <w:szCs w:val="16"/>
          <w:color w:val="auto"/>
        </w:rPr>
      </w:pPr>
      <w:r>
        <w:rPr>
          <w:rFonts w:ascii="Arial" w:cs="Arial" w:eastAsia="Arial" w:hAnsi="Arial"/>
          <w:sz w:val="18"/>
          <w:szCs w:val="18"/>
          <w:b w:val="1"/>
          <w:bCs w:val="1"/>
          <w:color w:val="auto"/>
        </w:rPr>
        <w:t>Council of Economic Advisers, Executive Office of the President</w:t>
      </w:r>
    </w:p>
    <w:p>
      <w:pPr>
        <w:spacing w:after="0" w:line="67" w:lineRule="exact"/>
        <w:rPr>
          <w:rFonts w:ascii="Arial" w:cs="Arial" w:eastAsia="Arial" w:hAnsi="Arial"/>
          <w:sz w:val="16"/>
          <w:szCs w:val="16"/>
          <w:color w:val="auto"/>
        </w:rPr>
      </w:pPr>
    </w:p>
    <w:p>
      <w:pPr>
        <w:ind w:left="330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confirmed by U.S. Senate (2005 - 2007)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-2190115</wp:posOffset>
            </wp:positionV>
            <wp:extent cx="1062990" cy="866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62990" cy="866140"/>
                    </a:xfrm>
                    <a:prstGeom prst="rect">
                      <a:avLst/>
                    </a:prstGeom>
                    <a:noFill/>
                  </pic:spPr>
                </pic:pic>
              </a:graphicData>
            </a:graphic>
          </wp:anchor>
        </w:drawing>
      </w:r>
    </w:p>
    <w:p>
      <w:pPr>
        <w:spacing w:after="0" w:line="23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3260" w:hanging="305"/>
        <w:spacing w:after="0"/>
        <w:tabs>
          <w:tab w:leader="none" w:pos="3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Panel of Health Advisers to the Congressional Budget Office</w:t>
      </w:r>
    </w:p>
    <w:p>
      <w:pPr>
        <w:spacing w:after="0" w:line="59" w:lineRule="exact"/>
        <w:rPr>
          <w:rFonts w:ascii="Arial" w:cs="Arial" w:eastAsia="Arial" w:hAnsi="Arial"/>
          <w:sz w:val="16"/>
          <w:szCs w:val="16"/>
          <w:color w:val="auto"/>
        </w:rPr>
      </w:pPr>
    </w:p>
    <w:p>
      <w:pPr>
        <w:ind w:left="3260" w:hanging="305"/>
        <w:spacing w:after="0"/>
        <w:tabs>
          <w:tab w:leader="none" w:pos="3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Advisory Board, the National Institute for Health Care Management</w:t>
      </w:r>
    </w:p>
    <w:p>
      <w:pPr>
        <w:spacing w:after="0" w:line="72" w:lineRule="exact"/>
        <w:rPr>
          <w:rFonts w:ascii="Arial" w:cs="Arial" w:eastAsia="Arial" w:hAnsi="Arial"/>
          <w:sz w:val="16"/>
          <w:szCs w:val="16"/>
          <w:color w:val="auto"/>
        </w:rPr>
      </w:pPr>
    </w:p>
    <w:p>
      <w:pPr>
        <w:ind w:left="3260" w:hanging="305"/>
        <w:spacing w:after="0"/>
        <w:tabs>
          <w:tab w:leader="none" w:pos="3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Editorial Board of JAMA Health Forum</w:t>
      </w:r>
    </w:p>
    <w:p>
      <w:pPr>
        <w:spacing w:after="0" w:line="59" w:lineRule="exact"/>
        <w:rPr>
          <w:rFonts w:ascii="Arial" w:cs="Arial" w:eastAsia="Arial" w:hAnsi="Arial"/>
          <w:sz w:val="16"/>
          <w:szCs w:val="16"/>
          <w:color w:val="auto"/>
        </w:rPr>
      </w:pPr>
    </w:p>
    <w:p>
      <w:pPr>
        <w:ind w:left="3260" w:hanging="305"/>
        <w:spacing w:after="0"/>
        <w:tabs>
          <w:tab w:leader="none" w:pos="3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Trustee, the Mayo Clinic</w:t>
      </w:r>
    </w:p>
    <w:p>
      <w:pPr>
        <w:spacing w:after="0" w:line="72" w:lineRule="exact"/>
        <w:rPr>
          <w:rFonts w:ascii="Arial" w:cs="Arial" w:eastAsia="Arial" w:hAnsi="Arial"/>
          <w:sz w:val="16"/>
          <w:szCs w:val="16"/>
          <w:color w:val="auto"/>
        </w:rPr>
      </w:pPr>
    </w:p>
    <w:p>
      <w:pPr>
        <w:ind w:left="3260" w:hanging="305"/>
        <w:spacing w:after="0"/>
        <w:tabs>
          <w:tab w:leader="none" w:pos="3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Trustee, University of Chicago Medicine (ex officio)</w:t>
      </w:r>
    </w:p>
    <w:p>
      <w:pPr>
        <w:spacing w:after="0" w:line="21" w:lineRule="exact"/>
        <w:rPr>
          <w:rFonts w:ascii="Arial" w:cs="Arial" w:eastAsia="Arial" w:hAnsi="Arial"/>
          <w:sz w:val="16"/>
          <w:szCs w:val="16"/>
          <w:color w:val="auto"/>
        </w:rPr>
      </w:pPr>
    </w:p>
    <w:p>
      <w:pPr>
        <w:jc w:val="both"/>
        <w:ind w:left="3280" w:right="1399" w:hanging="325"/>
        <w:spacing w:after="0" w:line="264" w:lineRule="auto"/>
        <w:tabs>
          <w:tab w:leader="none" w:pos="32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Member, the National Academy of Medicine; the National Academy of Social Insurance; the Council on Foreign Relations; and the American Academy of Arts and Sciences</w:t>
      </w:r>
    </w:p>
    <w:p>
      <w:pPr>
        <w:sectPr>
          <w:pgSz w:w="11900" w:h="16838" w:orient="portrait"/>
          <w:cols w:equalWidth="0" w:num="1">
            <w:col w:w="10139"/>
          </w:cols>
          <w:pgMar w:left="320" w:top="1074" w:right="1440" w:bottom="99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4" w:right="1440" w:bottom="999"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911860</wp:posOffset>
            </wp:positionV>
            <wp:extent cx="1517015" cy="31286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01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240"/>
        <w:spacing w:after="0"/>
        <w:rPr>
          <w:sz w:val="20"/>
          <w:szCs w:val="20"/>
          <w:color w:val="auto"/>
        </w:rPr>
      </w:pPr>
      <w:r>
        <w:rPr>
          <w:rFonts w:ascii="Arial" w:cs="Arial" w:eastAsia="Arial" w:hAnsi="Arial"/>
          <w:sz w:val="25"/>
          <w:szCs w:val="25"/>
          <w:b w:val="1"/>
          <w:bCs w:val="1"/>
          <w:color w:val="D52B1E"/>
        </w:rPr>
        <w:t>J. Erik Fyrwald</w:t>
      </w:r>
    </w:p>
    <w:p>
      <w:pPr>
        <w:sectPr>
          <w:pgSz w:w="11900" w:h="16838" w:orient="portrait"/>
          <w:cols w:equalWidth="0" w:num="1">
            <w:col w:w="10119"/>
          </w:cols>
          <w:pgMar w:left="340" w:top="1440" w:right="1440" w:bottom="11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2005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r>
        <w:rPr>
          <w:rFonts w:ascii="Arial" w:cs="Arial" w:eastAsia="Arial" w:hAnsi="Arial"/>
          <w:sz w:val="18"/>
          <w:szCs w:val="18"/>
          <w:color w:val="auto"/>
        </w:rPr>
        <w:t>:</w:t>
      </w:r>
    </w:p>
    <w:p>
      <w:pPr>
        <w:spacing w:after="0" w:line="63" w:lineRule="exact"/>
        <w:rPr>
          <w:sz w:val="20"/>
          <w:szCs w:val="20"/>
          <w:color w:val="auto"/>
        </w:rPr>
      </w:pPr>
    </w:p>
    <w:p>
      <w:pPr>
        <w:ind w:left="340" w:right="620" w:hanging="162"/>
        <w:spacing w:after="0" w:line="298" w:lineRule="auto"/>
        <w:rPr>
          <w:sz w:val="20"/>
          <w:szCs w:val="20"/>
          <w:color w:val="auto"/>
        </w:rPr>
      </w:pPr>
      <w:r>
        <w:rPr>
          <w:rFonts w:ascii="Arial" w:cs="Arial" w:eastAsia="Arial" w:hAnsi="Arial"/>
          <w:sz w:val="17"/>
          <w:szCs w:val="17"/>
          <w:color w:val="auto"/>
        </w:rPr>
        <w:t>– Talent and Compensation</w:t>
      </w:r>
    </w:p>
    <w:p>
      <w:pPr>
        <w:ind w:left="340" w:right="800" w:hanging="162"/>
        <w:spacing w:after="0" w:line="281" w:lineRule="auto"/>
        <w:rPr>
          <w:sz w:val="20"/>
          <w:szCs w:val="20"/>
          <w:color w:val="auto"/>
        </w:rPr>
      </w:pPr>
      <w:r>
        <w:rPr>
          <w:rFonts w:ascii="Arial" w:cs="Arial" w:eastAsia="Arial" w:hAnsi="Arial"/>
          <w:sz w:val="18"/>
          <w:szCs w:val="18"/>
          <w:color w:val="auto"/>
        </w:rPr>
        <w:t>– Science and Technology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Boards:</w:t>
      </w:r>
    </w:p>
    <w:p>
      <w:pPr>
        <w:spacing w:after="0" w:line="63" w:lineRule="exact"/>
        <w:rPr>
          <w:sz w:val="20"/>
          <w:szCs w:val="20"/>
          <w:color w:val="auto"/>
        </w:rPr>
      </w:pPr>
    </w:p>
    <w:p>
      <w:pPr>
        <w:ind w:left="340" w:hanging="162"/>
        <w:spacing w:after="0" w:line="281" w:lineRule="auto"/>
        <w:rPr>
          <w:sz w:val="20"/>
          <w:szCs w:val="20"/>
          <w:color w:val="auto"/>
        </w:rPr>
      </w:pPr>
      <w:r>
        <w:rPr>
          <w:rFonts w:ascii="Arial" w:cs="Arial" w:eastAsia="Arial" w:hAnsi="Arial"/>
          <w:sz w:val="18"/>
          <w:szCs w:val="18"/>
          <w:color w:val="auto"/>
        </w:rPr>
        <w:t>– International Flavors &amp; Fragrances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4063365" cy="18688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63365" cy="1868805"/>
                    </a:xfrm>
                    <a:prstGeom prst="rect">
                      <a:avLst/>
                    </a:prstGeom>
                    <a:noFill/>
                  </pic:spPr>
                </pic:pic>
              </a:graphicData>
            </a:graphic>
          </wp:anchor>
        </w:drawing>
      </w:r>
    </w:p>
    <w:p>
      <w:pPr>
        <w:spacing w:after="0" w:line="131" w:lineRule="exact"/>
        <w:rPr>
          <w:sz w:val="20"/>
          <w:szCs w:val="20"/>
          <w:color w:val="auto"/>
        </w:rPr>
      </w:pPr>
    </w:p>
    <w:p>
      <w:pPr>
        <w:ind w:right="1659"/>
        <w:spacing w:after="0" w:line="283" w:lineRule="auto"/>
        <w:rPr>
          <w:sz w:val="20"/>
          <w:szCs w:val="20"/>
          <w:color w:val="auto"/>
        </w:rPr>
      </w:pPr>
      <w:r>
        <w:rPr>
          <w:rFonts w:ascii="Arial" w:cs="Arial" w:eastAsia="Arial" w:hAnsi="Arial"/>
          <w:sz w:val="16"/>
          <w:szCs w:val="16"/>
          <w:i w:val="1"/>
          <w:iCs w:val="1"/>
          <w:color w:val="auto"/>
        </w:rPr>
        <w:t>Mr. Fyrwald brings to the board a deep understanding of operational and strategic leadership and international business.</w:t>
      </w:r>
    </w:p>
    <w:p>
      <w:pPr>
        <w:spacing w:after="0" w:line="10" w:lineRule="exact"/>
        <w:rPr>
          <w:sz w:val="20"/>
          <w:szCs w:val="20"/>
          <w:color w:val="auto"/>
        </w:rPr>
      </w:pPr>
    </w:p>
    <w:p>
      <w:pPr>
        <w:ind w:left="640" w:right="1759" w:hanging="325"/>
        <w:spacing w:after="0" w:line="275" w:lineRule="auto"/>
        <w:tabs>
          <w:tab w:leader="none" w:pos="6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Fyrwald’s substantial experience in leading international companies provides valuable perspectives relating to international operations, manufacturing, logistics, and sustainability.</w:t>
      </w:r>
    </w:p>
    <w:p>
      <w:pPr>
        <w:spacing w:after="0" w:line="2" w:lineRule="exact"/>
        <w:rPr>
          <w:rFonts w:ascii="Arial" w:cs="Arial" w:eastAsia="Arial" w:hAnsi="Arial"/>
          <w:sz w:val="16"/>
          <w:szCs w:val="16"/>
          <w:color w:val="auto"/>
        </w:rPr>
      </w:pPr>
    </w:p>
    <w:p>
      <w:pPr>
        <w:ind w:left="640" w:right="1239" w:hanging="325"/>
        <w:spacing w:after="0" w:line="265" w:lineRule="auto"/>
        <w:tabs>
          <w:tab w:leader="none" w:pos="6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Fyrwald has a demonstrated focus on technology and a deep understanding of the challenges of developing and commercializing the results of innovation, as he worked to align Syngenta to digital innovation and new agricultural technologies in their efforts against climate change.</w:t>
      </w:r>
    </w:p>
    <w:p>
      <w:pPr>
        <w:spacing w:after="0" w:line="24" w:lineRule="exact"/>
        <w:rPr>
          <w:rFonts w:ascii="Arial" w:cs="Arial" w:eastAsia="Arial" w:hAnsi="Arial"/>
          <w:sz w:val="16"/>
          <w:szCs w:val="16"/>
          <w:color w:val="auto"/>
        </w:rPr>
      </w:pPr>
    </w:p>
    <w:p>
      <w:pPr>
        <w:ind w:left="640" w:right="1279" w:hanging="325"/>
        <w:spacing w:after="0" w:line="266" w:lineRule="auto"/>
        <w:tabs>
          <w:tab w:leader="none" w:pos="6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Fyrwald has also developed significant corporate governance experience through his current and prior service on the boards of directors of international companies and not-for-profit entities.</w:t>
      </w:r>
    </w:p>
    <w:p>
      <w:pPr>
        <w:spacing w:after="0" w:line="301" w:lineRule="exact"/>
        <w:rPr>
          <w:sz w:val="20"/>
          <w:szCs w:val="20"/>
          <w:color w:val="auto"/>
        </w:rPr>
      </w:pPr>
    </w:p>
    <w:p>
      <w:pPr>
        <w:sectPr>
          <w:pgSz w:w="11900" w:h="16838" w:orient="portrait"/>
          <w:cols w:equalWidth="0" w:num="2">
            <w:col w:w="2120" w:space="500"/>
            <w:col w:w="7499"/>
          </w:cols>
          <w:pgMar w:left="340" w:top="1440" w:right="1440" w:bottom="1134" w:gutter="0" w:footer="0" w:header="0"/>
          <w:type w:val="continuous"/>
        </w:sectPr>
      </w:pPr>
    </w:p>
    <w:p>
      <w:pPr>
        <w:ind w:right="24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Syngenta Group</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Bunge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062990" cy="1697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62990" cy="1697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HIGHLIGHTS</w:t>
      </w:r>
    </w:p>
    <w:p>
      <w:pPr>
        <w:spacing w:after="0" w:line="104" w:lineRule="exact"/>
        <w:rPr>
          <w:sz w:val="20"/>
          <w:szCs w:val="20"/>
          <w:color w:val="auto"/>
        </w:rPr>
      </w:pPr>
    </w:p>
    <w:p>
      <w:pPr>
        <w:ind w:left="640" w:right="1439" w:hanging="325"/>
        <w:spacing w:after="0" w:line="260" w:lineRule="auto"/>
        <w:tabs>
          <w:tab w:leader="none" w:pos="637" w:val="left"/>
        </w:tabs>
        <w:numPr>
          <w:ilvl w:val="0"/>
          <w:numId w:val="44"/>
        </w:numPr>
        <w:rPr>
          <w:rFonts w:ascii="Cambria" w:cs="Cambria" w:eastAsia="Cambria" w:hAnsi="Cambria"/>
          <w:sz w:val="18"/>
          <w:szCs w:val="18"/>
          <w:b w:val="1"/>
          <w:bCs w:val="1"/>
          <w:color w:val="auto"/>
        </w:rPr>
      </w:pPr>
      <w:r>
        <w:rPr>
          <w:rFonts w:ascii="Arial" w:cs="Arial" w:eastAsia="Arial" w:hAnsi="Arial"/>
          <w:sz w:val="18"/>
          <w:szCs w:val="18"/>
          <w:b w:val="1"/>
          <w:bCs w:val="1"/>
          <w:color w:val="auto"/>
        </w:rPr>
        <w:t>International Flavors &amp; Fragrances Inc.</w:t>
      </w:r>
      <w:r>
        <w:rPr>
          <w:rFonts w:ascii="Arial" w:cs="Arial" w:eastAsia="Arial" w:hAnsi="Arial"/>
          <w:sz w:val="16"/>
          <w:szCs w:val="16"/>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creator and manufacturer of</w:t>
      </w:r>
      <w:r>
        <w:rPr>
          <w:rFonts w:ascii="Arial" w:cs="Arial" w:eastAsia="Arial" w:hAnsi="Arial"/>
          <w:sz w:val="18"/>
          <w:szCs w:val="18"/>
          <w:b w:val="1"/>
          <w:bCs w:val="1"/>
          <w:color w:val="auto"/>
        </w:rPr>
        <w:t xml:space="preserve"> </w:t>
      </w:r>
      <w:r>
        <w:rPr>
          <w:rFonts w:ascii="Arial" w:cs="Arial" w:eastAsia="Arial" w:hAnsi="Arial"/>
          <w:sz w:val="16"/>
          <w:szCs w:val="16"/>
          <w:color w:val="auto"/>
        </w:rPr>
        <w:t>food, beverage, health and biosciences, scent and pharma solutions</w:t>
      </w:r>
    </w:p>
    <w:p>
      <w:pPr>
        <w:spacing w:after="0" w:line="24" w:lineRule="exact"/>
        <w:rPr>
          <w:rFonts w:ascii="Cambria" w:cs="Cambria" w:eastAsia="Cambria" w:hAnsi="Cambria"/>
          <w:sz w:val="18"/>
          <w:szCs w:val="18"/>
          <w:b w:val="1"/>
          <w:bCs w:val="1"/>
          <w:color w:val="auto"/>
        </w:rPr>
      </w:pPr>
    </w:p>
    <w:p>
      <w:pPr>
        <w:ind w:left="640"/>
        <w:spacing w:after="0"/>
        <w:rPr>
          <w:rFonts w:ascii="Cambria" w:cs="Cambria" w:eastAsia="Cambria" w:hAnsi="Cambria"/>
          <w:sz w:val="18"/>
          <w:szCs w:val="18"/>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Chief Executive Officer (2024 - present)</w:t>
      </w:r>
    </w:p>
    <w:p>
      <w:pPr>
        <w:spacing w:after="0" w:line="59" w:lineRule="exact"/>
        <w:rPr>
          <w:rFonts w:ascii="Cambria" w:cs="Cambria" w:eastAsia="Cambria" w:hAnsi="Cambria"/>
          <w:sz w:val="18"/>
          <w:szCs w:val="18"/>
          <w:b w:val="1"/>
          <w:bCs w:val="1"/>
          <w:color w:val="auto"/>
        </w:rPr>
      </w:pPr>
    </w:p>
    <w:p>
      <w:pPr>
        <w:ind w:left="640"/>
        <w:spacing w:after="0"/>
        <w:rPr>
          <w:rFonts w:ascii="Cambria" w:cs="Cambria" w:eastAsia="Cambria" w:hAnsi="Cambria"/>
          <w:sz w:val="18"/>
          <w:szCs w:val="18"/>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board of directors (2024 - present)</w:t>
      </w:r>
    </w:p>
    <w:p>
      <w:pPr>
        <w:spacing w:after="0" w:line="67" w:lineRule="exact"/>
        <w:rPr>
          <w:rFonts w:ascii="Cambria" w:cs="Cambria" w:eastAsia="Cambria" w:hAnsi="Cambria"/>
          <w:sz w:val="18"/>
          <w:szCs w:val="18"/>
          <w:b w:val="1"/>
          <w:bCs w:val="1"/>
          <w:color w:val="auto"/>
        </w:rPr>
      </w:pPr>
    </w:p>
    <w:p>
      <w:pPr>
        <w:ind w:left="640" w:right="1199" w:hanging="325"/>
        <w:spacing w:after="0" w:line="264" w:lineRule="auto"/>
        <w:tabs>
          <w:tab w:leader="none" w:pos="629" w:val="left"/>
        </w:tabs>
        <w:numPr>
          <w:ilvl w:val="0"/>
          <w:numId w:val="44"/>
        </w:numPr>
        <w:rPr>
          <w:rFonts w:ascii="Arial" w:cs="Arial" w:eastAsia="Arial" w:hAnsi="Arial"/>
          <w:sz w:val="16"/>
          <w:szCs w:val="16"/>
          <w:b w:val="1"/>
          <w:bCs w:val="1"/>
          <w:color w:val="auto"/>
        </w:rPr>
      </w:pPr>
      <w:r>
        <w:rPr>
          <w:rFonts w:ascii="Arial" w:cs="Arial" w:eastAsia="Arial" w:hAnsi="Arial"/>
          <w:sz w:val="18"/>
          <w:szCs w:val="18"/>
          <w:b w:val="1"/>
          <w:bCs w:val="1"/>
          <w:color w:val="auto"/>
        </w:rPr>
        <w:t>Syngenta Group</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global Swiss-based agriculture technology company that</w:t>
      </w:r>
      <w:r>
        <w:rPr>
          <w:rFonts w:ascii="Arial" w:cs="Arial" w:eastAsia="Arial" w:hAnsi="Arial"/>
          <w:sz w:val="18"/>
          <w:szCs w:val="18"/>
          <w:b w:val="1"/>
          <w:bCs w:val="1"/>
          <w:color w:val="auto"/>
        </w:rPr>
        <w:t xml:space="preserve"> </w:t>
      </w:r>
      <w:r>
        <w:rPr>
          <w:rFonts w:ascii="Arial" w:cs="Arial" w:eastAsia="Arial" w:hAnsi="Arial"/>
          <w:sz w:val="16"/>
          <w:szCs w:val="16"/>
          <w:color w:val="auto"/>
        </w:rPr>
        <w:t>produces agrochemicals and seeds</w:t>
      </w:r>
    </w:p>
    <w:p>
      <w:pPr>
        <w:spacing w:after="0" w:line="8"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Executive Officer (2016 - 2023)</w:t>
      </w:r>
    </w:p>
    <w:p>
      <w:pPr>
        <w:spacing w:after="0" w:line="59"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board of directors (2016 - 2024)</w:t>
      </w:r>
    </w:p>
    <w:p>
      <w:pPr>
        <w:spacing w:after="0" w:line="72"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Member of the sustainability committee (2016 - 2024)</w:t>
      </w:r>
    </w:p>
    <w:p>
      <w:pPr>
        <w:spacing w:after="0" w:line="54" w:lineRule="exact"/>
        <w:rPr>
          <w:rFonts w:ascii="Arial" w:cs="Arial" w:eastAsia="Arial" w:hAnsi="Arial"/>
          <w:sz w:val="16"/>
          <w:szCs w:val="16"/>
          <w:b w:val="1"/>
          <w:bCs w:val="1"/>
          <w:color w:val="auto"/>
        </w:rPr>
      </w:pPr>
    </w:p>
    <w:p>
      <w:pPr>
        <w:ind w:left="640" w:right="1799" w:hanging="325"/>
        <w:spacing w:after="0" w:line="264" w:lineRule="auto"/>
        <w:tabs>
          <w:tab w:leader="none" w:pos="631" w:val="left"/>
        </w:tabs>
        <w:numPr>
          <w:ilvl w:val="0"/>
          <w:numId w:val="44"/>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Univar, Inc., </w:t>
      </w:r>
      <w:r>
        <w:rPr>
          <w:rFonts w:ascii="Arial" w:cs="Arial" w:eastAsia="Arial" w:hAnsi="Arial"/>
          <w:sz w:val="16"/>
          <w:szCs w:val="16"/>
          <w:color w:val="auto"/>
        </w:rPr>
        <w:t>a leading distributor of chemicals and provider of related</w:t>
      </w:r>
      <w:r>
        <w:rPr>
          <w:rFonts w:ascii="Arial" w:cs="Arial" w:eastAsia="Arial" w:hAnsi="Arial"/>
          <w:sz w:val="18"/>
          <w:szCs w:val="18"/>
          <w:b w:val="1"/>
          <w:bCs w:val="1"/>
          <w:color w:val="auto"/>
        </w:rPr>
        <w:t xml:space="preserve"> </w:t>
      </w:r>
      <w:r>
        <w:rPr>
          <w:rFonts w:ascii="Arial" w:cs="Arial" w:eastAsia="Arial" w:hAnsi="Arial"/>
          <w:sz w:val="16"/>
          <w:szCs w:val="16"/>
          <w:color w:val="auto"/>
        </w:rPr>
        <w:t>services</w:t>
      </w:r>
    </w:p>
    <w:p>
      <w:pPr>
        <w:spacing w:after="0" w:line="21"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and Chief Executive Officer (2012 - 2016)</w:t>
      </w:r>
    </w:p>
    <w:p>
      <w:pPr>
        <w:spacing w:after="0" w:line="54" w:lineRule="exact"/>
        <w:rPr>
          <w:rFonts w:ascii="Cambria" w:cs="Cambria" w:eastAsia="Cambria" w:hAnsi="Cambria"/>
          <w:sz w:val="16"/>
          <w:szCs w:val="16"/>
          <w:b w:val="1"/>
          <w:bCs w:val="1"/>
          <w:color w:val="auto"/>
        </w:rPr>
      </w:pPr>
    </w:p>
    <w:p>
      <w:pPr>
        <w:ind w:left="640" w:right="1459" w:hanging="325"/>
        <w:spacing w:after="0" w:line="264" w:lineRule="auto"/>
        <w:tabs>
          <w:tab w:leader="none" w:pos="631" w:val="left"/>
        </w:tabs>
        <w:numPr>
          <w:ilvl w:val="0"/>
          <w:numId w:val="44"/>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Ecolab, Inc., </w:t>
      </w:r>
      <w:r>
        <w:rPr>
          <w:rFonts w:ascii="Arial" w:cs="Arial" w:eastAsia="Arial" w:hAnsi="Arial"/>
          <w:sz w:val="16"/>
          <w:szCs w:val="16"/>
          <w:color w:val="auto"/>
        </w:rPr>
        <w:t>a leading provider of cleaning, sanitation and water products</w:t>
      </w:r>
      <w:r>
        <w:rPr>
          <w:rFonts w:ascii="Arial" w:cs="Arial" w:eastAsia="Arial" w:hAnsi="Arial"/>
          <w:sz w:val="18"/>
          <w:szCs w:val="18"/>
          <w:b w:val="1"/>
          <w:bCs w:val="1"/>
          <w:color w:val="auto"/>
        </w:rPr>
        <w:t xml:space="preserve"> </w:t>
      </w:r>
      <w:r>
        <w:rPr>
          <w:rFonts w:ascii="Arial" w:cs="Arial" w:eastAsia="Arial" w:hAnsi="Arial"/>
          <w:sz w:val="16"/>
          <w:szCs w:val="16"/>
          <w:color w:val="auto"/>
        </w:rPr>
        <w:t>and services</w:t>
      </w:r>
    </w:p>
    <w:p>
      <w:pPr>
        <w:spacing w:after="0" w:line="8"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President (2011 - 2012)</w:t>
      </w:r>
    </w:p>
    <w:p>
      <w:pPr>
        <w:spacing w:after="0" w:line="68" w:lineRule="exact"/>
        <w:rPr>
          <w:sz w:val="20"/>
          <w:szCs w:val="20"/>
          <w:color w:val="auto"/>
        </w:rPr>
      </w:pPr>
    </w:p>
    <w:p>
      <w:pPr>
        <w:sectPr>
          <w:pgSz w:w="11900" w:h="16838" w:orient="portrait"/>
          <w:cols w:equalWidth="0" w:num="2">
            <w:col w:w="1900" w:space="720"/>
            <w:col w:w="7499"/>
          </w:cols>
          <w:pgMar w:left="340" w:top="1440" w:right="1440" w:bottom="1134" w:gutter="0" w:footer="0" w:header="0"/>
          <w:type w:val="continuous"/>
        </w:sectPr>
      </w:pPr>
    </w:p>
    <w:p>
      <w:pPr>
        <w:ind w:left="3260" w:hanging="325"/>
        <w:spacing w:after="0"/>
        <w:tabs>
          <w:tab w:leader="none" w:pos="3260" w:val="left"/>
        </w:tabs>
        <w:numPr>
          <w:ilvl w:val="0"/>
          <w:numId w:val="45"/>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Nalco Company, </w:t>
      </w:r>
      <w:r>
        <w:rPr>
          <w:rFonts w:ascii="Arial" w:cs="Arial" w:eastAsia="Arial" w:hAnsi="Arial"/>
          <w:sz w:val="16"/>
          <w:szCs w:val="16"/>
          <w:color w:val="auto"/>
        </w:rPr>
        <w:t>a leading provider of water treatment products and services</w:t>
      </w:r>
    </w:p>
    <w:p>
      <w:pPr>
        <w:spacing w:after="0" w:line="67" w:lineRule="exact"/>
        <w:rPr>
          <w:rFonts w:ascii="Cambria" w:cs="Cambria" w:eastAsia="Cambria" w:hAnsi="Cambria"/>
          <w:sz w:val="16"/>
          <w:szCs w:val="16"/>
          <w:b w:val="1"/>
          <w:bCs w:val="1"/>
          <w:color w:val="auto"/>
        </w:rPr>
      </w:pPr>
    </w:p>
    <w:p>
      <w:pPr>
        <w:ind w:left="326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Chairman and Chief Executive Officer (2008 - 2011)</w:t>
      </w:r>
    </w:p>
    <w:p>
      <w:pPr>
        <w:spacing w:after="0" w:line="54" w:lineRule="exact"/>
        <w:rPr>
          <w:rFonts w:ascii="Cambria" w:cs="Cambria" w:eastAsia="Cambria" w:hAnsi="Cambria"/>
          <w:sz w:val="16"/>
          <w:szCs w:val="16"/>
          <w:b w:val="1"/>
          <w:bCs w:val="1"/>
          <w:color w:val="auto"/>
        </w:rPr>
      </w:pPr>
    </w:p>
    <w:p>
      <w:pPr>
        <w:ind w:left="3260" w:hanging="325"/>
        <w:spacing w:after="0"/>
        <w:tabs>
          <w:tab w:leader="none" w:pos="3260" w:val="left"/>
        </w:tabs>
        <w:numPr>
          <w:ilvl w:val="0"/>
          <w:numId w:val="45"/>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E.I. du Pont de Nemours and Company, </w:t>
      </w:r>
      <w:r>
        <w:rPr>
          <w:rFonts w:ascii="Arial" w:cs="Arial" w:eastAsia="Arial" w:hAnsi="Arial"/>
          <w:sz w:val="16"/>
          <w:szCs w:val="16"/>
          <w:color w:val="auto"/>
        </w:rPr>
        <w:t>a global chemical company</w:t>
      </w:r>
    </w:p>
    <w:p>
      <w:pPr>
        <w:spacing w:after="0" w:line="67" w:lineRule="exact"/>
        <w:rPr>
          <w:rFonts w:ascii="Cambria" w:cs="Cambria" w:eastAsia="Cambria" w:hAnsi="Cambria"/>
          <w:sz w:val="16"/>
          <w:szCs w:val="16"/>
          <w:b w:val="1"/>
          <w:bCs w:val="1"/>
          <w:color w:val="auto"/>
        </w:rPr>
      </w:pPr>
    </w:p>
    <w:p>
      <w:pPr>
        <w:ind w:left="3580" w:right="1179" w:hanging="324"/>
        <w:spacing w:after="0" w:line="275" w:lineRule="auto"/>
        <w:rPr>
          <w:rFonts w:ascii="Cambria" w:cs="Cambria" w:eastAsia="Cambria" w:hAnsi="Cambria"/>
          <w:sz w:val="16"/>
          <w:szCs w:val="16"/>
          <w:b w:val="1"/>
          <w:bCs w:val="1"/>
          <w:color w:val="auto"/>
        </w:rPr>
      </w:pPr>
      <w:r>
        <w:rPr>
          <w:rFonts w:ascii="Arial" w:cs="Arial" w:eastAsia="Arial" w:hAnsi="Arial"/>
          <w:sz w:val="16"/>
          <w:szCs w:val="16"/>
          <w:color w:val="auto"/>
        </w:rPr>
        <w:t>– Various management positions from 1980 to 2008 in production, sales, and marketing, including most recently group vice president, agriculture and nutrition (2003 - 2008)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-871855</wp:posOffset>
            </wp:positionV>
            <wp:extent cx="985520" cy="360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85520" cy="360045"/>
                    </a:xfrm>
                    <a:prstGeom prst="rect">
                      <a:avLst/>
                    </a:prstGeom>
                    <a:noFill/>
                  </pic:spPr>
                </pic:pic>
              </a:graphicData>
            </a:graphic>
          </wp:anchor>
        </w:drawing>
      </w:r>
    </w:p>
    <w:p>
      <w:pPr>
        <w:spacing w:after="0" w:line="27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3240" w:hanging="305"/>
        <w:spacing w:after="0"/>
        <w:tabs>
          <w:tab w:leader="none" w:pos="3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Director, Council on Competitiveness (Chair)</w:t>
      </w:r>
    </w:p>
    <w:p>
      <w:pPr>
        <w:sectPr>
          <w:pgSz w:w="11900" w:h="16838" w:orient="portrait"/>
          <w:cols w:equalWidth="0" w:num="1">
            <w:col w:w="10119"/>
          </w:cols>
          <w:pgMar w:left="340" w:top="1440" w:right="1440" w:bottom="113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134"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911860</wp:posOffset>
            </wp:positionV>
            <wp:extent cx="1517015" cy="2940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1701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Audit (Chair)</w:t>
      </w:r>
    </w:p>
    <w:p>
      <w:pPr>
        <w:spacing w:after="0" w:line="63" w:lineRule="exact"/>
        <w:rPr>
          <w:sz w:val="20"/>
          <w:szCs w:val="20"/>
          <w:color w:val="auto"/>
        </w:rPr>
      </w:pPr>
    </w:p>
    <w:p>
      <w:pPr>
        <w:ind w:left="340" w:right="400" w:hanging="162"/>
        <w:spacing w:after="0" w:line="268" w:lineRule="auto"/>
        <w:rPr>
          <w:sz w:val="20"/>
          <w:szCs w:val="20"/>
          <w:color w:val="auto"/>
        </w:rPr>
      </w:pPr>
      <w:r>
        <w:rPr>
          <w:rFonts w:ascii="Arial" w:cs="Arial" w:eastAsia="Arial" w:hAnsi="Arial"/>
          <w:sz w:val="18"/>
          <w:szCs w:val="18"/>
          <w:color w:val="auto"/>
        </w:rPr>
        <w:t>– Directors and Corporate Governance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Boards: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Hibbett,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wp:posOffset>
            </wp:positionV>
            <wp:extent cx="1062990" cy="12515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62990" cy="1251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D52B1E"/>
        </w:rPr>
        <w:t>Jamere Jackson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-127635</wp:posOffset>
            </wp:positionV>
            <wp:extent cx="4063365" cy="1671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63365" cy="1671955"/>
                    </a:xfrm>
                    <a:prstGeom prst="rect">
                      <a:avLst/>
                    </a:prstGeom>
                    <a:noFill/>
                  </pic:spPr>
                </pic:pic>
              </a:graphicData>
            </a:graphic>
          </wp:anchor>
        </w:drawing>
      </w:r>
    </w:p>
    <w:p>
      <w:pPr>
        <w:spacing w:after="0" w:line="23" w:lineRule="exact"/>
        <w:rPr>
          <w:sz w:val="20"/>
          <w:szCs w:val="20"/>
          <w:color w:val="auto"/>
        </w:rPr>
      </w:pPr>
    </w:p>
    <w:p>
      <w:pPr>
        <w:ind w:left="380" w:right="1579"/>
        <w:spacing w:after="0" w:line="283" w:lineRule="auto"/>
        <w:rPr>
          <w:sz w:val="20"/>
          <w:szCs w:val="20"/>
          <w:color w:val="auto"/>
        </w:rPr>
      </w:pPr>
      <w:r>
        <w:rPr>
          <w:rFonts w:ascii="Arial" w:cs="Arial" w:eastAsia="Arial" w:hAnsi="Arial"/>
          <w:sz w:val="16"/>
          <w:szCs w:val="16"/>
          <w:i w:val="1"/>
          <w:iCs w:val="1"/>
          <w:color w:val="auto"/>
        </w:rPr>
        <w:t>Mr. Jackson brings to the board significant global financial experience and a strong background in strategic planning.</w:t>
      </w:r>
    </w:p>
    <w:p>
      <w:pPr>
        <w:spacing w:after="0" w:line="10" w:lineRule="exact"/>
        <w:rPr>
          <w:sz w:val="20"/>
          <w:szCs w:val="20"/>
          <w:color w:val="auto"/>
        </w:rPr>
      </w:pPr>
    </w:p>
    <w:p>
      <w:pPr>
        <w:ind w:left="1020" w:right="1199" w:hanging="325"/>
        <w:spacing w:after="0" w:line="275" w:lineRule="auto"/>
        <w:tabs>
          <w:tab w:leader="none" w:pos="10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Jackson’s global finance experience, including as chief financial officer at multiple Fortune 500 companies, provides extensive knowledge of international business operations and their associated financial complexities.</w:t>
      </w:r>
    </w:p>
    <w:p>
      <w:pPr>
        <w:spacing w:after="0" w:line="2" w:lineRule="exact"/>
        <w:rPr>
          <w:rFonts w:ascii="Arial" w:cs="Arial" w:eastAsia="Arial" w:hAnsi="Arial"/>
          <w:sz w:val="16"/>
          <w:szCs w:val="16"/>
          <w:color w:val="auto"/>
        </w:rPr>
      </w:pPr>
    </w:p>
    <w:p>
      <w:pPr>
        <w:ind w:left="1020" w:right="1299" w:hanging="325"/>
        <w:spacing w:after="0" w:line="275" w:lineRule="auto"/>
        <w:tabs>
          <w:tab w:leader="none" w:pos="10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Jackson brings a valuable perspective on the management of complex financial risks and wide-ranging knowledge of finance and accounting matters to his role as Audit Committee Chair.</w:t>
      </w:r>
    </w:p>
    <w:p>
      <w:pPr>
        <w:spacing w:after="0" w:line="2" w:lineRule="exact"/>
        <w:rPr>
          <w:rFonts w:ascii="Arial" w:cs="Arial" w:eastAsia="Arial" w:hAnsi="Arial"/>
          <w:sz w:val="16"/>
          <w:szCs w:val="16"/>
          <w:color w:val="auto"/>
        </w:rPr>
      </w:pPr>
    </w:p>
    <w:p>
      <w:pPr>
        <w:ind w:left="1020" w:right="1679" w:hanging="325"/>
        <w:spacing w:after="0" w:line="275" w:lineRule="auto"/>
        <w:tabs>
          <w:tab w:leader="none" w:pos="10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Jackson has also held roles in strategic planning and mergers and acquisitions, including responsibility for driving financial rigor, developing strategy and implementing change.</w:t>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ind w:left="1020" w:right="1299" w:hanging="325"/>
        <w:spacing w:after="0" w:line="264" w:lineRule="auto"/>
        <w:tabs>
          <w:tab w:leader="none" w:pos="1011" w:val="left"/>
        </w:tabs>
        <w:numPr>
          <w:ilvl w:val="0"/>
          <w:numId w:val="50"/>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AutoZone, Inc., </w:t>
      </w:r>
      <w:r>
        <w:rPr>
          <w:rFonts w:ascii="Arial" w:cs="Arial" w:eastAsia="Arial" w:hAnsi="Arial"/>
          <w:sz w:val="16"/>
          <w:szCs w:val="16"/>
          <w:color w:val="auto"/>
        </w:rPr>
        <w:t>a leading retailer and distributor of automotive replacement</w:t>
      </w:r>
      <w:r>
        <w:rPr>
          <w:rFonts w:ascii="Arial" w:cs="Arial" w:eastAsia="Arial" w:hAnsi="Arial"/>
          <w:sz w:val="18"/>
          <w:szCs w:val="18"/>
          <w:b w:val="1"/>
          <w:bCs w:val="1"/>
          <w:color w:val="auto"/>
        </w:rPr>
        <w:t xml:space="preserve"> </w:t>
      </w:r>
      <w:r>
        <w:rPr>
          <w:rFonts w:ascii="Arial" w:cs="Arial" w:eastAsia="Arial" w:hAnsi="Arial"/>
          <w:sz w:val="16"/>
          <w:szCs w:val="16"/>
          <w:color w:val="auto"/>
        </w:rPr>
        <w:t>parts and accessories in the United States, Mexico and Brazil</w:t>
      </w:r>
    </w:p>
    <w:p>
      <w:pPr>
        <w:spacing w:after="0" w:line="21"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6"/>
          <w:szCs w:val="16"/>
          <w:color w:val="auto"/>
        </w:rPr>
        <w:t>–   Chief Financial Officer (2020 - present)</w:t>
      </w:r>
    </w:p>
    <w:p>
      <w:pPr>
        <w:spacing w:after="0" w:line="54" w:lineRule="exact"/>
        <w:rPr>
          <w:rFonts w:ascii="Cambria" w:cs="Cambria" w:eastAsia="Cambria" w:hAnsi="Cambria"/>
          <w:sz w:val="16"/>
          <w:szCs w:val="16"/>
          <w:b w:val="1"/>
          <w:bCs w:val="1"/>
          <w:color w:val="auto"/>
        </w:rPr>
      </w:pPr>
    </w:p>
    <w:p>
      <w:pPr>
        <w:ind w:left="1020" w:right="1639" w:hanging="325"/>
        <w:spacing w:after="0" w:line="264" w:lineRule="auto"/>
        <w:tabs>
          <w:tab w:leader="none" w:pos="1011" w:val="left"/>
        </w:tabs>
        <w:numPr>
          <w:ilvl w:val="0"/>
          <w:numId w:val="50"/>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Hertz Global Holdings, Inc., </w:t>
      </w:r>
      <w:r>
        <w:rPr>
          <w:rFonts w:ascii="Arial" w:cs="Arial" w:eastAsia="Arial" w:hAnsi="Arial"/>
          <w:sz w:val="16"/>
          <w:szCs w:val="16"/>
          <w:color w:val="auto"/>
        </w:rPr>
        <w:t>a global vehicle rental, leasing and fleet</w:t>
      </w:r>
      <w:r>
        <w:rPr>
          <w:rFonts w:ascii="Arial" w:cs="Arial" w:eastAsia="Arial" w:hAnsi="Arial"/>
          <w:sz w:val="18"/>
          <w:szCs w:val="18"/>
          <w:b w:val="1"/>
          <w:bCs w:val="1"/>
          <w:color w:val="auto"/>
        </w:rPr>
        <w:t xml:space="preserve"> </w:t>
      </w:r>
      <w:r>
        <w:rPr>
          <w:rFonts w:ascii="Arial" w:cs="Arial" w:eastAsia="Arial" w:hAnsi="Arial"/>
          <w:sz w:val="16"/>
          <w:szCs w:val="16"/>
          <w:color w:val="auto"/>
        </w:rPr>
        <w:t>management business</w:t>
      </w:r>
    </w:p>
    <w:p>
      <w:pPr>
        <w:spacing w:after="0" w:line="21"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6"/>
          <w:szCs w:val="16"/>
          <w:color w:val="auto"/>
        </w:rPr>
        <w:t>–   Chief Financial Officer (2018 - 2020)</w:t>
      </w:r>
    </w:p>
    <w:p>
      <w:pPr>
        <w:spacing w:after="0" w:line="54" w:lineRule="exact"/>
        <w:rPr>
          <w:rFonts w:ascii="Cambria" w:cs="Cambria" w:eastAsia="Cambria" w:hAnsi="Cambria"/>
          <w:sz w:val="16"/>
          <w:szCs w:val="16"/>
          <w:b w:val="1"/>
          <w:bCs w:val="1"/>
          <w:color w:val="auto"/>
        </w:rPr>
      </w:pPr>
    </w:p>
    <w:p>
      <w:pPr>
        <w:ind w:left="1020" w:hanging="325"/>
        <w:spacing w:after="0"/>
        <w:tabs>
          <w:tab w:leader="none" w:pos="1020" w:val="left"/>
        </w:tabs>
        <w:numPr>
          <w:ilvl w:val="0"/>
          <w:numId w:val="50"/>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Nielsen Holdings plc, </w:t>
      </w:r>
      <w:r>
        <w:rPr>
          <w:rFonts w:ascii="Arial" w:cs="Arial" w:eastAsia="Arial" w:hAnsi="Arial"/>
          <w:sz w:val="16"/>
          <w:szCs w:val="16"/>
          <w:color w:val="auto"/>
        </w:rPr>
        <w:t>a global measurement and data analytics company</w:t>
      </w:r>
    </w:p>
    <w:p>
      <w:pPr>
        <w:spacing w:after="0" w:line="67"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Chief Financial Officer (2014 - 2018)</w:t>
      </w:r>
    </w:p>
    <w:p>
      <w:pPr>
        <w:spacing w:after="0" w:line="54" w:lineRule="exact"/>
        <w:rPr>
          <w:rFonts w:ascii="Cambria" w:cs="Cambria" w:eastAsia="Cambria" w:hAnsi="Cambria"/>
          <w:sz w:val="16"/>
          <w:szCs w:val="16"/>
          <w:b w:val="1"/>
          <w:bCs w:val="1"/>
          <w:color w:val="auto"/>
        </w:rPr>
      </w:pPr>
    </w:p>
    <w:p>
      <w:pPr>
        <w:ind w:left="1020" w:right="1439" w:hanging="325"/>
        <w:spacing w:after="0" w:line="264" w:lineRule="auto"/>
        <w:tabs>
          <w:tab w:leader="none" w:pos="1011" w:val="left"/>
        </w:tabs>
        <w:numPr>
          <w:ilvl w:val="0"/>
          <w:numId w:val="50"/>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General Electric Corporation, </w:t>
      </w:r>
      <w:r>
        <w:rPr>
          <w:rFonts w:ascii="Arial" w:cs="Arial" w:eastAsia="Arial" w:hAnsi="Arial"/>
          <w:sz w:val="16"/>
          <w:szCs w:val="16"/>
          <w:color w:val="auto"/>
        </w:rPr>
        <w:t>an American multinational company and</w:t>
      </w:r>
      <w:r>
        <w:rPr>
          <w:rFonts w:ascii="Arial" w:cs="Arial" w:eastAsia="Arial" w:hAnsi="Arial"/>
          <w:sz w:val="18"/>
          <w:szCs w:val="18"/>
          <w:b w:val="1"/>
          <w:bCs w:val="1"/>
          <w:color w:val="auto"/>
        </w:rPr>
        <w:t xml:space="preserve"> </w:t>
      </w:r>
      <w:r>
        <w:rPr>
          <w:rFonts w:ascii="Arial" w:cs="Arial" w:eastAsia="Arial" w:hAnsi="Arial"/>
          <w:sz w:val="16"/>
          <w:szCs w:val="16"/>
          <w:color w:val="auto"/>
        </w:rPr>
        <w:t>leader in the power renewable energy, aviation and healthcare industries</w:t>
      </w:r>
    </w:p>
    <w:p>
      <w:pPr>
        <w:spacing w:after="0" w:line="21" w:lineRule="exact"/>
        <w:rPr>
          <w:rFonts w:ascii="Cambria" w:cs="Cambria" w:eastAsia="Cambria" w:hAnsi="Cambria"/>
          <w:sz w:val="16"/>
          <w:szCs w:val="16"/>
          <w:b w:val="1"/>
          <w:bCs w:val="1"/>
          <w:color w:val="auto"/>
        </w:rPr>
      </w:pPr>
    </w:p>
    <w:p>
      <w:pPr>
        <w:ind w:left="1340" w:right="1379" w:hanging="324"/>
        <w:spacing w:after="0" w:line="281" w:lineRule="auto"/>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Vice President and Chief Financial Officer, General Electric Oil and Gas,</w:t>
      </w:r>
      <w:r>
        <w:rPr>
          <w:rFonts w:ascii="Arial" w:cs="Arial" w:eastAsia="Arial" w:hAnsi="Arial"/>
          <w:sz w:val="14"/>
          <w:szCs w:val="14"/>
          <w:color w:val="auto"/>
        </w:rPr>
        <w:t xml:space="preserve"> </w:t>
      </w:r>
      <w:r>
        <w:rPr>
          <w:rFonts w:ascii="Arial" w:cs="Arial" w:eastAsia="Arial" w:hAnsi="Arial"/>
          <w:sz w:val="16"/>
          <w:szCs w:val="16"/>
          <w:color w:val="auto"/>
        </w:rPr>
        <w:t>drilling and surface division (2013 - 2014)</w:t>
      </w:r>
    </w:p>
    <w:p>
      <w:pPr>
        <w:spacing w:after="0" w:line="1"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Executive, Finance, General Electric Aviation (2007 - 2013)</w:t>
      </w:r>
    </w:p>
    <w:p>
      <w:pPr>
        <w:spacing w:after="0" w:line="72"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Finance Executive, General Electric Corporate (2004 - 2007)</w:t>
      </w:r>
    </w:p>
    <w:p>
      <w:pPr>
        <w:spacing w:after="0" w:line="36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1000" w:hanging="305"/>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Certified Public Accountant</w:t>
      </w:r>
    </w:p>
    <w:p>
      <w:pPr>
        <w:spacing w:after="0" w:line="72" w:lineRule="exact"/>
        <w:rPr>
          <w:rFonts w:ascii="Arial" w:cs="Arial" w:eastAsia="Arial" w:hAnsi="Arial"/>
          <w:sz w:val="16"/>
          <w:szCs w:val="16"/>
          <w:color w:val="auto"/>
        </w:rPr>
      </w:pPr>
    </w:p>
    <w:p>
      <w:pPr>
        <w:ind w:left="1000" w:hanging="305"/>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Not-for-profit boards of directors:</w:t>
      </w:r>
    </w:p>
    <w:p>
      <w:pPr>
        <w:spacing w:after="0" w:line="59"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   Youth Villages</w:t>
      </w:r>
    </w:p>
    <w:p>
      <w:pPr>
        <w:spacing w:after="0" w:line="200" w:lineRule="exact"/>
        <w:rPr>
          <w:sz w:val="20"/>
          <w:szCs w:val="20"/>
          <w:color w:val="auto"/>
        </w:rPr>
      </w:pPr>
    </w:p>
    <w:p>
      <w:pPr>
        <w:sectPr>
          <w:pgSz w:w="11900" w:h="16838" w:orient="portrait"/>
          <w:cols w:equalWidth="0" w:num="2">
            <w:col w:w="1800" w:space="440"/>
            <w:col w:w="78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1134745</wp:posOffset>
            </wp:positionV>
            <wp:extent cx="1517015" cy="36601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17015"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40"/>
        <w:spacing w:after="0"/>
        <w:rPr>
          <w:sz w:val="20"/>
          <w:szCs w:val="20"/>
          <w:color w:val="auto"/>
        </w:rPr>
      </w:pPr>
      <w:r>
        <w:rPr>
          <w:rFonts w:ascii="Arial" w:cs="Arial" w:eastAsia="Arial" w:hAnsi="Arial"/>
          <w:sz w:val="25"/>
          <w:szCs w:val="25"/>
          <w:b w:val="1"/>
          <w:bCs w:val="1"/>
          <w:color w:val="D52B1E"/>
        </w:rPr>
        <w:t>Gabrielle Sulzberger</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Audit</w:t>
      </w:r>
    </w:p>
    <w:p>
      <w:pPr>
        <w:spacing w:after="0" w:line="63" w:lineRule="exact"/>
        <w:rPr>
          <w:sz w:val="20"/>
          <w:szCs w:val="20"/>
          <w:color w:val="auto"/>
        </w:rPr>
      </w:pPr>
    </w:p>
    <w:p>
      <w:pPr>
        <w:ind w:left="340" w:right="640" w:hanging="162"/>
        <w:spacing w:after="0" w:line="268" w:lineRule="auto"/>
        <w:rPr>
          <w:sz w:val="20"/>
          <w:szCs w:val="20"/>
          <w:color w:val="auto"/>
        </w:rPr>
      </w:pPr>
      <w:r>
        <w:rPr>
          <w:rFonts w:ascii="Arial" w:cs="Arial" w:eastAsia="Arial" w:hAnsi="Arial"/>
          <w:sz w:val="18"/>
          <w:szCs w:val="18"/>
          <w:color w:val="auto"/>
        </w:rPr>
        <w:t>– Directors and Corporate 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Boards:</w:t>
      </w:r>
    </w:p>
    <w:p>
      <w:pPr>
        <w:spacing w:after="0" w:line="63" w:lineRule="exact"/>
        <w:rPr>
          <w:sz w:val="20"/>
          <w:szCs w:val="20"/>
          <w:color w:val="auto"/>
        </w:rPr>
      </w:pPr>
    </w:p>
    <w:p>
      <w:pPr>
        <w:ind w:left="340" w:right="700" w:hanging="162"/>
        <w:spacing w:after="0" w:line="298" w:lineRule="auto"/>
        <w:rPr>
          <w:sz w:val="20"/>
          <w:szCs w:val="20"/>
          <w:color w:val="auto"/>
        </w:rPr>
      </w:pPr>
      <w:r>
        <w:rPr>
          <w:rFonts w:ascii="Arial" w:cs="Arial" w:eastAsia="Arial" w:hAnsi="Arial"/>
          <w:sz w:val="17"/>
          <w:szCs w:val="17"/>
          <w:color w:val="auto"/>
        </w:rPr>
        <w:t>– Mastercard Incorporated</w:t>
      </w:r>
    </w:p>
    <w:p>
      <w:pPr>
        <w:spacing w:after="0" w:line="1"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Warby Parker Inc.</w:t>
      </w:r>
    </w:p>
    <w:p>
      <w:pPr>
        <w:spacing w:after="0" w:line="63" w:lineRule="exact"/>
        <w:rPr>
          <w:sz w:val="20"/>
          <w:szCs w:val="20"/>
          <w:color w:val="auto"/>
        </w:rPr>
      </w:pPr>
    </w:p>
    <w:p>
      <w:pPr>
        <w:ind w:left="340" w:hanging="162"/>
        <w:spacing w:after="0" w:line="281" w:lineRule="auto"/>
        <w:rPr>
          <w:sz w:val="20"/>
          <w:szCs w:val="20"/>
          <w:color w:val="auto"/>
        </w:rPr>
      </w:pPr>
      <w:r>
        <w:rPr>
          <w:rFonts w:ascii="Arial" w:cs="Arial" w:eastAsia="Arial" w:hAnsi="Arial"/>
          <w:sz w:val="18"/>
          <w:szCs w:val="18"/>
          <w:color w:val="auto"/>
        </w:rPr>
        <w:t>– Cerevel Therapeutics Holdings, Inc.</w:t>
      </w:r>
    </w:p>
    <w:p>
      <w:pPr>
        <w:spacing w:after="0" w:line="1" w:lineRule="exact"/>
        <w:rPr>
          <w:sz w:val="20"/>
          <w:szCs w:val="20"/>
          <w:color w:val="auto"/>
        </w:rPr>
      </w:pPr>
    </w:p>
    <w:p>
      <w:pPr>
        <w:ind w:left="340" w:right="360" w:hanging="162"/>
        <w:spacing w:after="0" w:line="260" w:lineRule="auto"/>
        <w:rPr>
          <w:sz w:val="20"/>
          <w:szCs w:val="20"/>
          <w:color w:val="auto"/>
        </w:rPr>
      </w:pPr>
      <w:r>
        <w:rPr>
          <w:rFonts w:ascii="Arial" w:cs="Arial" w:eastAsia="Arial" w:hAnsi="Arial"/>
          <w:sz w:val="18"/>
          <w:szCs w:val="18"/>
          <w:color w:val="auto"/>
        </w:rPr>
        <w:t>– Brixmor Property Group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062990" cy="12515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62990" cy="1251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4063365" cy="2400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63365" cy="2400300"/>
                    </a:xfrm>
                    <a:prstGeom prst="rect">
                      <a:avLst/>
                    </a:prstGeom>
                    <a:noFill/>
                  </pic:spPr>
                </pic:pic>
              </a:graphicData>
            </a:graphic>
          </wp:anchor>
        </w:drawing>
      </w:r>
    </w:p>
    <w:p>
      <w:pPr>
        <w:spacing w:after="0" w:line="131" w:lineRule="exact"/>
        <w:rPr>
          <w:sz w:val="20"/>
          <w:szCs w:val="20"/>
          <w:color w:val="auto"/>
        </w:rPr>
      </w:pPr>
    </w:p>
    <w:p>
      <w:pPr>
        <w:ind w:right="1459"/>
        <w:spacing w:after="0" w:line="283" w:lineRule="auto"/>
        <w:rPr>
          <w:sz w:val="20"/>
          <w:szCs w:val="20"/>
          <w:color w:val="auto"/>
        </w:rPr>
      </w:pPr>
      <w:r>
        <w:rPr>
          <w:rFonts w:ascii="Arial" w:cs="Arial" w:eastAsia="Arial" w:hAnsi="Arial"/>
          <w:sz w:val="16"/>
          <w:szCs w:val="16"/>
          <w:i w:val="1"/>
          <w:iCs w:val="1"/>
          <w:color w:val="auto"/>
        </w:rPr>
        <w:t>Ms. Sulzberger brings over 30 years of experience advising public and privately held companies in consumer products, retail, financial services, and life sciences.</w:t>
      </w:r>
    </w:p>
    <w:p>
      <w:pPr>
        <w:spacing w:after="0" w:line="10" w:lineRule="exact"/>
        <w:rPr>
          <w:sz w:val="20"/>
          <w:szCs w:val="20"/>
          <w:color w:val="auto"/>
        </w:rPr>
      </w:pPr>
    </w:p>
    <w:p>
      <w:pPr>
        <w:ind w:left="640" w:right="1339" w:hanging="325"/>
        <w:spacing w:after="0" w:line="265" w:lineRule="auto"/>
        <w:tabs>
          <w:tab w:leader="none" w:pos="636"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provides global perspective from her time as chair of global ESG advisory at Teneo, supporting Lilly and the board’s commitment to continuous progress and improving our positive impact on people, the planet, and society.</w:t>
      </w:r>
    </w:p>
    <w:p>
      <w:pPr>
        <w:spacing w:after="0" w:line="24" w:lineRule="exact"/>
        <w:rPr>
          <w:rFonts w:ascii="Times New Roman" w:cs="Times New Roman" w:eastAsia="Times New Roman" w:hAnsi="Times New Roman"/>
          <w:sz w:val="14"/>
          <w:szCs w:val="14"/>
          <w:color w:val="auto"/>
        </w:rPr>
      </w:pPr>
    </w:p>
    <w:p>
      <w:pPr>
        <w:ind w:left="640" w:right="1239" w:hanging="325"/>
        <w:spacing w:after="0" w:line="275" w:lineRule="auto"/>
        <w:tabs>
          <w:tab w:leader="none" w:pos="636"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developed deep corporate governance experience through her work with corporate boards, both as a board member and as a governance committee chair.</w:t>
      </w:r>
    </w:p>
    <w:p>
      <w:pPr>
        <w:spacing w:after="0" w:line="2" w:lineRule="exact"/>
        <w:rPr>
          <w:rFonts w:ascii="Times New Roman" w:cs="Times New Roman" w:eastAsia="Times New Roman" w:hAnsi="Times New Roman"/>
          <w:sz w:val="14"/>
          <w:szCs w:val="14"/>
          <w:color w:val="auto"/>
        </w:rPr>
      </w:pPr>
    </w:p>
    <w:p>
      <w:pPr>
        <w:ind w:left="640" w:right="1299" w:hanging="325"/>
        <w:spacing w:after="0" w:line="275" w:lineRule="auto"/>
        <w:tabs>
          <w:tab w:leader="none" w:pos="629" w:val="left"/>
        </w:tabs>
        <w:numPr>
          <w:ilvl w:val="0"/>
          <w:numId w:val="55"/>
        </w:numPr>
        <w:rPr>
          <w:rFonts w:ascii="Arial" w:cs="Arial" w:eastAsia="Arial" w:hAnsi="Arial"/>
          <w:sz w:val="16"/>
          <w:szCs w:val="16"/>
          <w:color w:val="auto"/>
        </w:rPr>
      </w:pPr>
      <w:r>
        <w:rPr>
          <w:rFonts w:ascii="Arial" w:cs="Arial" w:eastAsia="Arial" w:hAnsi="Arial"/>
          <w:sz w:val="16"/>
          <w:szCs w:val="16"/>
          <w:color w:val="auto"/>
        </w:rPr>
        <w:t>Ms. Sulzberger’s career in private equity has given her valuable experience in helping companies navigate disruption and transformation, engage with shareholders, and position businesses for growth and success.</w:t>
      </w:r>
    </w:p>
    <w:p>
      <w:pPr>
        <w:spacing w:after="0" w:line="15" w:lineRule="exact"/>
        <w:rPr>
          <w:rFonts w:ascii="Arial" w:cs="Arial" w:eastAsia="Arial" w:hAnsi="Arial"/>
          <w:sz w:val="16"/>
          <w:szCs w:val="16"/>
          <w:color w:val="auto"/>
        </w:rPr>
      </w:pPr>
    </w:p>
    <w:p>
      <w:pPr>
        <w:ind w:left="640" w:right="1279" w:hanging="325"/>
        <w:spacing w:after="0" w:line="265" w:lineRule="auto"/>
        <w:tabs>
          <w:tab w:leader="none" w:pos="636" w:val="left"/>
        </w:tabs>
        <w:numPr>
          <w:ilvl w:val="0"/>
          <w:numId w:val="55"/>
        </w:numPr>
        <w:rPr>
          <w:rFonts w:ascii="Times New Roman" w:cs="Times New Roman" w:eastAsia="Times New Roman" w:hAnsi="Times New Roman"/>
          <w:sz w:val="14"/>
          <w:szCs w:val="14"/>
          <w:color w:val="auto"/>
        </w:rPr>
      </w:pPr>
      <w:r>
        <w:rPr>
          <w:rFonts w:ascii="Arial" w:cs="Arial" w:eastAsia="Arial" w:hAnsi="Arial"/>
          <w:sz w:val="16"/>
          <w:szCs w:val="16"/>
          <w:color w:val="auto"/>
        </w:rPr>
        <w:t>Ms. Sulzberger also draws on experiences from her prior service as chief financial officer of several publicly and privately held companies and audit committee chair of several public companies, providing leadership as an Audit Committee Financial Expert.</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ind w:left="640" w:hanging="325"/>
        <w:spacing w:after="0"/>
        <w:tabs>
          <w:tab w:leader="none" w:pos="640" w:val="left"/>
        </w:tabs>
        <w:numPr>
          <w:ilvl w:val="0"/>
          <w:numId w:val="56"/>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Centerbridge Partners, </w:t>
      </w:r>
      <w:r>
        <w:rPr>
          <w:rFonts w:ascii="Arial" w:cs="Arial" w:eastAsia="Arial" w:hAnsi="Arial"/>
          <w:sz w:val="16"/>
          <w:szCs w:val="16"/>
          <w:color w:val="auto"/>
        </w:rPr>
        <w:t>a multidisciplinary investment firm</w:t>
      </w:r>
    </w:p>
    <w:p>
      <w:pPr>
        <w:spacing w:after="0" w:line="67"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Senior Managing Director (2024 - present)</w:t>
      </w:r>
    </w:p>
    <w:p>
      <w:pPr>
        <w:spacing w:after="0" w:line="72"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Senior Advisor (2021 - 2024)</w:t>
      </w:r>
    </w:p>
    <w:p>
      <w:pPr>
        <w:spacing w:after="0" w:line="54"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56"/>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Teneo, </w:t>
      </w:r>
      <w:r>
        <w:rPr>
          <w:rFonts w:ascii="Arial" w:cs="Arial" w:eastAsia="Arial" w:hAnsi="Arial"/>
          <w:sz w:val="16"/>
          <w:szCs w:val="16"/>
          <w:color w:val="auto"/>
        </w:rPr>
        <w:t>a global CEO advisory firm</w:t>
      </w:r>
    </w:p>
    <w:p>
      <w:pPr>
        <w:spacing w:after="0" w:line="67"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Senior Advisor (2024 - 2026)</w:t>
      </w:r>
    </w:p>
    <w:p>
      <w:pPr>
        <w:spacing w:after="0" w:line="72"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Chair of Global ESG Advisory (2021 - 2024)</w:t>
      </w:r>
    </w:p>
    <w:p>
      <w:pPr>
        <w:spacing w:after="0" w:line="54" w:lineRule="exact"/>
        <w:rPr>
          <w:rFonts w:ascii="Cambria" w:cs="Cambria" w:eastAsia="Cambria" w:hAnsi="Cambria"/>
          <w:sz w:val="16"/>
          <w:szCs w:val="16"/>
          <w:b w:val="1"/>
          <w:bCs w:val="1"/>
          <w:color w:val="auto"/>
        </w:rPr>
      </w:pPr>
    </w:p>
    <w:p>
      <w:pPr>
        <w:ind w:left="620" w:hanging="305"/>
        <w:spacing w:after="0"/>
        <w:tabs>
          <w:tab w:leader="none" w:pos="620" w:val="left"/>
        </w:tabs>
        <w:numPr>
          <w:ilvl w:val="0"/>
          <w:numId w:val="56"/>
        </w:numPr>
        <w:rPr>
          <w:rFonts w:ascii="Arial" w:cs="Arial" w:eastAsia="Arial" w:hAnsi="Arial"/>
          <w:sz w:val="16"/>
          <w:szCs w:val="16"/>
          <w:color w:val="auto"/>
        </w:rPr>
      </w:pPr>
      <w:r>
        <w:rPr>
          <w:rFonts w:ascii="Arial" w:cs="Arial" w:eastAsia="Arial" w:hAnsi="Arial"/>
          <w:sz w:val="18"/>
          <w:szCs w:val="18"/>
          <w:b w:val="1"/>
          <w:bCs w:val="1"/>
          <w:color w:val="auto"/>
        </w:rPr>
        <w:t>Two Sigma Impact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private equity firm based in New York, New York</w:t>
      </w:r>
    </w:p>
    <w:p>
      <w:pPr>
        <w:spacing w:after="0" w:line="67"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4"/>
          <w:szCs w:val="14"/>
          <w:color w:val="auto"/>
        </w:rPr>
        <w:t xml:space="preserve">–   </w:t>
      </w:r>
      <w:r>
        <w:rPr>
          <w:rFonts w:ascii="Arial" w:cs="Arial" w:eastAsia="Arial" w:hAnsi="Arial"/>
          <w:sz w:val="16"/>
          <w:szCs w:val="16"/>
          <w:color w:val="auto"/>
        </w:rPr>
        <w:t>Senior Advisor (2021 - 2023)</w:t>
      </w:r>
    </w:p>
    <w:p>
      <w:pPr>
        <w:spacing w:after="0" w:line="54" w:lineRule="exact"/>
        <w:rPr>
          <w:rFonts w:ascii="Arial" w:cs="Arial" w:eastAsia="Arial" w:hAnsi="Arial"/>
          <w:sz w:val="16"/>
          <w:szCs w:val="16"/>
          <w:color w:val="auto"/>
        </w:rPr>
      </w:pPr>
    </w:p>
    <w:p>
      <w:pPr>
        <w:ind w:left="640" w:right="1719" w:hanging="325"/>
        <w:spacing w:after="0" w:line="264" w:lineRule="auto"/>
        <w:tabs>
          <w:tab w:leader="none" w:pos="629" w:val="left"/>
        </w:tabs>
        <w:numPr>
          <w:ilvl w:val="0"/>
          <w:numId w:val="56"/>
        </w:numPr>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Rustic Canyon/Fontis Partners L.P., </w:t>
      </w:r>
      <w:r>
        <w:rPr>
          <w:rFonts w:ascii="Arial" w:cs="Arial" w:eastAsia="Arial" w:hAnsi="Arial"/>
          <w:sz w:val="16"/>
          <w:szCs w:val="16"/>
          <w:color w:val="auto"/>
        </w:rPr>
        <w:t>a private equity firm based in</w:t>
      </w:r>
      <w:r>
        <w:rPr>
          <w:rFonts w:ascii="Arial" w:cs="Arial" w:eastAsia="Arial" w:hAnsi="Arial"/>
          <w:sz w:val="18"/>
          <w:szCs w:val="18"/>
          <w:b w:val="1"/>
          <w:bCs w:val="1"/>
          <w:color w:val="auto"/>
        </w:rPr>
        <w:t xml:space="preserve"> </w:t>
      </w:r>
      <w:r>
        <w:rPr>
          <w:rFonts w:ascii="Arial" w:cs="Arial" w:eastAsia="Arial" w:hAnsi="Arial"/>
          <w:sz w:val="16"/>
          <w:szCs w:val="16"/>
          <w:color w:val="auto"/>
        </w:rPr>
        <w:t>California</w:t>
      </w:r>
    </w:p>
    <w:p>
      <w:pPr>
        <w:spacing w:after="0" w:line="21"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6"/>
          <w:szCs w:val="16"/>
          <w:color w:val="auto"/>
        </w:rPr>
        <w:t>–   General Partner (2005 - 2018)</w:t>
      </w:r>
    </w:p>
    <w:p>
      <w:pPr>
        <w:spacing w:after="0" w:line="200" w:lineRule="exact"/>
        <w:rPr>
          <w:sz w:val="20"/>
          <w:szCs w:val="20"/>
          <w:color w:val="auto"/>
        </w:rPr>
      </w:pPr>
    </w:p>
    <w:p>
      <w:pPr>
        <w:sectPr>
          <w:pgSz w:w="11900" w:h="16838" w:orient="portrait"/>
          <w:cols w:equalWidth="0" w:num="2">
            <w:col w:w="2040" w:space="580"/>
            <w:col w:w="7499"/>
          </w:cols>
          <w:pgMar w:left="340" w:top="1440" w:right="1440" w:bottom="1440" w:gutter="0" w:footer="0" w:header="0"/>
          <w:type w:val="continuous"/>
        </w:sectPr>
      </w:pP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3240" w:hanging="305"/>
        <w:spacing w:after="0"/>
        <w:tabs>
          <w:tab w:leader="none" w:pos="3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Director or trustee of the following not-for-profit organizations:</w:t>
      </w:r>
    </w:p>
    <w:p>
      <w:pPr>
        <w:spacing w:after="0" w:line="72" w:lineRule="exact"/>
        <w:rPr>
          <w:rFonts w:ascii="Arial" w:cs="Arial" w:eastAsia="Arial" w:hAnsi="Arial"/>
          <w:sz w:val="16"/>
          <w:szCs w:val="16"/>
          <w:color w:val="auto"/>
        </w:rPr>
      </w:pPr>
    </w:p>
    <w:p>
      <w:pPr>
        <w:ind w:left="3260"/>
        <w:spacing w:after="0"/>
        <w:rPr>
          <w:rFonts w:ascii="Arial" w:cs="Arial" w:eastAsia="Arial" w:hAnsi="Arial"/>
          <w:sz w:val="16"/>
          <w:szCs w:val="16"/>
          <w:color w:val="auto"/>
        </w:rPr>
      </w:pPr>
      <w:r>
        <w:rPr>
          <w:rFonts w:ascii="Arial" w:cs="Arial" w:eastAsia="Arial" w:hAnsi="Arial"/>
          <w:sz w:val="16"/>
          <w:szCs w:val="16"/>
          <w:color w:val="auto"/>
        </w:rPr>
        <w:t>–   Metropolitan Museum of Art</w:t>
      </w:r>
    </w:p>
    <w:p>
      <w:pPr>
        <w:spacing w:after="0" w:line="59" w:lineRule="exact"/>
        <w:rPr>
          <w:rFonts w:ascii="Arial" w:cs="Arial" w:eastAsia="Arial" w:hAnsi="Arial"/>
          <w:sz w:val="16"/>
          <w:szCs w:val="16"/>
          <w:color w:val="auto"/>
        </w:rPr>
      </w:pPr>
    </w:p>
    <w:p>
      <w:pPr>
        <w:ind w:left="3260"/>
        <w:spacing w:after="0"/>
        <w:rPr>
          <w:rFonts w:ascii="Arial" w:cs="Arial" w:eastAsia="Arial" w:hAnsi="Arial"/>
          <w:sz w:val="16"/>
          <w:szCs w:val="16"/>
          <w:color w:val="auto"/>
        </w:rPr>
      </w:pPr>
      <w:r>
        <w:rPr>
          <w:rFonts w:ascii="Arial" w:cs="Arial" w:eastAsia="Arial" w:hAnsi="Arial"/>
          <w:sz w:val="16"/>
          <w:szCs w:val="16"/>
          <w:color w:val="auto"/>
        </w:rPr>
        <w:t>–   Ford Foundation</w:t>
      </w:r>
    </w:p>
    <w:p>
      <w:pPr>
        <w:spacing w:after="0" w:line="72" w:lineRule="exact"/>
        <w:rPr>
          <w:rFonts w:ascii="Arial" w:cs="Arial" w:eastAsia="Arial" w:hAnsi="Arial"/>
          <w:sz w:val="16"/>
          <w:szCs w:val="16"/>
          <w:color w:val="auto"/>
        </w:rPr>
      </w:pPr>
    </w:p>
    <w:p>
      <w:pPr>
        <w:ind w:left="3260"/>
        <w:spacing w:after="0"/>
        <w:rPr>
          <w:rFonts w:ascii="Arial" w:cs="Arial" w:eastAsia="Arial" w:hAnsi="Arial"/>
          <w:sz w:val="16"/>
          <w:szCs w:val="16"/>
          <w:color w:val="auto"/>
        </w:rPr>
      </w:pPr>
      <w:r>
        <w:rPr>
          <w:rFonts w:ascii="Arial" w:cs="Arial" w:eastAsia="Arial" w:hAnsi="Arial"/>
          <w:sz w:val="16"/>
          <w:szCs w:val="16"/>
          <w:color w:val="auto"/>
        </w:rPr>
        <w:t>–   Sesame Street Workshop</w:t>
      </w:r>
    </w:p>
    <w:p>
      <w:pPr>
        <w:spacing w:after="0" w:line="59" w:lineRule="exact"/>
        <w:rPr>
          <w:rFonts w:ascii="Arial" w:cs="Arial" w:eastAsia="Arial" w:hAnsi="Arial"/>
          <w:sz w:val="16"/>
          <w:szCs w:val="16"/>
          <w:color w:val="auto"/>
        </w:rPr>
      </w:pPr>
    </w:p>
    <w:p>
      <w:pPr>
        <w:ind w:left="3260" w:right="1359" w:hanging="325"/>
        <w:spacing w:after="0" w:line="286" w:lineRule="auto"/>
        <w:tabs>
          <w:tab w:leader="none" w:pos="3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Former director, board chair and audit committee chair, Whole Foods Market, Inc.</w:t>
      </w:r>
    </w:p>
    <w:p>
      <w:pPr>
        <w:spacing w:after="0" w:line="7" w:lineRule="exact"/>
        <w:rPr>
          <w:rFonts w:ascii="Arial" w:cs="Arial" w:eastAsia="Arial" w:hAnsi="Arial"/>
          <w:sz w:val="16"/>
          <w:szCs w:val="16"/>
          <w:color w:val="auto"/>
        </w:rPr>
      </w:pPr>
    </w:p>
    <w:p>
      <w:pPr>
        <w:ind w:left="3240" w:hanging="305"/>
        <w:spacing w:after="0"/>
        <w:tabs>
          <w:tab w:leader="none" w:pos="32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Sandra Day O’Connor Board Excellence Award</w:t>
      </w:r>
    </w:p>
    <w:p>
      <w:pPr>
        <w:sectPr>
          <w:pgSz w:w="11900" w:h="16838" w:orient="portrait"/>
          <w:cols w:equalWidth="0" w:num="1">
            <w:col w:w="1011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22" w:name="page23"/>
    <w:bookmarkEnd w:id="22"/>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Class of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212090</wp:posOffset>
            </wp:positionV>
            <wp:extent cx="1517015" cy="32918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1701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6199"/>
        <w:spacing w:after="0"/>
        <w:rPr>
          <w:sz w:val="20"/>
          <w:szCs w:val="20"/>
          <w:color w:val="auto"/>
        </w:rPr>
      </w:pPr>
      <w:r>
        <w:rPr>
          <w:rFonts w:ascii="Arial" w:cs="Arial" w:eastAsia="Arial" w:hAnsi="Arial"/>
          <w:sz w:val="25"/>
          <w:szCs w:val="25"/>
          <w:b w:val="1"/>
          <w:bCs w:val="1"/>
          <w:color w:val="D52B1E"/>
        </w:rPr>
        <w:t>Ralph Alvarez</w:t>
      </w:r>
    </w:p>
    <w:p>
      <w:pPr>
        <w:sectPr>
          <w:pgSz w:w="11900" w:h="16838" w:orient="portrait"/>
          <w:cols w:equalWidth="0" w:num="1">
            <w:col w:w="10139"/>
          </w:cols>
          <w:pgMar w:left="320" w:top="1440" w:right="1440" w:bottom="10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70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2009</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Audit</w:t>
      </w:r>
    </w:p>
    <w:p>
      <w:pPr>
        <w:spacing w:after="0" w:line="63" w:lineRule="exact"/>
        <w:rPr>
          <w:sz w:val="20"/>
          <w:szCs w:val="20"/>
          <w:color w:val="auto"/>
        </w:rPr>
      </w:pPr>
    </w:p>
    <w:p>
      <w:pPr>
        <w:ind w:left="360" w:hanging="162"/>
        <w:spacing w:after="0" w:line="298" w:lineRule="auto"/>
        <w:rPr>
          <w:sz w:val="20"/>
          <w:szCs w:val="20"/>
          <w:color w:val="auto"/>
        </w:rPr>
      </w:pPr>
      <w:r>
        <w:rPr>
          <w:rFonts w:ascii="Arial" w:cs="Arial" w:eastAsia="Arial" w:hAnsi="Arial"/>
          <w:sz w:val="17"/>
          <w:szCs w:val="17"/>
          <w:color w:val="auto"/>
        </w:rPr>
        <w:t>– Talent and Compensation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Public Boards:</w:t>
      </w:r>
    </w:p>
    <w:p>
      <w:pPr>
        <w:spacing w:after="0" w:line="63" w:lineRule="exact"/>
        <w:rPr>
          <w:sz w:val="20"/>
          <w:szCs w:val="20"/>
          <w:color w:val="auto"/>
        </w:rPr>
      </w:pPr>
    </w:p>
    <w:p>
      <w:pPr>
        <w:ind w:left="360" w:right="220" w:hanging="162"/>
        <w:spacing w:after="0" w:line="281" w:lineRule="auto"/>
        <w:rPr>
          <w:sz w:val="20"/>
          <w:szCs w:val="20"/>
          <w:color w:val="auto"/>
        </w:rPr>
      </w:pPr>
      <w:r>
        <w:rPr>
          <w:rFonts w:ascii="Arial" w:cs="Arial" w:eastAsia="Arial" w:hAnsi="Arial"/>
          <w:sz w:val="18"/>
          <w:szCs w:val="18"/>
          <w:color w:val="auto"/>
        </w:rPr>
        <w:t>– Lowe’s Companies, Inc.</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Traeger, Inc.</w:t>
      </w:r>
    </w:p>
    <w:p>
      <w:pPr>
        <w:spacing w:after="0" w:line="63" w:lineRule="exact"/>
        <w:rPr>
          <w:sz w:val="20"/>
          <w:szCs w:val="20"/>
          <w:color w:val="auto"/>
        </w:rPr>
      </w:pPr>
    </w:p>
    <w:p>
      <w:pPr>
        <w:ind w:left="360" w:right="280" w:hanging="162"/>
        <w:spacing w:after="0" w:line="287" w:lineRule="auto"/>
        <w:rPr>
          <w:sz w:val="20"/>
          <w:szCs w:val="20"/>
          <w:color w:val="auto"/>
        </w:rPr>
      </w:pPr>
      <w:r>
        <w:rPr>
          <w:rFonts w:ascii="Arial" w:cs="Arial" w:eastAsia="Arial" w:hAnsi="Arial"/>
          <w:sz w:val="17"/>
          <w:szCs w:val="17"/>
          <w:color w:val="auto"/>
        </w:rPr>
        <w:t>– First Watch Restaurant Group, Inc. (Chair)</w:t>
      </w:r>
    </w:p>
    <w:p>
      <w:pPr>
        <w:spacing w:after="0" w:line="1" w:lineRule="exact"/>
        <w:rPr>
          <w:sz w:val="20"/>
          <w:szCs w:val="20"/>
          <w:color w:val="auto"/>
        </w:rPr>
      </w:pPr>
    </w:p>
    <w:p>
      <w:pPr>
        <w:ind w:left="20" w:right="44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985520" cy="368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8552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4063365" cy="20320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63365" cy="2032000"/>
                    </a:xfrm>
                    <a:prstGeom prst="rect">
                      <a:avLst/>
                    </a:prstGeom>
                    <a:noFill/>
                  </pic:spPr>
                </pic:pic>
              </a:graphicData>
            </a:graphic>
          </wp:anchor>
        </w:drawing>
      </w:r>
    </w:p>
    <w:p>
      <w:pPr>
        <w:spacing w:after="0" w:line="131" w:lineRule="exact"/>
        <w:rPr>
          <w:sz w:val="20"/>
          <w:szCs w:val="20"/>
          <w:color w:val="auto"/>
        </w:rPr>
      </w:pPr>
    </w:p>
    <w:p>
      <w:pPr>
        <w:ind w:right="1219"/>
        <w:spacing w:after="0" w:line="264" w:lineRule="auto"/>
        <w:rPr>
          <w:sz w:val="20"/>
          <w:szCs w:val="20"/>
          <w:color w:val="auto"/>
        </w:rPr>
      </w:pPr>
      <w:r>
        <w:rPr>
          <w:rFonts w:ascii="Arial" w:cs="Arial" w:eastAsia="Arial" w:hAnsi="Arial"/>
          <w:sz w:val="16"/>
          <w:szCs w:val="16"/>
          <w:i w:val="1"/>
          <w:iCs w:val="1"/>
          <w:color w:val="auto"/>
        </w:rPr>
        <w:t>Mr. Alvarez brings to the board more than 40 years of experience in consumer marketing, global operations, international business, and strategic planning, as well as extensive executive leadership experience in managing some of the world’s best-known brands.</w:t>
      </w:r>
    </w:p>
    <w:p>
      <w:pPr>
        <w:spacing w:after="0" w:line="12" w:lineRule="exact"/>
        <w:rPr>
          <w:sz w:val="20"/>
          <w:szCs w:val="20"/>
          <w:color w:val="auto"/>
        </w:rPr>
      </w:pPr>
    </w:p>
    <w:p>
      <w:pPr>
        <w:ind w:left="640" w:right="1199" w:hanging="325"/>
        <w:spacing w:after="0" w:line="275" w:lineRule="auto"/>
        <w:tabs>
          <w:tab w:leader="none" w:pos="636" w:val="left"/>
        </w:tabs>
        <w:numPr>
          <w:ilvl w:val="0"/>
          <w:numId w:val="61"/>
        </w:numPr>
        <w:rPr>
          <w:rFonts w:ascii="Times New Roman" w:cs="Times New Roman" w:eastAsia="Times New Roman" w:hAnsi="Times New Roman"/>
          <w:sz w:val="14"/>
          <w:szCs w:val="14"/>
          <w:color w:val="auto"/>
        </w:rPr>
      </w:pPr>
      <w:r>
        <w:rPr>
          <w:rFonts w:ascii="Arial" w:cs="Arial" w:eastAsia="Arial" w:hAnsi="Arial"/>
          <w:sz w:val="16"/>
          <w:szCs w:val="16"/>
          <w:color w:val="auto"/>
        </w:rPr>
        <w:t>As a senior executive of a leading global foodservice retailer and other global restaurant businesses, Mr. Alvarez developed in-depth knowledge of consumer marketing, talent and brand management and strategic planning.</w:t>
      </w:r>
    </w:p>
    <w:p>
      <w:pPr>
        <w:spacing w:after="0" w:line="15" w:lineRule="exact"/>
        <w:rPr>
          <w:rFonts w:ascii="Times New Roman" w:cs="Times New Roman" w:eastAsia="Times New Roman" w:hAnsi="Times New Roman"/>
          <w:sz w:val="14"/>
          <w:szCs w:val="14"/>
          <w:color w:val="auto"/>
        </w:rPr>
      </w:pPr>
    </w:p>
    <w:p>
      <w:pPr>
        <w:ind w:left="640" w:right="1539" w:hanging="325"/>
        <w:spacing w:after="0" w:line="290" w:lineRule="auto"/>
        <w:tabs>
          <w:tab w:leader="none" w:pos="636" w:val="left"/>
        </w:tabs>
        <w:numPr>
          <w:ilvl w:val="0"/>
          <w:numId w:val="61"/>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also contributes an understanding of international markets and operations, including a special focus on Japan and emerging markets.</w:t>
      </w:r>
    </w:p>
    <w:p>
      <w:pPr>
        <w:ind w:left="640" w:right="1339" w:hanging="325"/>
        <w:spacing w:after="0" w:line="286" w:lineRule="auto"/>
        <w:tabs>
          <w:tab w:leader="none" w:pos="629"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Alvarez is a leader of people and brings to the board a strong perspective on how to motivate, develop, and engage diverse talent.</w:t>
      </w:r>
    </w:p>
    <w:p>
      <w:pPr>
        <w:spacing w:after="0" w:line="7" w:lineRule="exact"/>
        <w:rPr>
          <w:rFonts w:ascii="Arial" w:cs="Arial" w:eastAsia="Arial" w:hAnsi="Arial"/>
          <w:sz w:val="16"/>
          <w:szCs w:val="16"/>
          <w:color w:val="auto"/>
        </w:rPr>
      </w:pPr>
    </w:p>
    <w:p>
      <w:pPr>
        <w:ind w:left="640" w:right="1179" w:hanging="325"/>
        <w:spacing w:after="0" w:line="304" w:lineRule="auto"/>
        <w:tabs>
          <w:tab w:leader="none" w:pos="636" w:val="left"/>
        </w:tabs>
        <w:numPr>
          <w:ilvl w:val="0"/>
          <w:numId w:val="61"/>
        </w:numPr>
        <w:rPr>
          <w:rFonts w:ascii="Times New Roman" w:cs="Times New Roman" w:eastAsia="Times New Roman" w:hAnsi="Times New Roman"/>
          <w:sz w:val="14"/>
          <w:szCs w:val="14"/>
          <w:color w:val="auto"/>
        </w:rPr>
      </w:pPr>
      <w:r>
        <w:rPr>
          <w:rFonts w:ascii="Arial" w:cs="Arial" w:eastAsia="Arial" w:hAnsi="Arial"/>
          <w:sz w:val="16"/>
          <w:szCs w:val="16"/>
          <w:color w:val="auto"/>
        </w:rPr>
        <w:t>Mr. Alvarez is an Audit Committee Financial Expert based on his public company experience, including his prior service on the Lowe’s audit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ind w:left="640" w:hanging="325"/>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Advent International Corporation, </w:t>
      </w:r>
      <w:r>
        <w:rPr>
          <w:rFonts w:ascii="Arial" w:cs="Arial" w:eastAsia="Arial" w:hAnsi="Arial"/>
          <w:sz w:val="16"/>
          <w:szCs w:val="16"/>
          <w:color w:val="auto"/>
        </w:rPr>
        <w:t>a leading global private equity firm</w:t>
      </w:r>
    </w:p>
    <w:p>
      <w:pPr>
        <w:spacing w:after="0" w:line="6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4"/>
          <w:szCs w:val="14"/>
          <w:color w:val="auto"/>
        </w:rPr>
        <w:t xml:space="preserve">–   </w:t>
      </w:r>
      <w:r>
        <w:rPr>
          <w:rFonts w:ascii="Arial" w:cs="Arial" w:eastAsia="Arial" w:hAnsi="Arial"/>
          <w:sz w:val="16"/>
          <w:szCs w:val="16"/>
          <w:color w:val="auto"/>
        </w:rPr>
        <w:t>Operating Partner (2017 - present)</w:t>
      </w:r>
    </w:p>
    <w:p>
      <w:pPr>
        <w:spacing w:after="0" w:line="54" w:lineRule="exact"/>
        <w:rPr>
          <w:rFonts w:ascii="Arial" w:cs="Arial" w:eastAsia="Arial" w:hAnsi="Arial"/>
          <w:sz w:val="18"/>
          <w:szCs w:val="18"/>
          <w:color w:val="auto"/>
        </w:rPr>
      </w:pPr>
    </w:p>
    <w:p>
      <w:pPr>
        <w:ind w:left="640" w:hanging="325"/>
        <w:spacing w:after="0"/>
        <w:tabs>
          <w:tab w:leader="none" w:pos="640" w:val="left"/>
        </w:tabs>
        <w:numPr>
          <w:ilvl w:val="0"/>
          <w:numId w:val="62"/>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Skylark Co., Ltd., </w:t>
      </w:r>
      <w:r>
        <w:rPr>
          <w:rFonts w:ascii="Arial" w:cs="Arial" w:eastAsia="Arial" w:hAnsi="Arial"/>
          <w:sz w:val="16"/>
          <w:szCs w:val="16"/>
          <w:color w:val="auto"/>
        </w:rPr>
        <w:t>a leading restaurant operator in Japan</w:t>
      </w:r>
    </w:p>
    <w:p>
      <w:pPr>
        <w:spacing w:after="0" w:line="67"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Chairman of the board (2013 - 2018)</w:t>
      </w:r>
    </w:p>
    <w:p>
      <w:pPr>
        <w:spacing w:after="0" w:line="67"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62"/>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McDonald’s Corporation, </w:t>
      </w:r>
      <w:r>
        <w:rPr>
          <w:rFonts w:ascii="Arial" w:cs="Arial" w:eastAsia="Arial" w:hAnsi="Arial"/>
          <w:sz w:val="16"/>
          <w:szCs w:val="16"/>
          <w:color w:val="auto"/>
        </w:rPr>
        <w:t>a leading food service retailer</w:t>
      </w:r>
    </w:p>
    <w:p>
      <w:pPr>
        <w:spacing w:after="0" w:line="67"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President and Chief Operating Officer (2006 - 2009)</w:t>
      </w:r>
    </w:p>
    <w:p>
      <w:pPr>
        <w:spacing w:after="0" w:line="200" w:lineRule="exact"/>
        <w:rPr>
          <w:sz w:val="20"/>
          <w:szCs w:val="20"/>
          <w:color w:val="auto"/>
        </w:rPr>
      </w:pPr>
    </w:p>
    <w:p>
      <w:pPr>
        <w:sectPr>
          <w:pgSz w:w="11900" w:h="16838" w:orient="portrait"/>
          <w:cols w:equalWidth="0" w:num="2">
            <w:col w:w="2120" w:space="520"/>
            <w:col w:w="7499"/>
          </w:cols>
          <w:pgMar w:left="320" w:top="1440" w:right="1440" w:bottom="1067" w:gutter="0" w:footer="0" w:header="0"/>
          <w:type w:val="continuous"/>
        </w:sectPr>
      </w:pPr>
    </w:p>
    <w:p>
      <w:pPr>
        <w:spacing w:after="0" w:line="17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OTHER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1062990" cy="3771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62990" cy="377190"/>
                    </a:xfrm>
                    <a:prstGeom prst="rect">
                      <a:avLst/>
                    </a:prstGeom>
                    <a:noFill/>
                  </pic:spPr>
                </pic:pic>
              </a:graphicData>
            </a:graphic>
          </wp:anchor>
        </w:drawing>
      </w:r>
    </w:p>
    <w:p>
      <w:pPr>
        <w:spacing w:after="0" w:line="75" w:lineRule="exact"/>
        <w:rPr>
          <w:sz w:val="20"/>
          <w:szCs w:val="20"/>
          <w:color w:val="auto"/>
        </w:rPr>
      </w:pPr>
    </w:p>
    <w:p>
      <w:pPr>
        <w:ind w:left="3260" w:hanging="305"/>
        <w:spacing w:after="0"/>
        <w:tabs>
          <w:tab w:leader="none" w:pos="3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Member, University of Miami President’s Council</w:t>
      </w:r>
    </w:p>
    <w:p>
      <w:pPr>
        <w:spacing w:after="0" w:line="59" w:lineRule="exact"/>
        <w:rPr>
          <w:rFonts w:ascii="Arial" w:cs="Arial" w:eastAsia="Arial" w:hAnsi="Arial"/>
          <w:sz w:val="16"/>
          <w:szCs w:val="16"/>
          <w:color w:val="auto"/>
        </w:rPr>
      </w:pPr>
    </w:p>
    <w:p>
      <w:pPr>
        <w:ind w:left="3260" w:hanging="305"/>
        <w:spacing w:after="0"/>
        <w:tabs>
          <w:tab w:leader="none" w:pos="3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Director, ZUP Holdings GP Corp.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1062990" cy="857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62990" cy="857250"/>
                    </a:xfrm>
                    <a:prstGeom prst="rect">
                      <a:avLst/>
                    </a:prstGeom>
                    <a:noFill/>
                  </pic:spPr>
                </pic:pic>
              </a:graphicData>
            </a:graphic>
          </wp:anchor>
        </w:drawing>
      </w:r>
    </w:p>
    <w:p>
      <w:pPr>
        <w:sectPr>
          <w:pgSz w:w="11900" w:h="16838" w:orient="portrait"/>
          <w:cols w:equalWidth="0" w:num="1">
            <w:col w:w="10139"/>
          </w:cols>
          <w:pgMar w:left="320" w:top="1440" w:right="1440" w:bottom="106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067"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911860</wp:posOffset>
            </wp:positionV>
            <wp:extent cx="1543050" cy="4465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43050"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240"/>
        <w:spacing w:after="0"/>
        <w:rPr>
          <w:sz w:val="20"/>
          <w:szCs w:val="20"/>
          <w:color w:val="auto"/>
        </w:rPr>
      </w:pPr>
      <w:r>
        <w:rPr>
          <w:rFonts w:ascii="Arial" w:cs="Arial" w:eastAsia="Arial" w:hAnsi="Arial"/>
          <w:sz w:val="25"/>
          <w:szCs w:val="25"/>
          <w:b w:val="1"/>
          <w:bCs w:val="1"/>
          <w:color w:val="D52B1E"/>
        </w:rPr>
        <w:t>Mary Lynne Hedley, Ph.D.</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340" w:right="700" w:hanging="162"/>
        <w:spacing w:after="0" w:line="298" w:lineRule="auto"/>
        <w:rPr>
          <w:sz w:val="20"/>
          <w:szCs w:val="20"/>
          <w:color w:val="auto"/>
        </w:rPr>
      </w:pPr>
      <w:r>
        <w:rPr>
          <w:rFonts w:ascii="Arial" w:cs="Arial" w:eastAsia="Arial" w:hAnsi="Arial"/>
          <w:sz w:val="17"/>
          <w:szCs w:val="17"/>
          <w:color w:val="auto"/>
        </w:rPr>
        <w:t>– Ethics and Compliance</w:t>
      </w:r>
    </w:p>
    <w:p>
      <w:pPr>
        <w:ind w:left="340" w:right="660" w:hanging="162"/>
        <w:spacing w:after="0" w:line="281" w:lineRule="auto"/>
        <w:rPr>
          <w:sz w:val="20"/>
          <w:szCs w:val="20"/>
          <w:color w:val="auto"/>
        </w:rPr>
      </w:pPr>
      <w:r>
        <w:rPr>
          <w:rFonts w:ascii="Arial" w:cs="Arial" w:eastAsia="Arial" w:hAnsi="Arial"/>
          <w:sz w:val="18"/>
          <w:szCs w:val="18"/>
          <w:color w:val="auto"/>
        </w:rPr>
        <w:t>– Science and Technology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VEEVA Systems Inc.</w:t>
      </w:r>
    </w:p>
    <w:p>
      <w:pPr>
        <w:spacing w:after="0" w:line="74" w:lineRule="exact"/>
        <w:rPr>
          <w:sz w:val="20"/>
          <w:szCs w:val="20"/>
          <w:color w:val="auto"/>
        </w:rPr>
      </w:pPr>
    </w:p>
    <w:p>
      <w:pPr>
        <w:ind w:left="340" w:right="40" w:hanging="162"/>
        <w:spacing w:after="0" w:line="298" w:lineRule="auto"/>
        <w:rPr>
          <w:sz w:val="20"/>
          <w:szCs w:val="20"/>
          <w:color w:val="auto"/>
        </w:rPr>
      </w:pPr>
      <w:r>
        <w:rPr>
          <w:rFonts w:ascii="Arial" w:cs="Arial" w:eastAsia="Arial" w:hAnsi="Arial"/>
          <w:sz w:val="17"/>
          <w:szCs w:val="17"/>
          <w:color w:val="auto"/>
        </w:rPr>
        <w:t>– Centessa Pharmaceuticals plc</w:t>
      </w:r>
    </w:p>
    <w:p>
      <w:pPr>
        <w:spacing w:after="0" w:line="1"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454660</wp:posOffset>
            </wp:positionV>
            <wp:extent cx="1062990" cy="2168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62990" cy="2168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4063365" cy="3008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63365" cy="3008630"/>
                    </a:xfrm>
                    <a:prstGeom prst="rect">
                      <a:avLst/>
                    </a:prstGeom>
                    <a:noFill/>
                  </pic:spPr>
                </pic:pic>
              </a:graphicData>
            </a:graphic>
          </wp:anchor>
        </w:drawing>
      </w:r>
    </w:p>
    <w:p>
      <w:pPr>
        <w:spacing w:after="0" w:line="131" w:lineRule="exact"/>
        <w:rPr>
          <w:sz w:val="20"/>
          <w:szCs w:val="20"/>
          <w:color w:val="auto"/>
        </w:rPr>
      </w:pPr>
    </w:p>
    <w:p>
      <w:pPr>
        <w:ind w:right="1219"/>
        <w:spacing w:after="0" w:line="274" w:lineRule="auto"/>
        <w:rPr>
          <w:sz w:val="20"/>
          <w:szCs w:val="20"/>
          <w:color w:val="auto"/>
        </w:rPr>
      </w:pPr>
      <w:r>
        <w:rPr>
          <w:rFonts w:ascii="Arial" w:cs="Arial" w:eastAsia="Arial" w:hAnsi="Arial"/>
          <w:sz w:val="16"/>
          <w:szCs w:val="16"/>
          <w:i w:val="1"/>
          <w:iCs w:val="1"/>
          <w:color w:val="auto"/>
        </w:rPr>
        <w:t>Dr. Hedley’s career has uniquely combined discovery, translational and clinical research and commercialization, bringing to the board extensive business leadership and scientific investigation experience in the biotechnology industry.</w:t>
      </w:r>
    </w:p>
    <w:p>
      <w:pPr>
        <w:spacing w:after="0" w:line="2" w:lineRule="exact"/>
        <w:rPr>
          <w:sz w:val="20"/>
          <w:szCs w:val="20"/>
          <w:color w:val="auto"/>
        </w:rPr>
      </w:pPr>
    </w:p>
    <w:p>
      <w:pPr>
        <w:ind w:left="640" w:right="1199" w:hanging="325"/>
        <w:spacing w:after="0" w:line="262" w:lineRule="auto"/>
        <w:tabs>
          <w:tab w:leader="none" w:pos="629" w:val="left"/>
        </w:tabs>
        <w:numPr>
          <w:ilvl w:val="0"/>
          <w:numId w:val="67"/>
        </w:numPr>
        <w:rPr>
          <w:rFonts w:ascii="Arial" w:cs="Arial" w:eastAsia="Arial" w:hAnsi="Arial"/>
          <w:sz w:val="16"/>
          <w:szCs w:val="16"/>
          <w:color w:val="auto"/>
        </w:rPr>
      </w:pPr>
      <w:r>
        <w:rPr>
          <w:rFonts w:ascii="Arial" w:cs="Arial" w:eastAsia="Arial" w:hAnsi="Arial"/>
          <w:sz w:val="16"/>
          <w:szCs w:val="16"/>
          <w:color w:val="auto"/>
        </w:rPr>
        <w:t>Having served as co-founder, chief executive officer, president, chief scientific officer or chief operating officer of several biotechnology companies throughout her career, Dr. Hedley has experience leading and overseeing the complex operations and risks of these businesses, including building C-suite teams, raising capital, and managing research and development, commercial development, manufacturing and supply chains, quality, regulatory affairs, and corporate strategy.</w:t>
      </w:r>
    </w:p>
    <w:p>
      <w:pPr>
        <w:spacing w:after="0" w:line="11" w:lineRule="exact"/>
        <w:rPr>
          <w:rFonts w:ascii="Arial" w:cs="Arial" w:eastAsia="Arial" w:hAnsi="Arial"/>
          <w:sz w:val="16"/>
          <w:szCs w:val="16"/>
          <w:color w:val="auto"/>
        </w:rPr>
      </w:pPr>
    </w:p>
    <w:p>
      <w:pPr>
        <w:ind w:left="640" w:right="1679" w:hanging="325"/>
        <w:spacing w:after="0" w:line="275" w:lineRule="auto"/>
        <w:tabs>
          <w:tab w:leader="none" w:pos="629" w:val="left"/>
        </w:tabs>
        <w:numPr>
          <w:ilvl w:val="0"/>
          <w:numId w:val="67"/>
        </w:numPr>
        <w:rPr>
          <w:rFonts w:ascii="Arial" w:cs="Arial" w:eastAsia="Arial" w:hAnsi="Arial"/>
          <w:sz w:val="16"/>
          <w:szCs w:val="16"/>
          <w:color w:val="auto"/>
        </w:rPr>
      </w:pPr>
      <w:r>
        <w:rPr>
          <w:rFonts w:ascii="Arial" w:cs="Arial" w:eastAsia="Arial" w:hAnsi="Arial"/>
          <w:sz w:val="16"/>
          <w:szCs w:val="16"/>
          <w:color w:val="auto"/>
        </w:rPr>
        <w:t>Dr. Hedley has extensive experience navigating complex FDA regulatory pathways and achieving successful drug approvals in highly regulated environments.</w:t>
      </w:r>
    </w:p>
    <w:p>
      <w:pPr>
        <w:spacing w:after="0" w:line="2" w:lineRule="exact"/>
        <w:rPr>
          <w:rFonts w:ascii="Arial" w:cs="Arial" w:eastAsia="Arial" w:hAnsi="Arial"/>
          <w:sz w:val="16"/>
          <w:szCs w:val="16"/>
          <w:color w:val="auto"/>
        </w:rPr>
      </w:pPr>
    </w:p>
    <w:p>
      <w:pPr>
        <w:ind w:left="640" w:right="1459" w:hanging="325"/>
        <w:spacing w:after="0" w:line="265" w:lineRule="auto"/>
        <w:tabs>
          <w:tab w:leader="none" w:pos="629" w:val="left"/>
        </w:tabs>
        <w:numPr>
          <w:ilvl w:val="0"/>
          <w:numId w:val="67"/>
        </w:numPr>
        <w:rPr>
          <w:rFonts w:ascii="Arial" w:cs="Arial" w:eastAsia="Arial" w:hAnsi="Arial"/>
          <w:sz w:val="16"/>
          <w:szCs w:val="16"/>
          <w:color w:val="auto"/>
        </w:rPr>
      </w:pPr>
      <w:r>
        <w:rPr>
          <w:rFonts w:ascii="Arial" w:cs="Arial" w:eastAsia="Arial" w:hAnsi="Arial"/>
          <w:sz w:val="16"/>
          <w:szCs w:val="16"/>
          <w:color w:val="auto"/>
        </w:rPr>
        <w:t>Dr. Hedley has substantial experience with developing and commercializing pharmaceutical products, including a deep understanding of regulatory approval, compliance, quality systems, and the requirements for launching therapeutics across multiple jurisdictions.</w:t>
      </w:r>
    </w:p>
    <w:p>
      <w:pPr>
        <w:spacing w:after="0" w:line="24" w:lineRule="exact"/>
        <w:rPr>
          <w:rFonts w:ascii="Arial" w:cs="Arial" w:eastAsia="Arial" w:hAnsi="Arial"/>
          <w:sz w:val="16"/>
          <w:szCs w:val="16"/>
          <w:color w:val="auto"/>
        </w:rPr>
      </w:pPr>
    </w:p>
    <w:p>
      <w:pPr>
        <w:ind w:left="640" w:right="1199" w:hanging="325"/>
        <w:spacing w:after="0" w:line="265" w:lineRule="auto"/>
        <w:tabs>
          <w:tab w:leader="none" w:pos="629" w:val="left"/>
        </w:tabs>
        <w:numPr>
          <w:ilvl w:val="0"/>
          <w:numId w:val="67"/>
        </w:numPr>
        <w:rPr>
          <w:rFonts w:ascii="Arial" w:cs="Arial" w:eastAsia="Arial" w:hAnsi="Arial"/>
          <w:sz w:val="16"/>
          <w:szCs w:val="16"/>
          <w:color w:val="auto"/>
        </w:rPr>
      </w:pPr>
      <w:r>
        <w:rPr>
          <w:rFonts w:ascii="Arial" w:cs="Arial" w:eastAsia="Arial" w:hAnsi="Arial"/>
          <w:sz w:val="16"/>
          <w:szCs w:val="16"/>
          <w:color w:val="auto"/>
        </w:rPr>
        <w:t>Dr. Hedley’s service on the boards of directors and board committees of other public companies and not-for-profit entities, including her service on an audit committee and as chair of a nominating and governance committee, provides a multifaceted governance perspective.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ind w:left="640" w:hanging="325"/>
        <w:spacing w:after="0"/>
        <w:tabs>
          <w:tab w:leader="none" w:pos="640" w:val="left"/>
        </w:tabs>
        <w:numPr>
          <w:ilvl w:val="0"/>
          <w:numId w:val="68"/>
        </w:numPr>
        <w:rPr>
          <w:rFonts w:ascii="Cambria" w:cs="Cambria" w:eastAsia="Cambria" w:hAnsi="Cambria"/>
          <w:sz w:val="16"/>
          <w:szCs w:val="16"/>
          <w:b w:val="1"/>
          <w:bCs w:val="1"/>
          <w:color w:val="auto"/>
        </w:rPr>
      </w:pPr>
      <w:r>
        <w:rPr>
          <w:rFonts w:ascii="Arial" w:cs="Arial" w:eastAsia="Arial" w:hAnsi="Arial"/>
          <w:sz w:val="18"/>
          <w:szCs w:val="18"/>
          <w:b w:val="1"/>
          <w:bCs w:val="1"/>
          <w:color w:val="auto"/>
        </w:rPr>
        <w:t>Broad Institute of Harvard and MIT</w:t>
      </w:r>
    </w:p>
    <w:p>
      <w:pPr>
        <w:spacing w:after="0" w:line="67"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Senior Scientific Fellow (2021 - present)</w:t>
      </w:r>
    </w:p>
    <w:p>
      <w:pPr>
        <w:spacing w:after="0" w:line="67"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68"/>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Third Rock Ventures, </w:t>
      </w:r>
      <w:r>
        <w:rPr>
          <w:rFonts w:ascii="Arial" w:cs="Arial" w:eastAsia="Arial" w:hAnsi="Arial"/>
          <w:sz w:val="16"/>
          <w:szCs w:val="16"/>
          <w:color w:val="auto"/>
        </w:rPr>
        <w:t>a leading healthcare venture capital firm</w:t>
      </w:r>
    </w:p>
    <w:p>
      <w:pPr>
        <w:spacing w:after="0" w:line="67"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Venture Partner (2023 - present)</w:t>
      </w:r>
    </w:p>
    <w:p>
      <w:pPr>
        <w:spacing w:after="0" w:line="54" w:lineRule="exact"/>
        <w:rPr>
          <w:rFonts w:ascii="Cambria" w:cs="Cambria" w:eastAsia="Cambria" w:hAnsi="Cambria"/>
          <w:sz w:val="16"/>
          <w:szCs w:val="16"/>
          <w:b w:val="1"/>
          <w:bCs w:val="1"/>
          <w:color w:val="auto"/>
        </w:rPr>
      </w:pPr>
    </w:p>
    <w:p>
      <w:pPr>
        <w:ind w:left="620" w:hanging="305"/>
        <w:spacing w:after="0"/>
        <w:tabs>
          <w:tab w:leader="none" w:pos="620" w:val="left"/>
        </w:tabs>
        <w:numPr>
          <w:ilvl w:val="0"/>
          <w:numId w:val="68"/>
        </w:numPr>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GlaxoSmithKline plc, </w:t>
      </w:r>
      <w:r>
        <w:rPr>
          <w:rFonts w:ascii="Arial" w:cs="Arial" w:eastAsia="Arial" w:hAnsi="Arial"/>
          <w:sz w:val="16"/>
          <w:szCs w:val="16"/>
          <w:color w:val="auto"/>
        </w:rPr>
        <w:t>a leading global pharmaceutical company</w:t>
      </w:r>
    </w:p>
    <w:p>
      <w:pPr>
        <w:spacing w:after="0" w:line="67" w:lineRule="exact"/>
        <w:rPr>
          <w:rFonts w:ascii="Arial" w:cs="Arial" w:eastAsia="Arial" w:hAnsi="Arial"/>
          <w:sz w:val="16"/>
          <w:szCs w:val="16"/>
          <w:b w:val="1"/>
          <w:bCs w:val="1"/>
          <w:color w:val="auto"/>
        </w:rPr>
      </w:pPr>
    </w:p>
    <w:p>
      <w:pPr>
        <w:ind w:left="960" w:right="1559" w:hanging="324"/>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 Member of executive research and development team; led integration efforts for TESARO acquisition (2019 - 2020)</w:t>
      </w:r>
    </w:p>
    <w:p>
      <w:pPr>
        <w:ind w:left="640" w:right="1159" w:hanging="325"/>
        <w:spacing w:after="0" w:line="256" w:lineRule="auto"/>
        <w:tabs>
          <w:tab w:leader="none" w:pos="631" w:val="left"/>
        </w:tabs>
        <w:numPr>
          <w:ilvl w:val="0"/>
          <w:numId w:val="68"/>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TESARO, Inc., </w:t>
      </w:r>
      <w:r>
        <w:rPr>
          <w:rFonts w:ascii="Arial" w:cs="Arial" w:eastAsia="Arial" w:hAnsi="Arial"/>
          <w:sz w:val="16"/>
          <w:szCs w:val="16"/>
          <w:color w:val="auto"/>
        </w:rPr>
        <w:t>a company focused on the development and global</w:t>
      </w:r>
      <w:r>
        <w:rPr>
          <w:rFonts w:ascii="Arial" w:cs="Arial" w:eastAsia="Arial" w:hAnsi="Arial"/>
          <w:sz w:val="18"/>
          <w:szCs w:val="18"/>
          <w:b w:val="1"/>
          <w:bCs w:val="1"/>
          <w:color w:val="auto"/>
        </w:rPr>
        <w:t xml:space="preserve"> </w:t>
      </w:r>
      <w:r>
        <w:rPr>
          <w:rFonts w:ascii="Arial" w:cs="Arial" w:eastAsia="Arial" w:hAnsi="Arial"/>
          <w:sz w:val="16"/>
          <w:szCs w:val="16"/>
          <w:color w:val="auto"/>
        </w:rPr>
        <w:t>commercialization of oncology therapeutics (acquired by GlaxoSmithKline plc in 2019)</w:t>
      </w:r>
    </w:p>
    <w:p>
      <w:pPr>
        <w:spacing w:after="0" w:line="28"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President and Chief Operating Officer (2010 - 2019)</w:t>
      </w:r>
    </w:p>
    <w:p>
      <w:pPr>
        <w:spacing w:after="0" w:line="54" w:lineRule="exact"/>
        <w:rPr>
          <w:rFonts w:ascii="Cambria" w:cs="Cambria" w:eastAsia="Cambria" w:hAnsi="Cambria"/>
          <w:sz w:val="16"/>
          <w:szCs w:val="16"/>
          <w:b w:val="1"/>
          <w:bCs w:val="1"/>
          <w:color w:val="auto"/>
        </w:rPr>
      </w:pPr>
    </w:p>
    <w:p>
      <w:pPr>
        <w:ind w:left="640" w:right="1259" w:hanging="325"/>
        <w:spacing w:after="0" w:line="264" w:lineRule="auto"/>
        <w:tabs>
          <w:tab w:leader="none" w:pos="631" w:val="left"/>
        </w:tabs>
        <w:numPr>
          <w:ilvl w:val="0"/>
          <w:numId w:val="68"/>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Abraxis BioScience, Inc., </w:t>
      </w:r>
      <w:r>
        <w:rPr>
          <w:rFonts w:ascii="Arial" w:cs="Arial" w:eastAsia="Arial" w:hAnsi="Arial"/>
          <w:sz w:val="16"/>
          <w:szCs w:val="16"/>
          <w:color w:val="auto"/>
        </w:rPr>
        <w:t>a biotechnology company (acquired by Celgene</w:t>
      </w:r>
      <w:r>
        <w:rPr>
          <w:rFonts w:ascii="Arial" w:cs="Arial" w:eastAsia="Arial" w:hAnsi="Arial"/>
          <w:sz w:val="18"/>
          <w:szCs w:val="18"/>
          <w:b w:val="1"/>
          <w:bCs w:val="1"/>
          <w:color w:val="auto"/>
        </w:rPr>
        <w:t xml:space="preserve"> </w:t>
      </w:r>
      <w:r>
        <w:rPr>
          <w:rFonts w:ascii="Arial" w:cs="Arial" w:eastAsia="Arial" w:hAnsi="Arial"/>
          <w:sz w:val="16"/>
          <w:szCs w:val="16"/>
          <w:color w:val="auto"/>
        </w:rPr>
        <w:t>Corporation in 2010)</w:t>
      </w:r>
    </w:p>
    <w:p>
      <w:pPr>
        <w:spacing w:after="0" w:line="8"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Executive Vice President and Chief Science Officer (2009 - 2010)</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HIGHLIGHTS</w:t>
      </w:r>
    </w:p>
    <w:p>
      <w:pPr>
        <w:spacing w:after="0" w:line="68" w:lineRule="exact"/>
        <w:rPr>
          <w:sz w:val="20"/>
          <w:szCs w:val="20"/>
          <w:color w:val="auto"/>
        </w:rPr>
      </w:pPr>
    </w:p>
    <w:p>
      <w:pPr>
        <w:jc w:val="both"/>
        <w:ind w:left="640" w:right="1459" w:hanging="325"/>
        <w:spacing w:after="0" w:line="275" w:lineRule="auto"/>
        <w:tabs>
          <w:tab w:leader="none" w:pos="6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American Association of Immunologists; American Association for Advancement of Science; American Society of Clinical Oncology; American Association of Cancer Research</w:t>
      </w:r>
    </w:p>
    <w:p>
      <w:pPr>
        <w:spacing w:after="0" w:line="2" w:lineRule="exact"/>
        <w:rPr>
          <w:rFonts w:ascii="Arial" w:cs="Arial" w:eastAsia="Arial" w:hAnsi="Arial"/>
          <w:sz w:val="16"/>
          <w:szCs w:val="16"/>
          <w:color w:val="auto"/>
        </w:rPr>
      </w:pPr>
    </w:p>
    <w:p>
      <w:pPr>
        <w:ind w:left="620" w:hanging="305"/>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Advisory Board, Boston Museum of Science and chair, Life Science Committee</w:t>
      </w:r>
    </w:p>
    <w:p>
      <w:pPr>
        <w:spacing w:after="0" w:line="72" w:lineRule="exact"/>
        <w:rPr>
          <w:rFonts w:ascii="Arial" w:cs="Arial" w:eastAsia="Arial" w:hAnsi="Arial"/>
          <w:sz w:val="16"/>
          <w:szCs w:val="16"/>
          <w:color w:val="auto"/>
        </w:rPr>
      </w:pPr>
    </w:p>
    <w:p>
      <w:pPr>
        <w:ind w:left="620" w:hanging="305"/>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Director, Azalea Therapeutics Inc.</w:t>
      </w:r>
    </w:p>
    <w:p>
      <w:pPr>
        <w:spacing w:after="0" w:line="21" w:lineRule="exact"/>
        <w:rPr>
          <w:rFonts w:ascii="Arial" w:cs="Arial" w:eastAsia="Arial" w:hAnsi="Arial"/>
          <w:sz w:val="16"/>
          <w:szCs w:val="16"/>
          <w:color w:val="auto"/>
        </w:rPr>
      </w:pPr>
    </w:p>
    <w:p>
      <w:pPr>
        <w:ind w:left="620" w:hanging="305"/>
        <w:spacing w:after="0"/>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Strategic Advisor to the R&amp;D Committee, Argenx SE</w:t>
      </w:r>
    </w:p>
    <w:p>
      <w:pPr>
        <w:spacing w:after="0" w:line="200" w:lineRule="exact"/>
        <w:rPr>
          <w:sz w:val="20"/>
          <w:szCs w:val="20"/>
          <w:color w:val="auto"/>
        </w:rPr>
      </w:pPr>
    </w:p>
    <w:p>
      <w:pPr>
        <w:sectPr>
          <w:pgSz w:w="11900" w:h="16838" w:orient="portrait"/>
          <w:cols w:equalWidth="0" w:num="2">
            <w:col w:w="1980" w:space="640"/>
            <w:col w:w="7499"/>
          </w:cols>
          <w:pgMar w:left="340" w:top="1440" w:right="1440" w:bottom="1440" w:gutter="0" w:footer="0" w:header="0"/>
          <w:type w:val="continuous"/>
        </w:sectPr>
      </w:pPr>
    </w:p>
    <w:p>
      <w:pPr>
        <w:spacing w:after="0" w:line="33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911860</wp:posOffset>
            </wp:positionV>
            <wp:extent cx="1517015" cy="3437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1701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340" w:right="300" w:hanging="162"/>
        <w:spacing w:after="0" w:line="298" w:lineRule="auto"/>
        <w:rPr>
          <w:sz w:val="20"/>
          <w:szCs w:val="20"/>
          <w:color w:val="auto"/>
        </w:rPr>
      </w:pPr>
      <w:r>
        <w:rPr>
          <w:rFonts w:ascii="Arial" w:cs="Arial" w:eastAsia="Arial" w:hAnsi="Arial"/>
          <w:sz w:val="17"/>
          <w:szCs w:val="17"/>
          <w:color w:val="auto"/>
        </w:rPr>
        <w:t>– Talent and Compensation</w:t>
      </w:r>
    </w:p>
    <w:p>
      <w:pPr>
        <w:ind w:left="340" w:right="520" w:hanging="162"/>
        <w:spacing w:after="0" w:line="298" w:lineRule="auto"/>
        <w:rPr>
          <w:sz w:val="20"/>
          <w:szCs w:val="20"/>
          <w:color w:val="auto"/>
        </w:rPr>
      </w:pPr>
      <w:r>
        <w:rPr>
          <w:rFonts w:ascii="Arial" w:cs="Arial" w:eastAsia="Arial" w:hAnsi="Arial"/>
          <w:sz w:val="17"/>
          <w:szCs w:val="17"/>
          <w:color w:val="auto"/>
        </w:rPr>
        <w:t>– Ethics and Compliance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Boards: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1062990" cy="2203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62990" cy="2203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D52B1E"/>
        </w:rPr>
        <w:t>Kimberly Johnson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-127635</wp:posOffset>
            </wp:positionV>
            <wp:extent cx="4063365" cy="2168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063365" cy="2168525"/>
                    </a:xfrm>
                    <a:prstGeom prst="rect">
                      <a:avLst/>
                    </a:prstGeom>
                    <a:noFill/>
                  </pic:spPr>
                </pic:pic>
              </a:graphicData>
            </a:graphic>
          </wp:anchor>
        </w:drawing>
      </w:r>
    </w:p>
    <w:p>
      <w:pPr>
        <w:spacing w:after="0" w:line="23" w:lineRule="exact"/>
        <w:rPr>
          <w:sz w:val="20"/>
          <w:szCs w:val="20"/>
          <w:color w:val="auto"/>
        </w:rPr>
      </w:pPr>
    </w:p>
    <w:p>
      <w:pPr>
        <w:ind w:left="380" w:right="1279"/>
        <w:spacing w:after="0" w:line="274" w:lineRule="auto"/>
        <w:rPr>
          <w:sz w:val="20"/>
          <w:szCs w:val="20"/>
          <w:color w:val="auto"/>
        </w:rPr>
      </w:pPr>
      <w:r>
        <w:rPr>
          <w:rFonts w:ascii="Arial" w:cs="Arial" w:eastAsia="Arial" w:hAnsi="Arial"/>
          <w:sz w:val="16"/>
          <w:szCs w:val="16"/>
          <w:i w:val="1"/>
          <w:iCs w:val="1"/>
          <w:color w:val="auto"/>
        </w:rPr>
        <w:t>Ms. Johnson brings to the board considerable financial and operational experience and a strong background in technology, governance, talent management and strategy for global risk management.</w:t>
      </w:r>
    </w:p>
    <w:p>
      <w:pPr>
        <w:spacing w:after="0" w:line="2" w:lineRule="exact"/>
        <w:rPr>
          <w:sz w:val="20"/>
          <w:szCs w:val="20"/>
          <w:color w:val="auto"/>
        </w:rPr>
      </w:pPr>
    </w:p>
    <w:p>
      <w:pPr>
        <w:ind w:left="1020" w:right="1419" w:hanging="325"/>
        <w:spacing w:after="0" w:line="265" w:lineRule="auto"/>
        <w:tabs>
          <w:tab w:leader="none" w:pos="1009" w:val="left"/>
        </w:tabs>
        <w:numPr>
          <w:ilvl w:val="0"/>
          <w:numId w:val="72"/>
        </w:numPr>
        <w:rPr>
          <w:rFonts w:ascii="Arial" w:cs="Arial" w:eastAsia="Arial" w:hAnsi="Arial"/>
          <w:sz w:val="16"/>
          <w:szCs w:val="16"/>
          <w:color w:val="auto"/>
        </w:rPr>
      </w:pPr>
      <w:r>
        <w:rPr>
          <w:rFonts w:ascii="Arial" w:cs="Arial" w:eastAsia="Arial" w:hAnsi="Arial"/>
          <w:sz w:val="16"/>
          <w:szCs w:val="16"/>
          <w:color w:val="auto"/>
        </w:rPr>
        <w:t>Ms. Johnson’s wide-ranging operational experience at two complex financial institutions has included leadership over various departments focused on cybersecurity, technology, operations, account services, enterprise change, data, modeling, analytics, information security, resiliency, innovation, and corporate strategy.</w:t>
      </w:r>
    </w:p>
    <w:p>
      <w:pPr>
        <w:spacing w:after="0" w:line="10" w:lineRule="exact"/>
        <w:rPr>
          <w:rFonts w:ascii="Arial" w:cs="Arial" w:eastAsia="Arial" w:hAnsi="Arial"/>
          <w:sz w:val="16"/>
          <w:szCs w:val="16"/>
          <w:color w:val="auto"/>
        </w:rPr>
      </w:pPr>
    </w:p>
    <w:p>
      <w:pPr>
        <w:ind w:left="1020" w:right="1239" w:hanging="325"/>
        <w:spacing w:after="0" w:line="275" w:lineRule="auto"/>
        <w:tabs>
          <w:tab w:leader="none" w:pos="1009" w:val="left"/>
        </w:tabs>
        <w:numPr>
          <w:ilvl w:val="0"/>
          <w:numId w:val="72"/>
        </w:numPr>
        <w:rPr>
          <w:rFonts w:ascii="Arial" w:cs="Arial" w:eastAsia="Arial" w:hAnsi="Arial"/>
          <w:sz w:val="16"/>
          <w:szCs w:val="16"/>
          <w:color w:val="auto"/>
        </w:rPr>
      </w:pPr>
      <w:r>
        <w:rPr>
          <w:rFonts w:ascii="Arial" w:cs="Arial" w:eastAsia="Arial" w:hAnsi="Arial"/>
          <w:sz w:val="16"/>
          <w:szCs w:val="16"/>
          <w:color w:val="auto"/>
        </w:rPr>
        <w:t>Ms. Johnson also brings a deep understanding of enterprise risk management, having served as chief risk officer of Fannie Mae and currently overseeing enterprise risk as part of her role at T. Rowe Price.</w:t>
      </w:r>
    </w:p>
    <w:p>
      <w:pPr>
        <w:spacing w:after="0" w:line="2" w:lineRule="exact"/>
        <w:rPr>
          <w:rFonts w:ascii="Arial" w:cs="Arial" w:eastAsia="Arial" w:hAnsi="Arial"/>
          <w:sz w:val="16"/>
          <w:szCs w:val="16"/>
          <w:color w:val="auto"/>
        </w:rPr>
      </w:pPr>
    </w:p>
    <w:p>
      <w:pPr>
        <w:ind w:left="1020" w:right="1539" w:hanging="325"/>
        <w:spacing w:after="0" w:line="265" w:lineRule="auto"/>
        <w:tabs>
          <w:tab w:leader="none" w:pos="1009" w:val="left"/>
        </w:tabs>
        <w:numPr>
          <w:ilvl w:val="0"/>
          <w:numId w:val="72"/>
        </w:numPr>
        <w:rPr>
          <w:rFonts w:ascii="Arial" w:cs="Arial" w:eastAsia="Arial" w:hAnsi="Arial"/>
          <w:sz w:val="16"/>
          <w:szCs w:val="16"/>
          <w:color w:val="auto"/>
        </w:rPr>
      </w:pPr>
      <w:r>
        <w:rPr>
          <w:rFonts w:ascii="Arial" w:cs="Arial" w:eastAsia="Arial" w:hAnsi="Arial"/>
          <w:sz w:val="16"/>
          <w:szCs w:val="16"/>
          <w:color w:val="auto"/>
        </w:rPr>
        <w:t>Ms. Johnson also brings to the board knowledge of technology operations, having led Fannie Mae’s digital transformation, establishing a four-year enterprise modernization plan and an operational roadmap for redesigning business processes and reengineering core technology.</w:t>
      </w:r>
    </w:p>
    <w:p>
      <w:pPr>
        <w:spacing w:after="0" w:line="33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CAREER HIGHLIGHTS</w:t>
      </w:r>
    </w:p>
    <w:p>
      <w:pPr>
        <w:spacing w:after="0" w:line="90" w:lineRule="exact"/>
        <w:rPr>
          <w:sz w:val="20"/>
          <w:szCs w:val="20"/>
          <w:color w:val="auto"/>
        </w:rPr>
      </w:pPr>
    </w:p>
    <w:p>
      <w:pPr>
        <w:ind w:left="1020" w:hanging="325"/>
        <w:spacing w:after="0"/>
        <w:tabs>
          <w:tab w:leader="none" w:pos="1020" w:val="left"/>
        </w:tabs>
        <w:numPr>
          <w:ilvl w:val="0"/>
          <w:numId w:val="73"/>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T. Rowe Price Group, Inc., </w:t>
      </w:r>
      <w:r>
        <w:rPr>
          <w:rFonts w:ascii="Arial" w:cs="Arial" w:eastAsia="Arial" w:hAnsi="Arial"/>
          <w:sz w:val="16"/>
          <w:szCs w:val="16"/>
          <w:color w:val="auto"/>
        </w:rPr>
        <w:t>a global leader in asset management</w:t>
      </w:r>
    </w:p>
    <w:p>
      <w:pPr>
        <w:spacing w:after="0" w:line="67"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6"/>
          <w:szCs w:val="16"/>
          <w:color w:val="auto"/>
        </w:rPr>
        <w:t>–   Vice President and Chief Operating Officer (2022 - 2025)</w:t>
      </w:r>
    </w:p>
    <w:p>
      <w:pPr>
        <w:spacing w:after="0" w:line="67" w:lineRule="exact"/>
        <w:rPr>
          <w:rFonts w:ascii="Cambria" w:cs="Cambria" w:eastAsia="Cambria" w:hAnsi="Cambria"/>
          <w:sz w:val="16"/>
          <w:szCs w:val="16"/>
          <w:b w:val="1"/>
          <w:bCs w:val="1"/>
          <w:color w:val="auto"/>
        </w:rPr>
      </w:pPr>
    </w:p>
    <w:p>
      <w:pPr>
        <w:ind w:left="1020" w:right="1399" w:hanging="325"/>
        <w:spacing w:after="0" w:line="264" w:lineRule="auto"/>
        <w:tabs>
          <w:tab w:leader="none" w:pos="1011" w:val="left"/>
        </w:tabs>
        <w:numPr>
          <w:ilvl w:val="0"/>
          <w:numId w:val="73"/>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Federal National Mortgage Association (Fannie Mae), </w:t>
      </w:r>
      <w:r>
        <w:rPr>
          <w:rFonts w:ascii="Arial" w:cs="Arial" w:eastAsia="Arial" w:hAnsi="Arial"/>
          <w:sz w:val="16"/>
          <w:szCs w:val="16"/>
          <w:color w:val="auto"/>
        </w:rPr>
        <w:t>a provider of</w:t>
      </w:r>
      <w:r>
        <w:rPr>
          <w:rFonts w:ascii="Arial" w:cs="Arial" w:eastAsia="Arial" w:hAnsi="Arial"/>
          <w:sz w:val="18"/>
          <w:szCs w:val="18"/>
          <w:b w:val="1"/>
          <w:bCs w:val="1"/>
          <w:color w:val="auto"/>
        </w:rPr>
        <w:t xml:space="preserve"> </w:t>
      </w:r>
      <w:r>
        <w:rPr>
          <w:rFonts w:ascii="Arial" w:cs="Arial" w:eastAsia="Arial" w:hAnsi="Arial"/>
          <w:sz w:val="16"/>
          <w:szCs w:val="16"/>
          <w:color w:val="auto"/>
        </w:rPr>
        <w:t>affordable mortgage financing in the United States</w:t>
      </w:r>
    </w:p>
    <w:p>
      <w:pPr>
        <w:spacing w:after="0" w:line="8"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6"/>
          <w:szCs w:val="16"/>
          <w:color w:val="auto"/>
        </w:rPr>
        <w:t>–   Executive Vice President and Chief Operating Officer (2018 - 2022)</w:t>
      </w:r>
    </w:p>
    <w:p>
      <w:pPr>
        <w:spacing w:after="0" w:line="72"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6"/>
          <w:szCs w:val="16"/>
          <w:color w:val="auto"/>
        </w:rPr>
        <w:t>–   Executive Vice President and Chief Risk Officer (2017 - 2018)</w:t>
      </w:r>
    </w:p>
    <w:p>
      <w:pPr>
        <w:spacing w:after="0" w:line="59"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6"/>
          <w:szCs w:val="16"/>
          <w:color w:val="auto"/>
        </w:rPr>
        <w:t>–   Senior Vice President and Chief Risk Officer (2015 - 2017)</w:t>
      </w:r>
    </w:p>
    <w:p>
      <w:pPr>
        <w:spacing w:after="0" w:line="59"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6"/>
          <w:szCs w:val="16"/>
          <w:color w:val="auto"/>
        </w:rPr>
        <w:t>–   Senior Vice President and Deputy Chief Risk Officer (2013 - 2015)</w:t>
      </w:r>
    </w:p>
    <w:p>
      <w:pPr>
        <w:spacing w:after="0" w:line="67" w:lineRule="exact"/>
        <w:rPr>
          <w:rFonts w:ascii="Cambria" w:cs="Cambria" w:eastAsia="Cambria" w:hAnsi="Cambria"/>
          <w:sz w:val="16"/>
          <w:szCs w:val="16"/>
          <w:b w:val="1"/>
          <w:bCs w:val="1"/>
          <w:color w:val="auto"/>
        </w:rPr>
      </w:pPr>
    </w:p>
    <w:p>
      <w:pPr>
        <w:ind w:left="1020" w:right="1279" w:hanging="325"/>
        <w:spacing w:after="0" w:line="264" w:lineRule="auto"/>
        <w:tabs>
          <w:tab w:leader="none" w:pos="1011" w:val="left"/>
        </w:tabs>
        <w:numPr>
          <w:ilvl w:val="0"/>
          <w:numId w:val="73"/>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Credit Suisse AG, </w:t>
      </w:r>
      <w:r>
        <w:rPr>
          <w:rFonts w:ascii="Arial" w:cs="Arial" w:eastAsia="Arial" w:hAnsi="Arial"/>
          <w:sz w:val="16"/>
          <w:szCs w:val="16"/>
          <w:color w:val="auto"/>
        </w:rPr>
        <w:t>a global wealth manager, investment bank, and financial</w:t>
      </w:r>
      <w:r>
        <w:rPr>
          <w:rFonts w:ascii="Arial" w:cs="Arial" w:eastAsia="Arial" w:hAnsi="Arial"/>
          <w:sz w:val="18"/>
          <w:szCs w:val="18"/>
          <w:b w:val="1"/>
          <w:bCs w:val="1"/>
          <w:color w:val="auto"/>
        </w:rPr>
        <w:t xml:space="preserve"> </w:t>
      </w:r>
      <w:r>
        <w:rPr>
          <w:rFonts w:ascii="Arial" w:cs="Arial" w:eastAsia="Arial" w:hAnsi="Arial"/>
          <w:sz w:val="16"/>
          <w:szCs w:val="16"/>
          <w:color w:val="auto"/>
        </w:rPr>
        <w:t>firm founded and based in Switzerland</w:t>
      </w:r>
    </w:p>
    <w:p>
      <w:pPr>
        <w:spacing w:after="0" w:line="8" w:lineRule="exact"/>
        <w:rPr>
          <w:rFonts w:ascii="Cambria" w:cs="Cambria" w:eastAsia="Cambria" w:hAnsi="Cambria"/>
          <w:sz w:val="16"/>
          <w:szCs w:val="16"/>
          <w:b w:val="1"/>
          <w:bCs w:val="1"/>
          <w:color w:val="auto"/>
        </w:rPr>
      </w:pPr>
    </w:p>
    <w:p>
      <w:pPr>
        <w:ind w:left="1020"/>
        <w:spacing w:after="0"/>
        <w:rPr>
          <w:rFonts w:ascii="Cambria" w:cs="Cambria" w:eastAsia="Cambria" w:hAnsi="Cambria"/>
          <w:sz w:val="16"/>
          <w:szCs w:val="16"/>
          <w:b w:val="1"/>
          <w:bCs w:val="1"/>
          <w:color w:val="auto"/>
        </w:rPr>
      </w:pPr>
      <w:r>
        <w:rPr>
          <w:rFonts w:ascii="Arial" w:cs="Arial" w:eastAsia="Arial" w:hAnsi="Arial"/>
          <w:sz w:val="16"/>
          <w:szCs w:val="16"/>
          <w:color w:val="auto"/>
        </w:rPr>
        <w:t>–   Director, Interest Rate Derivative Products (2005 - 2006)</w:t>
      </w:r>
    </w:p>
    <w:p>
      <w:pPr>
        <w:spacing w:after="0" w:line="36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1000" w:hanging="305"/>
        <w:spacing w:after="0"/>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Trustee, Princeton University</w:t>
      </w:r>
    </w:p>
    <w:p>
      <w:pPr>
        <w:spacing w:after="0" w:line="200" w:lineRule="exact"/>
        <w:rPr>
          <w:sz w:val="20"/>
          <w:szCs w:val="20"/>
          <w:color w:val="auto"/>
        </w:rPr>
      </w:pPr>
    </w:p>
    <w:p>
      <w:pPr>
        <w:sectPr>
          <w:pgSz w:w="11900" w:h="16838" w:orient="portrait"/>
          <w:cols w:equalWidth="0" w:num="2">
            <w:col w:w="1800" w:space="440"/>
            <w:col w:w="787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911860</wp:posOffset>
            </wp:positionV>
            <wp:extent cx="1517015" cy="384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17015"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240"/>
        <w:spacing w:after="0"/>
        <w:rPr>
          <w:sz w:val="20"/>
          <w:szCs w:val="20"/>
          <w:color w:val="auto"/>
        </w:rPr>
      </w:pPr>
      <w:r>
        <w:rPr>
          <w:rFonts w:ascii="Arial" w:cs="Arial" w:eastAsia="Arial" w:hAnsi="Arial"/>
          <w:sz w:val="21"/>
          <w:szCs w:val="21"/>
          <w:b w:val="1"/>
          <w:bCs w:val="1"/>
          <w:color w:val="EF3729"/>
        </w:rPr>
        <w:t>Juan R. Luciano</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63" w:lineRule="exact"/>
        <w:rPr>
          <w:sz w:val="20"/>
          <w:szCs w:val="20"/>
          <w:color w:val="auto"/>
        </w:rPr>
      </w:pPr>
    </w:p>
    <w:p>
      <w:pPr>
        <w:ind w:left="340" w:right="420" w:hanging="162"/>
        <w:spacing w:after="0" w:line="298" w:lineRule="auto"/>
        <w:rPr>
          <w:sz w:val="20"/>
          <w:szCs w:val="20"/>
          <w:color w:val="auto"/>
        </w:rPr>
      </w:pPr>
      <w:r>
        <w:rPr>
          <w:rFonts w:ascii="Arial" w:cs="Arial" w:eastAsia="Arial" w:hAnsi="Arial"/>
          <w:sz w:val="17"/>
          <w:szCs w:val="17"/>
          <w:color w:val="auto"/>
        </w:rPr>
        <w:t>– Talent and Compensation</w:t>
      </w:r>
    </w:p>
    <w:p>
      <w:pPr>
        <w:ind w:left="340" w:hanging="162"/>
        <w:spacing w:after="0" w:line="287" w:lineRule="auto"/>
        <w:rPr>
          <w:sz w:val="20"/>
          <w:szCs w:val="20"/>
          <w:color w:val="auto"/>
        </w:rPr>
      </w:pPr>
      <w:r>
        <w:rPr>
          <w:rFonts w:ascii="Arial" w:cs="Arial" w:eastAsia="Arial" w:hAnsi="Arial"/>
          <w:sz w:val="17"/>
          <w:szCs w:val="17"/>
          <w:color w:val="auto"/>
        </w:rPr>
        <w:t>– Directors and Corporate Governance (Chair)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Boards:</w:t>
      </w:r>
    </w:p>
    <w:p>
      <w:pPr>
        <w:spacing w:after="0" w:line="63" w:lineRule="exact"/>
        <w:rPr>
          <w:sz w:val="20"/>
          <w:szCs w:val="20"/>
          <w:color w:val="auto"/>
        </w:rPr>
      </w:pPr>
    </w:p>
    <w:p>
      <w:pPr>
        <w:ind w:left="340" w:right="140" w:hanging="168"/>
        <w:spacing w:after="0" w:line="298" w:lineRule="auto"/>
        <w:rPr>
          <w:sz w:val="20"/>
          <w:szCs w:val="20"/>
          <w:color w:val="auto"/>
        </w:rPr>
      </w:pPr>
      <w:r>
        <w:rPr>
          <w:rFonts w:ascii="Arial" w:cs="Arial" w:eastAsia="Arial" w:hAnsi="Arial"/>
          <w:sz w:val="17"/>
          <w:szCs w:val="17"/>
          <w:color w:val="auto"/>
        </w:rPr>
        <w:t>– Archer-Daniels-Midland Company</w:t>
      </w:r>
    </w:p>
    <w:p>
      <w:pPr>
        <w:spacing w:after="0" w:line="1" w:lineRule="exact"/>
        <w:rPr>
          <w:sz w:val="20"/>
          <w:szCs w:val="20"/>
          <w:color w:val="auto"/>
        </w:rPr>
      </w:pPr>
    </w:p>
    <w:p>
      <w:pPr>
        <w:ind w:right="260"/>
        <w:spacing w:after="0" w:line="281" w:lineRule="auto"/>
        <w:rPr>
          <w:sz w:val="20"/>
          <w:szCs w:val="20"/>
          <w:color w:val="auto"/>
        </w:rPr>
      </w:pPr>
      <w:r>
        <w:rPr>
          <w:rFonts w:ascii="Arial" w:cs="Arial" w:eastAsia="Arial" w:hAnsi="Arial"/>
          <w:sz w:val="18"/>
          <w:szCs w:val="18"/>
          <w:b w:val="1"/>
          <w:bCs w:val="1"/>
          <w:color w:val="auto"/>
        </w:rPr>
        <w:t>Recent Prior Public Boards: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None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wp:posOffset>
            </wp:positionV>
            <wp:extent cx="1062990" cy="1663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62990" cy="1663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Lead Independent Director (2019)</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4063365" cy="2588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063365" cy="2588895"/>
                    </a:xfrm>
                    <a:prstGeom prst="rect">
                      <a:avLst/>
                    </a:prstGeom>
                    <a:noFill/>
                  </pic:spPr>
                </pic:pic>
              </a:graphicData>
            </a:graphic>
          </wp:anchor>
        </w:drawing>
      </w:r>
    </w:p>
    <w:p>
      <w:pPr>
        <w:spacing w:after="0" w:line="131" w:lineRule="exact"/>
        <w:rPr>
          <w:sz w:val="20"/>
          <w:szCs w:val="20"/>
          <w:color w:val="auto"/>
        </w:rPr>
      </w:pPr>
    </w:p>
    <w:p>
      <w:pPr>
        <w:ind w:right="1239"/>
        <w:spacing w:after="0" w:line="264" w:lineRule="auto"/>
        <w:rPr>
          <w:sz w:val="20"/>
          <w:szCs w:val="20"/>
          <w:color w:val="auto"/>
        </w:rPr>
      </w:pPr>
      <w:r>
        <w:rPr>
          <w:rFonts w:ascii="Arial" w:cs="Arial" w:eastAsia="Arial" w:hAnsi="Arial"/>
          <w:sz w:val="16"/>
          <w:szCs w:val="16"/>
          <w:i w:val="1"/>
          <w:iCs w:val="1"/>
          <w:color w:val="auto"/>
        </w:rPr>
        <w:t>Mr. Luciano’s decades of experience, including as a chair and chief executive officer, as a leader of large organizations, and in international business, strategy, and operations, bring to the board valuable insights into the complexities of operating in a rapidly changing global market.</w:t>
      </w:r>
    </w:p>
    <w:p>
      <w:pPr>
        <w:spacing w:after="0" w:line="79" w:lineRule="exact"/>
        <w:rPr>
          <w:sz w:val="20"/>
          <w:szCs w:val="20"/>
          <w:color w:val="auto"/>
        </w:rPr>
      </w:pPr>
    </w:p>
    <w:p>
      <w:pPr>
        <w:ind w:left="640" w:right="1159" w:hanging="325"/>
        <w:spacing w:after="0" w:line="265" w:lineRule="auto"/>
        <w:tabs>
          <w:tab w:leader="none" w:pos="636" w:val="left"/>
        </w:tabs>
        <w:numPr>
          <w:ilvl w:val="0"/>
          <w:numId w:val="78"/>
        </w:numPr>
        <w:rPr>
          <w:rFonts w:ascii="Arial" w:cs="Arial" w:eastAsia="Arial" w:hAnsi="Arial"/>
          <w:sz w:val="14"/>
          <w:szCs w:val="14"/>
          <w:color w:val="auto"/>
        </w:rPr>
      </w:pPr>
      <w:r>
        <w:rPr>
          <w:rFonts w:ascii="Arial" w:cs="Arial" w:eastAsia="Arial" w:hAnsi="Arial"/>
          <w:sz w:val="16"/>
          <w:szCs w:val="16"/>
          <w:color w:val="auto"/>
        </w:rPr>
        <w:t>As chair and chief executive officer of a major global enterprise, Mr. Luciano contributes extensive knowledge of international business and the development and execution of strategy, such as the increased use of innovative technologies to meet customer needs and the management of complex global supply chains.</w:t>
      </w:r>
    </w:p>
    <w:p>
      <w:pPr>
        <w:spacing w:after="0" w:line="64" w:lineRule="exact"/>
        <w:rPr>
          <w:rFonts w:ascii="Arial" w:cs="Arial" w:eastAsia="Arial" w:hAnsi="Arial"/>
          <w:sz w:val="14"/>
          <w:szCs w:val="14"/>
          <w:color w:val="auto"/>
        </w:rPr>
      </w:pPr>
    </w:p>
    <w:p>
      <w:pPr>
        <w:jc w:val="both"/>
        <w:ind w:left="640" w:right="1619" w:hanging="325"/>
        <w:spacing w:after="0" w:line="275" w:lineRule="auto"/>
        <w:tabs>
          <w:tab w:leader="none" w:pos="636" w:val="left"/>
        </w:tabs>
        <w:numPr>
          <w:ilvl w:val="0"/>
          <w:numId w:val="78"/>
        </w:numPr>
        <w:rPr>
          <w:rFonts w:ascii="Arial" w:cs="Arial" w:eastAsia="Arial" w:hAnsi="Arial"/>
          <w:sz w:val="14"/>
          <w:szCs w:val="14"/>
          <w:color w:val="auto"/>
        </w:rPr>
      </w:pPr>
      <w:r>
        <w:rPr>
          <w:rFonts w:ascii="Arial" w:cs="Arial" w:eastAsia="Arial" w:hAnsi="Arial"/>
          <w:sz w:val="16"/>
          <w:szCs w:val="16"/>
          <w:color w:val="auto"/>
        </w:rPr>
        <w:t>Mr. Luciano’s experience as a chief operating officer and line executive in several product areas also bring a thorough understanding of operations, especially in highly regulated sectors.</w:t>
      </w:r>
    </w:p>
    <w:p>
      <w:pPr>
        <w:spacing w:after="0" w:line="2" w:lineRule="exact"/>
        <w:rPr>
          <w:rFonts w:ascii="Arial" w:cs="Arial" w:eastAsia="Arial" w:hAnsi="Arial"/>
          <w:sz w:val="14"/>
          <w:szCs w:val="14"/>
          <w:color w:val="auto"/>
        </w:rPr>
      </w:pPr>
    </w:p>
    <w:p>
      <w:pPr>
        <w:ind w:left="640" w:right="1139" w:hanging="325"/>
        <w:spacing w:after="0" w:line="275" w:lineRule="auto"/>
        <w:tabs>
          <w:tab w:leader="none" w:pos="636"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6"/>
          <w:szCs w:val="16"/>
          <w:color w:val="auto"/>
        </w:rPr>
        <w:t>Mr. Luciano’s results-oriented perspective and his experience in leading a major multinational company are particularly valuable to the board and make him a strong and engaged lead independent director.</w:t>
      </w:r>
    </w:p>
    <w:p>
      <w:pPr>
        <w:spacing w:after="0" w:line="15" w:lineRule="exact"/>
        <w:rPr>
          <w:rFonts w:ascii="Times New Roman" w:cs="Times New Roman" w:eastAsia="Times New Roman" w:hAnsi="Times New Roman"/>
          <w:sz w:val="14"/>
          <w:szCs w:val="14"/>
          <w:color w:val="auto"/>
        </w:rPr>
      </w:pPr>
    </w:p>
    <w:p>
      <w:pPr>
        <w:jc w:val="both"/>
        <w:ind w:left="640" w:right="1219" w:hanging="325"/>
        <w:spacing w:after="0" w:line="275" w:lineRule="auto"/>
        <w:tabs>
          <w:tab w:leader="none" w:pos="636"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6"/>
          <w:szCs w:val="16"/>
          <w:color w:val="auto"/>
        </w:rPr>
        <w:t>Mr. Luciano is a well-respected leader and strong lead independent director for the board, with the willingness and ability to provide direct, candid feedback to the chief executive officer while acting as a facilitator of discussion.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CAREER HIGHLIGHTS</w:t>
      </w:r>
    </w:p>
    <w:p>
      <w:pPr>
        <w:spacing w:after="0" w:line="85" w:lineRule="exact"/>
        <w:rPr>
          <w:sz w:val="20"/>
          <w:szCs w:val="20"/>
          <w:color w:val="auto"/>
        </w:rPr>
      </w:pPr>
    </w:p>
    <w:p>
      <w:pPr>
        <w:ind w:left="640" w:right="1799" w:hanging="325"/>
        <w:spacing w:after="0" w:line="279" w:lineRule="auto"/>
        <w:tabs>
          <w:tab w:leader="none" w:pos="631" w:val="left"/>
        </w:tabs>
        <w:numPr>
          <w:ilvl w:val="0"/>
          <w:numId w:val="79"/>
        </w:numPr>
        <w:rPr>
          <w:rFonts w:ascii="Cambria" w:cs="Cambria" w:eastAsia="Cambria" w:hAnsi="Cambria"/>
          <w:sz w:val="16"/>
          <w:szCs w:val="16"/>
          <w:b w:val="1"/>
          <w:bCs w:val="1"/>
          <w:color w:val="auto"/>
        </w:rPr>
      </w:pPr>
      <w:r>
        <w:rPr>
          <w:rFonts w:ascii="Arial" w:cs="Arial" w:eastAsia="Arial" w:hAnsi="Arial"/>
          <w:sz w:val="18"/>
          <w:szCs w:val="18"/>
          <w:b w:val="1"/>
          <w:bCs w:val="1"/>
          <w:color w:val="auto"/>
        </w:rPr>
        <w:t>Archer-Daniels-Midland Company</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6"/>
          <w:szCs w:val="16"/>
          <w:color w:val="auto"/>
        </w:rPr>
        <w:t>a global food processing and</w:t>
      </w:r>
      <w:r>
        <w:rPr>
          <w:rFonts w:ascii="Arial" w:cs="Arial" w:eastAsia="Arial" w:hAnsi="Arial"/>
          <w:sz w:val="18"/>
          <w:szCs w:val="18"/>
          <w:b w:val="1"/>
          <w:bCs w:val="1"/>
          <w:color w:val="auto"/>
        </w:rPr>
        <w:t xml:space="preserve"> </w:t>
      </w:r>
      <w:r>
        <w:rPr>
          <w:rFonts w:ascii="Arial" w:cs="Arial" w:eastAsia="Arial" w:hAnsi="Arial"/>
          <w:sz w:val="16"/>
          <w:szCs w:val="16"/>
          <w:color w:val="auto"/>
        </w:rPr>
        <w:t>commodities-trading company</w:t>
      </w: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Chair of the Board (2016 - present)</w:t>
      </w:r>
    </w:p>
    <w:p>
      <w:pPr>
        <w:spacing w:after="0" w:line="72"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Chief Executive Officer and President (2015 - present)</w:t>
      </w:r>
    </w:p>
    <w:p>
      <w:pPr>
        <w:spacing w:after="0" w:line="59" w:lineRule="exact"/>
        <w:rPr>
          <w:rFonts w:ascii="Cambria" w:cs="Cambria" w:eastAsia="Cambria" w:hAnsi="Cambria"/>
          <w:sz w:val="16"/>
          <w:szCs w:val="16"/>
          <w:b w:val="1"/>
          <w:bCs w:val="1"/>
          <w:color w:val="auto"/>
        </w:rPr>
      </w:pPr>
    </w:p>
    <w:p>
      <w:pPr>
        <w:ind w:left="640"/>
        <w:spacing w:after="0"/>
        <w:rPr>
          <w:rFonts w:ascii="Cambria" w:cs="Cambria" w:eastAsia="Cambria" w:hAnsi="Cambria"/>
          <w:sz w:val="16"/>
          <w:szCs w:val="16"/>
          <w:b w:val="1"/>
          <w:bCs w:val="1"/>
          <w:color w:val="auto"/>
        </w:rPr>
      </w:pPr>
      <w:r>
        <w:rPr>
          <w:rFonts w:ascii="Arial" w:cs="Arial" w:eastAsia="Arial" w:hAnsi="Arial"/>
          <w:sz w:val="16"/>
          <w:szCs w:val="16"/>
          <w:color w:val="auto"/>
        </w:rPr>
        <w:t>–   President and Chief Operating Officer (2014 - 2015)</w:t>
      </w:r>
    </w:p>
    <w:p>
      <w:pPr>
        <w:spacing w:after="0" w:line="40" w:lineRule="exact"/>
        <w:rPr>
          <w:rFonts w:ascii="Cambria" w:cs="Cambria" w:eastAsia="Cambria" w:hAnsi="Cambria"/>
          <w:sz w:val="16"/>
          <w:szCs w:val="16"/>
          <w:b w:val="1"/>
          <w:bCs w:val="1"/>
          <w:color w:val="auto"/>
        </w:rPr>
      </w:pPr>
    </w:p>
    <w:p>
      <w:pPr>
        <w:ind w:left="640" w:hanging="325"/>
        <w:spacing w:after="0"/>
        <w:tabs>
          <w:tab w:leader="none" w:pos="640" w:val="left"/>
        </w:tabs>
        <w:numPr>
          <w:ilvl w:val="0"/>
          <w:numId w:val="79"/>
        </w:numPr>
        <w:rPr>
          <w:rFonts w:ascii="Cambria" w:cs="Cambria" w:eastAsia="Cambria" w:hAnsi="Cambria"/>
          <w:sz w:val="16"/>
          <w:szCs w:val="16"/>
          <w:b w:val="1"/>
          <w:bCs w:val="1"/>
          <w:color w:val="auto"/>
        </w:rPr>
      </w:pPr>
      <w:r>
        <w:rPr>
          <w:rFonts w:ascii="Arial" w:cs="Arial" w:eastAsia="Arial" w:hAnsi="Arial"/>
          <w:sz w:val="18"/>
          <w:szCs w:val="18"/>
          <w:b w:val="1"/>
          <w:bCs w:val="1"/>
          <w:color w:val="auto"/>
        </w:rPr>
        <w:t xml:space="preserve">The Dow Chemical Company, </w:t>
      </w:r>
      <w:r>
        <w:rPr>
          <w:rFonts w:ascii="Arial" w:cs="Arial" w:eastAsia="Arial" w:hAnsi="Arial"/>
          <w:sz w:val="16"/>
          <w:szCs w:val="16"/>
          <w:color w:val="auto"/>
        </w:rPr>
        <w:t>a multinational chemical company</w:t>
      </w:r>
    </w:p>
    <w:p>
      <w:pPr>
        <w:spacing w:after="0" w:line="40" w:lineRule="exact"/>
        <w:rPr>
          <w:rFonts w:ascii="Cambria" w:cs="Cambria" w:eastAsia="Cambria" w:hAnsi="Cambria"/>
          <w:sz w:val="16"/>
          <w:szCs w:val="16"/>
          <w:b w:val="1"/>
          <w:bCs w:val="1"/>
          <w:color w:val="auto"/>
        </w:rPr>
      </w:pPr>
    </w:p>
    <w:p>
      <w:pPr>
        <w:ind w:left="960" w:right="1519" w:hanging="324"/>
        <w:spacing w:after="0" w:line="251" w:lineRule="auto"/>
        <w:rPr>
          <w:rFonts w:ascii="Cambria" w:cs="Cambria" w:eastAsia="Cambria" w:hAnsi="Cambria"/>
          <w:sz w:val="16"/>
          <w:szCs w:val="16"/>
          <w:b w:val="1"/>
          <w:bCs w:val="1"/>
          <w:color w:val="auto"/>
        </w:rPr>
      </w:pPr>
      <w:r>
        <w:rPr>
          <w:rFonts w:ascii="Arial" w:cs="Arial" w:eastAsia="Arial" w:hAnsi="Arial"/>
          <w:sz w:val="14"/>
          <w:szCs w:val="14"/>
          <w:color w:val="auto"/>
        </w:rPr>
        <w:t xml:space="preserve">– </w:t>
      </w:r>
      <w:r>
        <w:rPr>
          <w:rFonts w:ascii="Arial" w:cs="Arial" w:eastAsia="Arial" w:hAnsi="Arial"/>
          <w:sz w:val="16"/>
          <w:szCs w:val="16"/>
          <w:color w:val="auto"/>
        </w:rPr>
        <w:t>Executive Vice President and President, Performance Division (2010 -</w:t>
      </w:r>
      <w:r>
        <w:rPr>
          <w:rFonts w:ascii="Arial" w:cs="Arial" w:eastAsia="Arial" w:hAnsi="Arial"/>
          <w:sz w:val="14"/>
          <w:szCs w:val="14"/>
          <w:color w:val="auto"/>
        </w:rPr>
        <w:t xml:space="preserve"> </w:t>
      </w:r>
      <w:r>
        <w:rPr>
          <w:rFonts w:ascii="Arial" w:cs="Arial" w:eastAsia="Arial" w:hAnsi="Arial"/>
          <w:sz w:val="16"/>
          <w:szCs w:val="16"/>
          <w:color w:val="auto"/>
        </w:rPr>
        <w:t>2011)</w:t>
      </w:r>
    </w:p>
    <w:p>
      <w:pPr>
        <w:spacing w:after="0" w:line="200" w:lineRule="exact"/>
        <w:rPr>
          <w:sz w:val="20"/>
          <w:szCs w:val="20"/>
          <w:color w:val="auto"/>
        </w:rPr>
      </w:pPr>
    </w:p>
    <w:p>
      <w:pPr>
        <w:sectPr>
          <w:pgSz w:w="11900" w:h="16838" w:orient="portrait"/>
          <w:cols w:equalWidth="0" w:num="2">
            <w:col w:w="1920" w:space="700"/>
            <w:col w:w="7499"/>
          </w:cols>
          <w:pgMar w:left="340" w:top="1440" w:right="1440" w:bottom="1440" w:gutter="0" w:footer="0" w:header="0"/>
          <w:type w:val="continuous"/>
        </w:sectPr>
      </w:pPr>
    </w:p>
    <w:p>
      <w:pPr>
        <w:spacing w:after="0" w:line="5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OTHER HIGHLIGHTS</w:t>
      </w:r>
    </w:p>
    <w:p>
      <w:pPr>
        <w:spacing w:after="0" w:line="95" w:lineRule="exact"/>
        <w:rPr>
          <w:sz w:val="20"/>
          <w:szCs w:val="20"/>
          <w:color w:val="auto"/>
        </w:rPr>
      </w:pPr>
    </w:p>
    <w:p>
      <w:pPr>
        <w:ind w:left="3240" w:hanging="305"/>
        <w:spacing w:after="0"/>
        <w:tabs>
          <w:tab w:leader="none" w:pos="3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Alternate director, Wilmar International</w:t>
      </w:r>
    </w:p>
    <w:p>
      <w:pPr>
        <w:spacing w:after="0" w:line="72" w:lineRule="exact"/>
        <w:rPr>
          <w:rFonts w:ascii="Arial" w:cs="Arial" w:eastAsia="Arial" w:hAnsi="Arial"/>
          <w:sz w:val="16"/>
          <w:szCs w:val="16"/>
          <w:color w:val="auto"/>
        </w:rPr>
      </w:pPr>
    </w:p>
    <w:p>
      <w:pPr>
        <w:ind w:left="3240" w:hanging="305"/>
        <w:spacing w:after="0"/>
        <w:tabs>
          <w:tab w:leader="none" w:pos="3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Director, Intersect Illinois</w:t>
      </w:r>
    </w:p>
    <w:p>
      <w:pPr>
        <w:spacing w:after="0" w:line="59" w:lineRule="exact"/>
        <w:rPr>
          <w:rFonts w:ascii="Arial" w:cs="Arial" w:eastAsia="Arial" w:hAnsi="Arial"/>
          <w:sz w:val="16"/>
          <w:szCs w:val="16"/>
          <w:color w:val="auto"/>
        </w:rPr>
      </w:pPr>
    </w:p>
    <w:p>
      <w:pPr>
        <w:ind w:left="3240" w:hanging="305"/>
        <w:spacing w:after="0"/>
        <w:tabs>
          <w:tab w:leader="none" w:pos="32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Member, Rush System Board of Directors</w:t>
      </w:r>
    </w:p>
    <w:p>
      <w:pPr>
        <w:spacing w:after="0" w:line="72" w:lineRule="exact"/>
        <w:rPr>
          <w:rFonts w:ascii="Arial" w:cs="Arial" w:eastAsia="Arial" w:hAnsi="Arial"/>
          <w:sz w:val="16"/>
          <w:szCs w:val="16"/>
          <w:color w:val="auto"/>
        </w:rPr>
      </w:pPr>
    </w:p>
    <w:p>
      <w:pPr>
        <w:ind w:left="3260" w:right="1339" w:hanging="325"/>
        <w:spacing w:after="0" w:line="286" w:lineRule="auto"/>
        <w:tabs>
          <w:tab w:leader="none" w:pos="3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Member, The Business Roundtable; Civic Committee at the Commercial Club of Chicago; Economic Club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-688975</wp:posOffset>
            </wp:positionV>
            <wp:extent cx="1062990" cy="394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629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142240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Director Skills and Experience:</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directors are responsible for overseeing the company’s business consistent with their fiduciary duties. This significant responsibility requires highly skilled individuals with various qualities, attributes, and professional experiences. We believe the board is well-rounded, with a balance of relevant perspectives and experience, as illustrated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760720" cy="6172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0720" cy="617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spacing w:after="0"/>
        <w:rPr>
          <w:sz w:val="20"/>
          <w:szCs w:val="20"/>
          <w:color w:val="auto"/>
        </w:rPr>
      </w:pPr>
      <w:r>
        <w:rPr>
          <w:rFonts w:ascii="Arial" w:cs="Arial" w:eastAsia="Arial" w:hAnsi="Arial"/>
          <w:sz w:val="25"/>
          <w:szCs w:val="25"/>
          <w:b w:val="1"/>
          <w:bCs w:val="1"/>
          <w:color w:val="0F3A85"/>
        </w:rPr>
        <w:t>Director Nominations</w:t>
      </w:r>
    </w:p>
    <w:p>
      <w:pPr>
        <w:spacing w:after="0" w:line="3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year, the board proposes a slate of director nominees for election by shareholders at the Annual Meeting. The board has delegated the process of screening potential director candidates to the Directors and Corporate Governance Committee, which receives input from other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360045</wp:posOffset>
            </wp:positionV>
            <wp:extent cx="120015" cy="10198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101981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660" w:type="dxa"/>
        <w:tblCellMar>
          <w:top w:w="0" w:type="dxa"/>
          <w:left w:w="0" w:type="dxa"/>
          <w:bottom w:w="0" w:type="dxa"/>
          <w:right w:w="0" w:type="dxa"/>
        </w:tblCellMar>
      </w:tblPr>
      <w:tr>
        <w:trPr>
          <w:trHeight w:val="247"/>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Incumbent Directors</w:t>
            </w:r>
          </w:p>
        </w:tc>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100" w:type="dxa"/>
            <w:vAlign w:val="bottom"/>
            <w:tcBorders>
              <w:bottom w:val="single" w:sz="8" w:color="DBDBDB"/>
            </w:tcBorders>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60" w:type="dxa"/>
            <w:vAlign w:val="bottom"/>
            <w:vMerge w:val="restart"/>
          </w:tcPr>
          <w:p>
            <w:pPr>
              <w:jc w:val="center"/>
              <w:ind w:left="319"/>
              <w:spacing w:after="0"/>
              <w:rPr>
                <w:sz w:val="20"/>
                <w:szCs w:val="20"/>
                <w:color w:val="auto"/>
              </w:rPr>
            </w:pPr>
            <w:r>
              <w:rPr>
                <w:rFonts w:ascii="Arial" w:cs="Arial" w:eastAsia="Arial" w:hAnsi="Arial"/>
                <w:sz w:val="18"/>
                <w:szCs w:val="18"/>
                <w:b w:val="1"/>
                <w:bCs w:val="1"/>
                <w:color w:val="auto"/>
                <w:w w:val="98"/>
              </w:rPr>
              <w:t>Recommend</w:t>
            </w:r>
          </w:p>
        </w:tc>
        <w:tc>
          <w:tcPr>
            <w:tcW w:w="0" w:type="dxa"/>
            <w:vAlign w:val="bottom"/>
          </w:tcPr>
          <w:p>
            <w:pPr>
              <w:spacing w:after="0"/>
              <w:rPr>
                <w:sz w:val="1"/>
                <w:szCs w:val="1"/>
                <w:color w:val="auto"/>
              </w:rPr>
            </w:pPr>
          </w:p>
        </w:tc>
      </w:tr>
      <w:tr>
        <w:trPr>
          <w:trHeight w:val="83"/>
        </w:trPr>
        <w:tc>
          <w:tcPr>
            <w:tcW w:w="2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Shareholders</w:t>
            </w:r>
          </w:p>
        </w:tc>
        <w:tc>
          <w:tcPr>
            <w:tcW w:w="2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100" w:type="dxa"/>
            <w:vAlign w:val="bottom"/>
            <w:vMerge w:val="continue"/>
          </w:tcPr>
          <w:p>
            <w:pPr>
              <w:spacing w:after="0"/>
              <w:rPr>
                <w:sz w:val="18"/>
                <w:szCs w:val="18"/>
                <w:color w:val="auto"/>
              </w:rPr>
            </w:pPr>
          </w:p>
        </w:tc>
        <w:tc>
          <w:tcPr>
            <w:tcW w:w="2320" w:type="dxa"/>
            <w:vAlign w:val="bottom"/>
          </w:tcPr>
          <w:p>
            <w:pPr>
              <w:jc w:val="center"/>
              <w:ind w:left="370"/>
              <w:spacing w:after="0"/>
              <w:rPr>
                <w:sz w:val="20"/>
                <w:szCs w:val="20"/>
                <w:color w:val="auto"/>
              </w:rPr>
            </w:pPr>
            <w:r>
              <w:rPr>
                <w:rFonts w:ascii="Arial" w:cs="Arial" w:eastAsia="Arial" w:hAnsi="Arial"/>
                <w:sz w:val="18"/>
                <w:szCs w:val="18"/>
                <w:b w:val="1"/>
                <w:bCs w:val="1"/>
                <w:color w:val="auto"/>
                <w:w w:val="98"/>
              </w:rPr>
              <w:t>Candidate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rPr>
              <w:t>In-Depth</w:t>
            </w:r>
          </w:p>
        </w:tc>
        <w:tc>
          <w:tcPr>
            <w:tcW w:w="1660" w:type="dxa"/>
            <w:vAlign w:val="bottom"/>
          </w:tcPr>
          <w:p>
            <w:pPr>
              <w:jc w:val="center"/>
              <w:ind w:left="319"/>
              <w:spacing w:after="0"/>
              <w:rPr>
                <w:sz w:val="20"/>
                <w:szCs w:val="20"/>
                <w:color w:val="auto"/>
              </w:rPr>
            </w:pPr>
            <w:r>
              <w:rPr>
                <w:rFonts w:ascii="Arial" w:cs="Arial" w:eastAsia="Arial" w:hAnsi="Arial"/>
                <w:sz w:val="18"/>
                <w:szCs w:val="18"/>
                <w:b w:val="1"/>
                <w:bCs w:val="1"/>
                <w:color w:val="auto"/>
                <w:w w:val="99"/>
              </w:rPr>
              <w:t>Selected</w:t>
            </w:r>
          </w:p>
        </w:tc>
        <w:tc>
          <w:tcPr>
            <w:tcW w:w="0" w:type="dxa"/>
            <w:vAlign w:val="bottom"/>
          </w:tcPr>
          <w:p>
            <w:pPr>
              <w:spacing w:after="0"/>
              <w:rPr>
                <w:sz w:val="1"/>
                <w:szCs w:val="1"/>
                <w:color w:val="auto"/>
              </w:rPr>
            </w:pPr>
          </w:p>
        </w:tc>
      </w:tr>
      <w:tr>
        <w:trPr>
          <w:trHeight w:val="40"/>
        </w:trPr>
        <w:tc>
          <w:tcPr>
            <w:tcW w:w="2100" w:type="dxa"/>
            <w:vAlign w:val="bottom"/>
            <w:tcBorders>
              <w:bottom w:val="single" w:sz="8" w:color="DBDBDB"/>
            </w:tcBorders>
          </w:tcPr>
          <w:p>
            <w:pPr>
              <w:spacing w:after="0"/>
              <w:rPr>
                <w:sz w:val="3"/>
                <w:szCs w:val="3"/>
                <w:color w:val="auto"/>
              </w:rPr>
            </w:pPr>
          </w:p>
        </w:tc>
        <w:tc>
          <w:tcPr>
            <w:tcW w:w="2320" w:type="dxa"/>
            <w:vAlign w:val="bottom"/>
            <w:vMerge w:val="restart"/>
          </w:tcPr>
          <w:p>
            <w:pPr>
              <w:jc w:val="center"/>
              <w:ind w:left="410"/>
              <w:spacing w:after="0"/>
              <w:rPr>
                <w:sz w:val="20"/>
                <w:szCs w:val="20"/>
                <w:color w:val="auto"/>
              </w:rPr>
            </w:pPr>
            <w:r>
              <w:rPr>
                <w:rFonts w:ascii="Arial" w:cs="Arial" w:eastAsia="Arial" w:hAnsi="Arial"/>
                <w:sz w:val="18"/>
                <w:szCs w:val="18"/>
                <w:b w:val="1"/>
                <w:bCs w:val="1"/>
                <w:color w:val="auto"/>
                <w:w w:val="97"/>
              </w:rPr>
              <w:t>Pool</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Review</w:t>
            </w:r>
          </w:p>
        </w:tc>
        <w:tc>
          <w:tcPr>
            <w:tcW w:w="1660" w:type="dxa"/>
            <w:vAlign w:val="bottom"/>
            <w:vMerge w:val="restart"/>
          </w:tcPr>
          <w:p>
            <w:pPr>
              <w:jc w:val="center"/>
              <w:ind w:left="319"/>
              <w:spacing w:after="0"/>
              <w:rPr>
                <w:sz w:val="20"/>
                <w:szCs w:val="20"/>
                <w:color w:val="auto"/>
              </w:rPr>
            </w:pPr>
            <w:r>
              <w:rPr>
                <w:rFonts w:ascii="Arial" w:cs="Arial" w:eastAsia="Arial" w:hAnsi="Arial"/>
                <w:sz w:val="18"/>
                <w:szCs w:val="18"/>
                <w:b w:val="1"/>
                <w:bCs w:val="1"/>
                <w:color w:val="auto"/>
                <w:w w:val="99"/>
              </w:rPr>
              <w:t>Candidates for</w:t>
            </w:r>
          </w:p>
        </w:tc>
        <w:tc>
          <w:tcPr>
            <w:tcW w:w="0" w:type="dxa"/>
            <w:vAlign w:val="bottom"/>
          </w:tcPr>
          <w:p>
            <w:pPr>
              <w:spacing w:after="0"/>
              <w:rPr>
                <w:sz w:val="1"/>
                <w:szCs w:val="1"/>
                <w:color w:val="auto"/>
              </w:rPr>
            </w:pPr>
          </w:p>
        </w:tc>
      </w:tr>
      <w:tr>
        <w:trPr>
          <w:trHeight w:val="183"/>
        </w:trPr>
        <w:tc>
          <w:tcPr>
            <w:tcW w:w="2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Executive Search Firms</w:t>
            </w:r>
          </w:p>
        </w:tc>
        <w:tc>
          <w:tcPr>
            <w:tcW w:w="232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00" w:type="dxa"/>
            <w:vAlign w:val="bottom"/>
            <w:vMerge w:val="continue"/>
          </w:tcPr>
          <w:p>
            <w:pPr>
              <w:spacing w:after="0"/>
              <w:rPr>
                <w:sz w:val="10"/>
                <w:szCs w:val="10"/>
                <w:color w:val="auto"/>
              </w:rPr>
            </w:pPr>
          </w:p>
        </w:tc>
        <w:tc>
          <w:tcPr>
            <w:tcW w:w="23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60" w:type="dxa"/>
            <w:vAlign w:val="bottom"/>
          </w:tcPr>
          <w:p>
            <w:pPr>
              <w:jc w:val="center"/>
              <w:ind w:left="319"/>
              <w:spacing w:after="0" w:line="122" w:lineRule="exact"/>
              <w:rPr>
                <w:sz w:val="20"/>
                <w:szCs w:val="20"/>
                <w:color w:val="auto"/>
              </w:rPr>
            </w:pPr>
            <w:r>
              <w:rPr>
                <w:rFonts w:ascii="Arial" w:cs="Arial" w:eastAsia="Arial" w:hAnsi="Arial"/>
                <w:sz w:val="13"/>
                <w:szCs w:val="13"/>
                <w:b w:val="1"/>
                <w:bCs w:val="1"/>
                <w:color w:val="auto"/>
              </w:rPr>
              <w:t>Election to the</w:t>
            </w:r>
          </w:p>
        </w:tc>
        <w:tc>
          <w:tcPr>
            <w:tcW w:w="0" w:type="dxa"/>
            <w:vAlign w:val="bottom"/>
          </w:tcPr>
          <w:p>
            <w:pPr>
              <w:spacing w:after="0"/>
              <w:rPr>
                <w:sz w:val="1"/>
                <w:szCs w:val="1"/>
                <w:color w:val="auto"/>
              </w:rPr>
            </w:pPr>
          </w:p>
        </w:tc>
      </w:tr>
      <w:tr>
        <w:trPr>
          <w:trHeight w:val="135"/>
        </w:trPr>
        <w:tc>
          <w:tcPr>
            <w:tcW w:w="2100" w:type="dxa"/>
            <w:vAlign w:val="bottom"/>
            <w:tcBorders>
              <w:bottom w:val="single" w:sz="8" w:color="DBDBDB"/>
            </w:tcBorders>
          </w:tcPr>
          <w:p>
            <w:pPr>
              <w:spacing w:after="0"/>
              <w:rPr>
                <w:sz w:val="11"/>
                <w:szCs w:val="11"/>
                <w:color w:val="auto"/>
              </w:rPr>
            </w:pPr>
          </w:p>
        </w:tc>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60" w:type="dxa"/>
            <w:vAlign w:val="bottom"/>
          </w:tcPr>
          <w:p>
            <w:pPr>
              <w:jc w:val="center"/>
              <w:ind w:left="339"/>
              <w:spacing w:after="0" w:line="129" w:lineRule="exact"/>
              <w:rPr>
                <w:sz w:val="20"/>
                <w:szCs w:val="20"/>
                <w:color w:val="auto"/>
              </w:rPr>
            </w:pPr>
            <w:r>
              <w:rPr>
                <w:rFonts w:ascii="Arial" w:cs="Arial" w:eastAsia="Arial" w:hAnsi="Arial"/>
                <w:sz w:val="13"/>
                <w:szCs w:val="13"/>
                <w:b w:val="1"/>
                <w:bCs w:val="1"/>
                <w:color w:val="auto"/>
              </w:rPr>
              <w:t>Board</w:t>
            </w:r>
          </w:p>
        </w:tc>
        <w:tc>
          <w:tcPr>
            <w:tcW w:w="0" w:type="dxa"/>
            <w:vAlign w:val="bottom"/>
          </w:tcPr>
          <w:p>
            <w:pPr>
              <w:spacing w:after="0"/>
              <w:rPr>
                <w:sz w:val="1"/>
                <w:szCs w:val="1"/>
                <w:color w:val="auto"/>
              </w:rPr>
            </w:pPr>
          </w:p>
        </w:tc>
      </w:tr>
      <w:tr>
        <w:trPr>
          <w:trHeight w:val="370"/>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Management</w:t>
            </w:r>
          </w:p>
        </w:tc>
        <w:tc>
          <w:tcPr>
            <w:tcW w:w="2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-615950</wp:posOffset>
            </wp:positionV>
            <wp:extent cx="8572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-615950</wp:posOffset>
            </wp:positionV>
            <wp:extent cx="85725"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-615950</wp:posOffset>
            </wp:positionV>
            <wp:extent cx="85725"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92" w:lineRule="auto"/>
        <w:rPr>
          <w:sz w:val="20"/>
          <w:szCs w:val="20"/>
          <w:color w:val="auto"/>
        </w:rPr>
      </w:pPr>
      <w:r>
        <w:rPr>
          <w:sz w:val="1"/>
          <w:szCs w:val="1"/>
          <w:color w:val="auto"/>
        </w:rPr>
        <w:drawing>
          <wp:inline distT="0" distB="0" distL="0" distR="0">
            <wp:extent cx="60325" cy="1117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111760"/>
                    </a:xfrm>
                    <a:prstGeom prst="rect">
                      <a:avLst/>
                    </a:prstGeom>
                    <a:noFill/>
                    <a:ln>
                      <a:noFill/>
                    </a:ln>
                  </pic:spPr>
                </pic:pic>
              </a:graphicData>
            </a:graphic>
          </wp:inline>
        </w:drawing>
      </w:r>
      <w:r>
        <w:rPr>
          <w:rFonts w:ascii="Arial" w:cs="Arial" w:eastAsia="Arial" w:hAnsi="Arial"/>
          <w:sz w:val="18"/>
          <w:szCs w:val="18"/>
          <w:b w:val="1"/>
          <w:bCs w:val="1"/>
          <w:color w:val="auto"/>
        </w:rPr>
        <w:t xml:space="preserve"> Candidate Pool Identification: </w:t>
      </w:r>
      <w:r>
        <w:rPr>
          <w:rFonts w:ascii="Arial" w:cs="Arial" w:eastAsia="Arial" w:hAnsi="Arial"/>
          <w:sz w:val="18"/>
          <w:szCs w:val="18"/>
          <w:color w:val="auto"/>
        </w:rPr>
        <w:t>Director candidates can be identified from several sources, including incumbent directors,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search firms retained by the committee, and management. For example, Jon Moeller and Carolyn Bertozzi were recommended by a third-party search firm and management.</w:t>
      </w:r>
    </w:p>
    <w:p>
      <w:pPr>
        <w:spacing w:after="0" w:line="61" w:lineRule="exact"/>
        <w:rPr>
          <w:sz w:val="20"/>
          <w:szCs w:val="20"/>
          <w:color w:val="auto"/>
        </w:rPr>
      </w:pPr>
    </w:p>
    <w:p>
      <w:pPr>
        <w:ind w:right="200"/>
        <w:spacing w:after="0" w:line="321" w:lineRule="auto"/>
        <w:rPr>
          <w:sz w:val="20"/>
          <w:szCs w:val="20"/>
          <w:color w:val="auto"/>
        </w:rPr>
      </w:pPr>
      <w:r>
        <w:rPr>
          <w:sz w:val="1"/>
          <w:szCs w:val="1"/>
          <w:color w:val="auto"/>
        </w:rPr>
        <w:drawing>
          <wp:inline distT="0" distB="0" distL="0" distR="0">
            <wp:extent cx="60325" cy="1117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111760"/>
                    </a:xfrm>
                    <a:prstGeom prst="rect">
                      <a:avLst/>
                    </a:prstGeom>
                    <a:noFill/>
                    <a:ln>
                      <a:noFill/>
                    </a:ln>
                  </pic:spPr>
                </pic:pic>
              </a:graphicData>
            </a:graphic>
          </wp:inline>
        </w:drawing>
      </w:r>
      <w:r>
        <w:rPr>
          <w:rFonts w:ascii="Arial" w:cs="Arial" w:eastAsia="Arial" w:hAnsi="Arial"/>
          <w:sz w:val="18"/>
          <w:szCs w:val="18"/>
          <w:b w:val="1"/>
          <w:bCs w:val="1"/>
          <w:color w:val="auto"/>
        </w:rPr>
        <w:t xml:space="preserve"> In-Depth Review: </w:t>
      </w:r>
      <w:r>
        <w:rPr>
          <w:rFonts w:ascii="Arial" w:cs="Arial" w:eastAsia="Arial" w:hAnsi="Arial"/>
          <w:sz w:val="18"/>
          <w:szCs w:val="18"/>
          <w:color w:val="auto"/>
        </w:rPr>
        <w:t>The Directors and Corporate Governance Committee employs the same process to evaluate all candidates,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those submitted by shareholders, in accordance with our bylaws and corporate governance guidelines.</w:t>
      </w:r>
    </w:p>
    <w:p>
      <w:pPr>
        <w:spacing w:after="0" w:line="15" w:lineRule="exact"/>
        <w:rPr>
          <w:sz w:val="20"/>
          <w:szCs w:val="20"/>
          <w:color w:val="auto"/>
        </w:rPr>
      </w:pPr>
    </w:p>
    <w:p>
      <w:pPr>
        <w:ind w:left="660" w:hanging="328"/>
        <w:spacing w:after="0" w:line="262"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Evaluate Director Qualifications</w:t>
      </w:r>
      <w:r>
        <w:rPr>
          <w:rFonts w:ascii="Arial" w:cs="Arial" w:eastAsia="Arial" w:hAnsi="Arial"/>
          <w:sz w:val="18"/>
          <w:szCs w:val="18"/>
          <w:color w:val="auto"/>
        </w:rPr>
        <w:t>. The committee initially evaluates a candidate based on publicly available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information supplied by the party recommending the candidate. The committee, assisted by management or a search firm, may gather additional data as needed, including on the candidate’s qualifications, relationships or transactions with related parties, availability, probable level of interest, and any potential conflicts of interest.</w:t>
      </w:r>
    </w:p>
    <w:p>
      <w:pPr>
        <w:spacing w:after="0" w:line="122" w:lineRule="exact"/>
        <w:rPr>
          <w:rFonts w:ascii="Arial" w:cs="Arial" w:eastAsia="Arial" w:hAnsi="Arial"/>
          <w:sz w:val="18"/>
          <w:szCs w:val="18"/>
          <w:color w:val="auto"/>
        </w:rPr>
      </w:pPr>
    </w:p>
    <w:p>
      <w:pPr>
        <w:ind w:left="660" w:right="2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Incumbent Directors </w:t>
      </w:r>
      <w:r>
        <w:rPr>
          <w:rFonts w:ascii="Arial" w:cs="Arial" w:eastAsia="Arial" w:hAnsi="Arial"/>
          <w:sz w:val="18"/>
          <w:szCs w:val="18"/>
          <w:color w:val="auto"/>
        </w:rPr>
        <w:t>- For incumbent directors being considered for re-nomination, the Directors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the additional benefit of (i) feedback from the annual board and committee evaluations and related individual discussions between each director and the chair and/or the lead independent director; (ii) knowledge of attendance and participation at, and preparation for, prior board and committee meetings; and (iii) shareholder feedback, if such nominee has been elected at a prior annual meeting.</w:t>
      </w:r>
    </w:p>
    <w:p>
      <w:pPr>
        <w:spacing w:after="0" w:line="125" w:lineRule="exact"/>
        <w:rPr>
          <w:rFonts w:ascii="Arial" w:cs="Arial" w:eastAsia="Arial" w:hAnsi="Arial"/>
          <w:sz w:val="18"/>
          <w:szCs w:val="18"/>
          <w:color w:val="auto"/>
        </w:rPr>
      </w:pPr>
    </w:p>
    <w:p>
      <w:pPr>
        <w:jc w:val="both"/>
        <w:ind w:left="660" w:right="20" w:hanging="328"/>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Meetings with Select Directors. </w:t>
      </w:r>
      <w:r>
        <w:rPr>
          <w:rFonts w:ascii="Arial" w:cs="Arial" w:eastAsia="Arial" w:hAnsi="Arial"/>
          <w:sz w:val="18"/>
          <w:szCs w:val="18"/>
          <w:color w:val="auto"/>
        </w:rPr>
        <w:t>If the committee’s subsequent evaluation continues to be favorable, the candidate is contacted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 of the board and one or more of the independent directors, including the lead independent director, for direct discussions to determine the mutual level of interest in pursuing the candidacy.</w:t>
      </w:r>
    </w:p>
    <w:p>
      <w:pPr>
        <w:spacing w:after="0" w:line="135" w:lineRule="exact"/>
        <w:rPr>
          <w:sz w:val="20"/>
          <w:szCs w:val="20"/>
          <w:color w:val="auto"/>
        </w:rPr>
      </w:pPr>
    </w:p>
    <w:p>
      <w:pPr>
        <w:ind w:right="40"/>
        <w:spacing w:after="0" w:line="337" w:lineRule="auto"/>
        <w:rPr>
          <w:sz w:val="20"/>
          <w:szCs w:val="20"/>
          <w:color w:val="auto"/>
        </w:rPr>
      </w:pPr>
      <w:r>
        <w:rPr>
          <w:sz w:val="1"/>
          <w:szCs w:val="1"/>
          <w:color w:val="auto"/>
        </w:rPr>
        <w:drawing>
          <wp:inline distT="0" distB="0" distL="0" distR="0">
            <wp:extent cx="60325" cy="11112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11125"/>
                    </a:xfrm>
                    <a:prstGeom prst="rect">
                      <a:avLst/>
                    </a:prstGeom>
                    <a:noFill/>
                    <a:ln>
                      <a:noFill/>
                    </a:ln>
                  </pic:spPr>
                </pic:pic>
              </a:graphicData>
            </a:graphic>
          </wp:inline>
        </w:drawing>
      </w:r>
      <w:r>
        <w:rPr>
          <w:rFonts w:ascii="Arial" w:cs="Arial" w:eastAsia="Arial" w:hAnsi="Arial"/>
          <w:sz w:val="18"/>
          <w:szCs w:val="18"/>
          <w:b w:val="1"/>
          <w:bCs w:val="1"/>
          <w:color w:val="auto"/>
        </w:rPr>
        <w:t xml:space="preserve"> Recommendation for Election: </w:t>
      </w:r>
      <w:r>
        <w:rPr>
          <w:rFonts w:ascii="Arial" w:cs="Arial" w:eastAsia="Arial" w:hAnsi="Arial"/>
          <w:sz w:val="18"/>
          <w:szCs w:val="18"/>
          <w:color w:val="auto"/>
        </w:rPr>
        <w:t>If these discussions are favorable, the committee recommends that the board nominate the candidate for</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by the shareholders (or for the board to elect the candidate to fill a vacancy, as applicable).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3" w:right="399" w:bottom="1440" w:gutter="0" w:footer="0" w:header="0"/>
        </w:sectPr>
      </w:pPr>
    </w:p>
    <w:bookmarkStart w:id="28" w:name="page29"/>
    <w:bookmarkEnd w:id="28"/>
    <w:p>
      <w:pPr>
        <w:ind w:left="380"/>
        <w:spacing w:after="0"/>
        <w:rPr>
          <w:sz w:val="20"/>
          <w:szCs w:val="20"/>
          <w:color w:val="auto"/>
        </w:rPr>
      </w:pPr>
      <w:r>
        <w:rPr>
          <w:rFonts w:ascii="Arial" w:cs="Arial" w:eastAsia="Arial" w:hAnsi="Arial"/>
          <w:sz w:val="19"/>
          <w:szCs w:val="19"/>
          <w:b w:val="1"/>
          <w:bCs w:val="1"/>
          <w:color w:val="D52B1E"/>
        </w:rPr>
        <w:t>Shareholder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-97155</wp:posOffset>
            </wp:positionV>
            <wp:extent cx="5768975" cy="74491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68975" cy="7449185"/>
                    </a:xfrm>
                    <a:prstGeom prst="rect">
                      <a:avLst/>
                    </a:prstGeom>
                    <a:noFill/>
                  </pic:spPr>
                </pic:pic>
              </a:graphicData>
            </a:graphic>
          </wp:anchor>
        </w:drawing>
      </w:r>
    </w:p>
    <w:p>
      <w:pPr>
        <w:sectPr>
          <w:pgSz w:w="11900" w:h="16838" w:orient="portrait"/>
          <w:cols w:equalWidth="0" w:num="1">
            <w:col w:w="9699"/>
          </w:cols>
          <w:pgMar w:left="760" w:top="1250" w:right="1440" w:bottom="1440" w:gutter="0" w:footer="0" w:header="0"/>
        </w:sectPr>
      </w:pPr>
    </w:p>
    <w:p>
      <w:pPr>
        <w:spacing w:after="0" w:line="156" w:lineRule="exact"/>
        <w:rPr>
          <w:sz w:val="20"/>
          <w:szCs w:val="20"/>
          <w:color w:val="auto"/>
        </w:rPr>
      </w:pPr>
    </w:p>
    <w:p>
      <w:pPr>
        <w:ind w:right="1699" w:hanging="246"/>
        <w:spacing w:after="0"/>
        <w:rPr>
          <w:sz w:val="20"/>
          <w:szCs w:val="20"/>
          <w:color w:val="auto"/>
        </w:rPr>
      </w:pPr>
      <w:r>
        <w:rPr>
          <w:sz w:val="1"/>
          <w:szCs w:val="1"/>
          <w:color w:val="auto"/>
        </w:rPr>
        <w:drawing>
          <wp:inline distT="0" distB="0" distL="0" distR="0">
            <wp:extent cx="154305" cy="137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19"/>
          <w:szCs w:val="19"/>
          <w:b w:val="1"/>
          <w:bCs w:val="1"/>
          <w:color w:val="auto"/>
        </w:rPr>
        <w:t xml:space="preserve">Shareholder Recommendations of Director Candidates - </w:t>
      </w:r>
      <w:r>
        <w:rPr>
          <w:rFonts w:ascii="Arial" w:cs="Arial" w:eastAsia="Arial" w:hAnsi="Arial"/>
          <w:sz w:val="17"/>
          <w:szCs w:val="17"/>
          <w:color w:val="auto"/>
        </w:rPr>
        <w:t>A shareholder who wishes to</w:t>
      </w:r>
      <w:r>
        <w:rPr>
          <w:rFonts w:ascii="Arial" w:cs="Arial" w:eastAsia="Arial" w:hAnsi="Arial"/>
          <w:sz w:val="19"/>
          <w:szCs w:val="19"/>
          <w:b w:val="1"/>
          <w:bCs w:val="1"/>
          <w:color w:val="auto"/>
        </w:rPr>
        <w:t xml:space="preserve"> </w:t>
      </w:r>
      <w:r>
        <w:rPr>
          <w:rFonts w:ascii="Arial" w:cs="Arial" w:eastAsia="Arial" w:hAnsi="Arial"/>
          <w:sz w:val="17"/>
          <w:szCs w:val="17"/>
          <w:color w:val="auto"/>
        </w:rPr>
        <w:t>recommend a director candidate for evaluation should forward the candidate’s name and information about the candidate’s qualifications by delivery and email to:</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Chair of the Directors and Corporate Governance Committee</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Indianapolis, IN 46285</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Email: shareholderproposals@lilly.com</w:t>
      </w:r>
    </w:p>
    <w:p>
      <w:pPr>
        <w:spacing w:after="0" w:line="99" w:lineRule="exact"/>
        <w:rPr>
          <w:sz w:val="20"/>
          <w:szCs w:val="20"/>
          <w:color w:val="auto"/>
        </w:rPr>
      </w:pPr>
    </w:p>
    <w:p>
      <w:pPr>
        <w:ind w:right="1319"/>
        <w:spacing w:after="0" w:line="268" w:lineRule="auto"/>
        <w:rPr>
          <w:sz w:val="20"/>
          <w:szCs w:val="20"/>
          <w:color w:val="auto"/>
        </w:rPr>
      </w:pPr>
      <w:r>
        <w:rPr>
          <w:rFonts w:ascii="Arial" w:cs="Arial" w:eastAsia="Arial" w:hAnsi="Arial"/>
          <w:sz w:val="18"/>
          <w:szCs w:val="18"/>
          <w:color w:val="auto"/>
        </w:rPr>
        <w:t xml:space="preserve">The candidate must meet the selection criteria described in our corporate governance guidelines (available online at </w:t>
      </w:r>
      <w:r>
        <w:rPr>
          <w:rFonts w:ascii="Arial" w:cs="Arial" w:eastAsia="Arial" w:hAnsi="Arial"/>
          <w:sz w:val="18"/>
          <w:szCs w:val="18"/>
          <w:color w:val="D52B1E"/>
        </w:rPr>
        <w:t>lilly.com/about/leadership/governance)</w:t>
      </w:r>
      <w:r>
        <w:rPr>
          <w:rFonts w:ascii="Arial" w:cs="Arial" w:eastAsia="Arial" w:hAnsi="Arial"/>
          <w:sz w:val="18"/>
          <w:szCs w:val="18"/>
          <w:color w:val="auto"/>
        </w:rPr>
        <w:t xml:space="preserve"> and must be willing and expressly interested in serving on the board.</w:t>
      </w:r>
    </w:p>
    <w:p>
      <w:pPr>
        <w:spacing w:after="0" w:line="135" w:lineRule="exact"/>
        <w:rPr>
          <w:sz w:val="20"/>
          <w:szCs w:val="20"/>
          <w:color w:val="auto"/>
        </w:rPr>
      </w:pPr>
    </w:p>
    <w:p>
      <w:pPr>
        <w:ind w:right="1339" w:hanging="246"/>
        <w:spacing w:after="0"/>
        <w:rPr>
          <w:sz w:val="20"/>
          <w:szCs w:val="20"/>
          <w:color w:val="auto"/>
        </w:rPr>
      </w:pPr>
      <w:r>
        <w:rPr>
          <w:sz w:val="1"/>
          <w:szCs w:val="1"/>
          <w:color w:val="auto"/>
        </w:rPr>
        <w:drawing>
          <wp:inline distT="0" distB="0" distL="0" distR="0">
            <wp:extent cx="154305" cy="1371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19"/>
          <w:szCs w:val="19"/>
          <w:b w:val="1"/>
          <w:bCs w:val="1"/>
          <w:color w:val="auto"/>
        </w:rPr>
        <w:t xml:space="preserve">Shareholder Nominations for Director Candidates for Inclusion in the Proxy Statement (“Proxy Access”) - </w:t>
      </w:r>
      <w:r>
        <w:rPr>
          <w:rFonts w:ascii="Arial" w:cs="Arial" w:eastAsia="Arial" w:hAnsi="Arial"/>
          <w:sz w:val="17"/>
          <w:szCs w:val="17"/>
          <w:color w:val="auto"/>
        </w:rPr>
        <w:t>If a shareholder or shareholder group wishes to nominate director candidates to be</w:t>
      </w:r>
      <w:r>
        <w:rPr>
          <w:rFonts w:ascii="Arial" w:cs="Arial" w:eastAsia="Arial" w:hAnsi="Arial"/>
          <w:sz w:val="19"/>
          <w:szCs w:val="19"/>
          <w:b w:val="1"/>
          <w:bCs w:val="1"/>
          <w:color w:val="auto"/>
        </w:rPr>
        <w:t xml:space="preserve"> </w:t>
      </w:r>
      <w:r>
        <w:rPr>
          <w:rFonts w:ascii="Arial" w:cs="Arial" w:eastAsia="Arial" w:hAnsi="Arial"/>
          <w:sz w:val="17"/>
          <w:szCs w:val="17"/>
          <w:color w:val="auto"/>
        </w:rPr>
        <w:t>included in the proxy statement for the 2027 annual meeting pursuant to the “proxy access” provisions of the company’s bylaws, written notice must be received by the company’s Secretary no later than November 20, 2026, and no earlier than October 21, 2026. If the date of the 2027 annual meeting is changed by more than 30 days from May 3, 2027 (the date contemplated for the 2027 annual meeting), a shareholder must deliver written notice no earlier than 150 days in advance of the date of the 2027 meeting and no later than the close of business on the later of 120 days in advance of the 2027 annual meeting or, if later, within 10 days following the date we first publicly announce the date of 2027 annual meeting. Any such notice must also comply with the timing, disclosure, procedural, and other requirements as set forth in our bylaws.</w:t>
      </w:r>
    </w:p>
    <w:p>
      <w:pPr>
        <w:spacing w:after="0" w:line="158" w:lineRule="exact"/>
        <w:rPr>
          <w:sz w:val="20"/>
          <w:szCs w:val="20"/>
          <w:color w:val="auto"/>
        </w:rPr>
      </w:pPr>
    </w:p>
    <w:p>
      <w:pPr>
        <w:ind w:right="1319" w:hanging="246"/>
        <w:spacing w:after="0"/>
        <w:rPr>
          <w:sz w:val="20"/>
          <w:szCs w:val="20"/>
          <w:color w:val="auto"/>
        </w:rPr>
      </w:pPr>
      <w:r>
        <w:rPr>
          <w:sz w:val="1"/>
          <w:szCs w:val="1"/>
          <w:color w:val="auto"/>
        </w:rPr>
        <w:drawing>
          <wp:inline distT="0" distB="0" distL="0" distR="0">
            <wp:extent cx="154305" cy="1371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19"/>
          <w:szCs w:val="19"/>
          <w:b w:val="1"/>
          <w:bCs w:val="1"/>
          <w:color w:val="auto"/>
        </w:rPr>
        <w:t xml:space="preserve">Other Shareholder Nominations for Director Candidates - </w:t>
      </w:r>
      <w:r>
        <w:rPr>
          <w:rFonts w:ascii="Arial" w:cs="Arial" w:eastAsia="Arial" w:hAnsi="Arial"/>
          <w:sz w:val="17"/>
          <w:szCs w:val="17"/>
          <w:color w:val="auto"/>
        </w:rPr>
        <w:t>In addition, under Section 1.9 of the</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company’s bylaws, if any shareholder of record wishes to directly nominate a director candidate at the 2027 annual meeting of shareholders (i.e., to propose a candidate for election who is not otherwise nominated by the board through the recommendation process described above and not pursuant to the “proxy access” provisions described above) must deliver written notice to the company’s Secretary no later than the close of business on November 20, 2026, and no earlier than the close of business on September 21, 2026. If the date of the 2027 annual meeting is changed by more than 30 days from May 3, 2027 (the date contemplated for the 2027 annual meeting), a shareholder must deliver written notice to the company’s Secretary no later than the close of business on the later of 120 days in advance of the 2027 annual meeting or, if later, within 10 days following the date we first publicly announce the date of 2027 annual meeting. Any such notice must also comply with the timing, disclosure, procedural and other requirements as set forth in our bylaws. A copy of our bylaws is available online at </w:t>
      </w:r>
      <w:r>
        <w:rPr>
          <w:rFonts w:ascii="Arial" w:cs="Arial" w:eastAsia="Arial" w:hAnsi="Arial"/>
          <w:sz w:val="17"/>
          <w:szCs w:val="17"/>
          <w:color w:val="D52B1E"/>
        </w:rPr>
        <w:t>lilly.com/about/leadership/governance</w:t>
      </w:r>
      <w:r>
        <w:rPr>
          <w:rFonts w:ascii="Arial" w:cs="Arial" w:eastAsia="Arial" w:hAnsi="Arial"/>
          <w:sz w:val="17"/>
          <w:szCs w:val="17"/>
          <w:color w:val="000000"/>
        </w:rPr>
        <w:t>.</w:t>
      </w:r>
    </w:p>
    <w:p>
      <w:pPr>
        <w:spacing w:after="0" w:line="158" w:lineRule="exact"/>
        <w:rPr>
          <w:sz w:val="20"/>
          <w:szCs w:val="20"/>
          <w:color w:val="auto"/>
        </w:rPr>
      </w:pPr>
    </w:p>
    <w:p>
      <w:pPr>
        <w:ind w:right="1399" w:hanging="246"/>
        <w:spacing w:after="0"/>
        <w:rPr>
          <w:sz w:val="20"/>
          <w:szCs w:val="20"/>
          <w:color w:val="auto"/>
        </w:rPr>
      </w:pPr>
      <w:r>
        <w:rPr>
          <w:sz w:val="1"/>
          <w:szCs w:val="1"/>
          <w:color w:val="auto"/>
        </w:rPr>
        <w:drawing>
          <wp:inline distT="0" distB="0" distL="0" distR="0">
            <wp:extent cx="154305" cy="1371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Arial" w:cs="Arial" w:eastAsia="Arial" w:hAnsi="Arial"/>
          <w:sz w:val="19"/>
          <w:szCs w:val="19"/>
          <w:b w:val="1"/>
          <w:bCs w:val="1"/>
          <w:color w:val="auto"/>
        </w:rPr>
        <w:t xml:space="preserve">Universal Proxy for Shareholder Nominations - </w:t>
      </w:r>
      <w:r>
        <w:rPr>
          <w:rFonts w:ascii="Arial" w:cs="Arial" w:eastAsia="Arial" w:hAnsi="Arial"/>
          <w:sz w:val="17"/>
          <w:szCs w:val="17"/>
          <w:color w:val="auto"/>
        </w:rPr>
        <w:t>In addition to satisfying the requirements under our</w:t>
      </w:r>
      <w:r>
        <w:rPr>
          <w:rFonts w:ascii="Arial" w:cs="Arial" w:eastAsia="Arial" w:hAnsi="Arial"/>
          <w:sz w:val="19"/>
          <w:szCs w:val="19"/>
          <w:b w:val="1"/>
          <w:bCs w:val="1"/>
          <w:color w:val="auto"/>
        </w:rPr>
        <w:t xml:space="preserve"> </w:t>
      </w:r>
      <w:r>
        <w:rPr>
          <w:rFonts w:ascii="Arial" w:cs="Arial" w:eastAsia="Arial" w:hAnsi="Arial"/>
          <w:sz w:val="17"/>
          <w:szCs w:val="17"/>
          <w:color w:val="auto"/>
        </w:rPr>
        <w:t>bylaws, if a shareholder intends to comply with the SEC’s universal proxy rules and to solicit proxies in support of director nominees other than the company’s nominees, the shareholder must provide notice that sets forth the information required by Rule 14a-19 under the Exchange Act which notice must be postmarked or transmitted electronically to us at the address stated above for shareholder recommendations no later than 60 calendar days prior to the one-year anniversary date of the Annual Meeting (for the 2027 annual meeting, no later than March 5, 2027). If the date of the 2027 annual meeting is changed by more than 30 calendar days from such anniversary date, however, then the shareholder must provide notice by the later of 60 calendar days prior to the date of the 2027 annual meeting and the 10th calendar day following the date on which public announcement of the date of the 2027 annual meeting is first made by the company.</w:t>
      </w:r>
    </w:p>
    <w:p>
      <w:pPr>
        <w:sectPr>
          <w:pgSz w:w="11900" w:h="16838" w:orient="portrait"/>
          <w:cols w:equalWidth="0" w:num="1">
            <w:col w:w="9699"/>
          </w:cols>
          <w:pgMar w:left="760" w:top="12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149225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99"/>
          </w:cols>
          <w:pgMar w:left="760" w:top="1250"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25"/>
          <w:szCs w:val="25"/>
          <w:b w:val="1"/>
          <w:bCs w:val="1"/>
          <w:color w:val="0F3A85"/>
        </w:rPr>
        <w:t>Director Compensation</w:t>
      </w:r>
    </w:p>
    <w:p>
      <w:pPr>
        <w:spacing w:after="0" w:line="69"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Non-employee director compensation is reviewed and approved by the board. Directors who are employees receive no additional compensation for serving on the board.</w:t>
      </w:r>
    </w:p>
    <w:p>
      <w:pPr>
        <w:spacing w:after="0" w:line="86" w:lineRule="exact"/>
        <w:rPr>
          <w:sz w:val="20"/>
          <w:szCs w:val="20"/>
          <w:color w:val="auto"/>
        </w:rPr>
      </w:pPr>
    </w:p>
    <w:tbl>
      <w:tblPr>
        <w:tblLayout w:type="fixed"/>
        <w:tblInd w:w="100" w:type="dxa"/>
        <w:tblCellMar>
          <w:top w:w="0" w:type="dxa"/>
          <w:left w:w="0" w:type="dxa"/>
          <w:bottom w:w="0" w:type="dxa"/>
          <w:right w:w="0" w:type="dxa"/>
        </w:tblCellMar>
      </w:tblPr>
      <w:tr>
        <w:trPr>
          <w:trHeight w:val="364"/>
        </w:trPr>
        <w:tc>
          <w:tcPr>
            <w:tcW w:w="2900" w:type="dxa"/>
            <w:vAlign w:val="bottom"/>
          </w:tcPr>
          <w:p>
            <w:pPr>
              <w:jc w:val="center"/>
              <w:spacing w:after="0"/>
              <w:rPr>
                <w:sz w:val="20"/>
                <w:szCs w:val="20"/>
                <w:color w:val="auto"/>
              </w:rPr>
            </w:pPr>
            <w:r>
              <w:rPr>
                <w:rFonts w:ascii="Arial" w:cs="Arial" w:eastAsia="Arial" w:hAnsi="Arial"/>
                <w:sz w:val="29"/>
                <w:szCs w:val="29"/>
                <w:color w:val="D52B1E"/>
                <w:w w:val="99"/>
              </w:rPr>
              <w:t>67%</w:t>
            </w:r>
          </w:p>
        </w:tc>
        <w:tc>
          <w:tcPr>
            <w:tcW w:w="3040" w:type="dxa"/>
            <w:vAlign w:val="bottom"/>
          </w:tcPr>
          <w:p>
            <w:pPr>
              <w:jc w:val="center"/>
              <w:spacing w:after="0"/>
              <w:rPr>
                <w:sz w:val="20"/>
                <w:szCs w:val="20"/>
                <w:color w:val="auto"/>
              </w:rPr>
            </w:pPr>
            <w:r>
              <w:rPr>
                <w:rFonts w:ascii="Arial" w:cs="Arial" w:eastAsia="Arial" w:hAnsi="Arial"/>
                <w:sz w:val="29"/>
                <w:szCs w:val="29"/>
                <w:color w:val="D52B1E"/>
                <w:w w:val="97"/>
              </w:rPr>
              <w:t>5x</w:t>
            </w:r>
          </w:p>
        </w:tc>
        <w:tc>
          <w:tcPr>
            <w:tcW w:w="3020" w:type="dxa"/>
            <w:vAlign w:val="bottom"/>
          </w:tcPr>
          <w:p>
            <w:pPr>
              <w:jc w:val="center"/>
              <w:spacing w:after="0"/>
              <w:rPr>
                <w:sz w:val="20"/>
                <w:szCs w:val="20"/>
                <w:color w:val="auto"/>
              </w:rPr>
            </w:pPr>
            <w:r>
              <w:rPr>
                <w:rFonts w:ascii="Arial" w:cs="Arial" w:eastAsia="Arial" w:hAnsi="Arial"/>
                <w:sz w:val="29"/>
                <w:szCs w:val="29"/>
                <w:color w:val="D52B1E"/>
              </w:rPr>
              <w:t>CAPPED</w:t>
            </w:r>
          </w:p>
        </w:tc>
      </w:tr>
      <w:tr>
        <w:trPr>
          <w:trHeight w:val="216"/>
        </w:trPr>
        <w:tc>
          <w:tcPr>
            <w:tcW w:w="2900" w:type="dxa"/>
            <w:vAlign w:val="bottom"/>
          </w:tcPr>
          <w:p>
            <w:pPr>
              <w:jc w:val="center"/>
              <w:spacing w:after="0"/>
              <w:rPr>
                <w:sz w:val="20"/>
                <w:szCs w:val="20"/>
                <w:color w:val="auto"/>
              </w:rPr>
            </w:pPr>
            <w:r>
              <w:rPr>
                <w:rFonts w:ascii="Arial" w:cs="Arial" w:eastAsia="Arial" w:hAnsi="Arial"/>
                <w:sz w:val="18"/>
                <w:szCs w:val="18"/>
                <w:color w:val="auto"/>
                <w:w w:val="99"/>
              </w:rPr>
              <w:t>Percentage of board service annual</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 xml:space="preserve">required multiple of the </w:t>
            </w:r>
            <w:r>
              <w:rPr>
                <w:rFonts w:ascii="Arial" w:cs="Arial" w:eastAsia="Arial" w:hAnsi="Arial"/>
                <w:sz w:val="18"/>
                <w:szCs w:val="18"/>
                <w:b w:val="1"/>
                <w:bCs w:val="1"/>
                <w:color w:val="auto"/>
                <w:w w:val="99"/>
              </w:rPr>
              <w:t>annual</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total annual compensation </w:t>
            </w:r>
            <w:r>
              <w:rPr>
                <w:rFonts w:ascii="Arial" w:cs="Arial" w:eastAsia="Arial" w:hAnsi="Arial"/>
                <w:sz w:val="18"/>
                <w:szCs w:val="18"/>
                <w:color w:val="auto"/>
                <w:w w:val="99"/>
              </w:rPr>
              <w:t>for non-</w:t>
            </w:r>
          </w:p>
        </w:tc>
      </w:tr>
      <w:tr>
        <w:trPr>
          <w:trHeight w:val="216"/>
        </w:trPr>
        <w:tc>
          <w:tcPr>
            <w:tcW w:w="2900" w:type="dxa"/>
            <w:vAlign w:val="bottom"/>
          </w:tcPr>
          <w:p>
            <w:pPr>
              <w:jc w:val="center"/>
              <w:spacing w:after="0"/>
              <w:rPr>
                <w:sz w:val="20"/>
                <w:szCs w:val="20"/>
                <w:color w:val="auto"/>
              </w:rPr>
            </w:pPr>
            <w:r>
              <w:rPr>
                <w:rFonts w:ascii="Arial" w:cs="Arial" w:eastAsia="Arial" w:hAnsi="Arial"/>
                <w:sz w:val="18"/>
                <w:szCs w:val="18"/>
                <w:b w:val="1"/>
                <w:bCs w:val="1"/>
                <w:color w:val="auto"/>
              </w:rPr>
              <w:t>retainer linked to the long-term</w:t>
            </w:r>
          </w:p>
        </w:tc>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9"/>
              </w:rPr>
              <w:t>board retainer in share ownership</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employee directors</w:t>
            </w:r>
          </w:p>
        </w:tc>
      </w:tr>
      <w:tr>
        <w:trPr>
          <w:trHeight w:val="247"/>
        </w:trPr>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9"/>
              </w:rPr>
              <w:t>performance of Lilly stock</w:t>
            </w:r>
          </w:p>
        </w:tc>
        <w:tc>
          <w:tcPr>
            <w:tcW w:w="3040" w:type="dxa"/>
            <w:vAlign w:val="bottom"/>
          </w:tcPr>
          <w:p>
            <w:pPr>
              <w:jc w:val="center"/>
              <w:spacing w:after="0"/>
              <w:rPr>
                <w:sz w:val="20"/>
                <w:szCs w:val="20"/>
                <w:color w:val="auto"/>
              </w:rPr>
            </w:pPr>
            <w:r>
              <w:rPr>
                <w:rFonts w:ascii="Arial" w:cs="Arial" w:eastAsia="Arial" w:hAnsi="Arial"/>
                <w:sz w:val="18"/>
                <w:szCs w:val="18"/>
                <w:color w:val="auto"/>
                <w:w w:val="99"/>
              </w:rPr>
              <w:t>for non-employee directors</w:t>
            </w:r>
          </w:p>
        </w:tc>
        <w:tc>
          <w:tcPr>
            <w:tcW w:w="3020" w:type="dxa"/>
            <w:vAlign w:val="bottom"/>
          </w:tcPr>
          <w:p>
            <w:pPr>
              <w:spacing w:after="0"/>
              <w:rPr>
                <w:sz w:val="21"/>
                <w:szCs w:val="2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Governance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Corporate Governance Committee performs an annual review of non-employee director compensation, which includes:</w:t>
      </w:r>
    </w:p>
    <w:p>
      <w:pPr>
        <w:spacing w:after="0" w:line="45" w:lineRule="exact"/>
        <w:rPr>
          <w:sz w:val="20"/>
          <w:szCs w:val="20"/>
          <w:color w:val="auto"/>
        </w:rPr>
      </w:pPr>
    </w:p>
    <w:p>
      <w:pPr>
        <w:ind w:left="500" w:right="520" w:hanging="330"/>
        <w:spacing w:after="0" w:line="281" w:lineRule="auto"/>
        <w:tabs>
          <w:tab w:leader="none" w:pos="517" w:val="left"/>
        </w:tabs>
        <w:numPr>
          <w:ilvl w:val="0"/>
          <w:numId w:val="82"/>
        </w:numPr>
        <w:rPr>
          <w:rFonts w:ascii="Wingdings" w:cs="Wingdings" w:eastAsia="Wingdings" w:hAnsi="Wingdings"/>
          <w:sz w:val="18"/>
          <w:szCs w:val="18"/>
          <w:b w:val="1"/>
          <w:bCs w:val="1"/>
          <w:color w:val="auto"/>
        </w:rPr>
      </w:pPr>
      <w:r>
        <w:rPr>
          <w:rFonts w:ascii="Arial" w:cs="Arial" w:eastAsia="Arial" w:hAnsi="Arial"/>
          <w:sz w:val="18"/>
          <w:szCs w:val="18"/>
          <w:color w:val="auto"/>
        </w:rPr>
        <w:t>conducting a general industry and pharmaceutical company peer group analysis with the assistance of an outside compensation consultant,</w:t>
      </w:r>
    </w:p>
    <w:p>
      <w:pPr>
        <w:spacing w:after="0" w:line="1" w:lineRule="exact"/>
        <w:rPr>
          <w:rFonts w:ascii="Wingdings" w:cs="Wingdings" w:eastAsia="Wingdings" w:hAnsi="Wingdings"/>
          <w:sz w:val="18"/>
          <w:szCs w:val="18"/>
          <w:b w:val="1"/>
          <w:bCs w:val="1"/>
          <w:color w:val="auto"/>
        </w:rPr>
      </w:pPr>
    </w:p>
    <w:p>
      <w:pPr>
        <w:ind w:left="500" w:right="320" w:hanging="330"/>
        <w:spacing w:after="0" w:line="281" w:lineRule="auto"/>
        <w:tabs>
          <w:tab w:leader="none" w:pos="517" w:val="left"/>
        </w:tabs>
        <w:numPr>
          <w:ilvl w:val="0"/>
          <w:numId w:val="82"/>
        </w:numPr>
        <w:rPr>
          <w:rFonts w:ascii="Wingdings" w:cs="Wingdings" w:eastAsia="Wingdings" w:hAnsi="Wingdings"/>
          <w:sz w:val="18"/>
          <w:szCs w:val="18"/>
          <w:b w:val="1"/>
          <w:bCs w:val="1"/>
          <w:color w:val="auto"/>
        </w:rPr>
      </w:pPr>
      <w:r>
        <w:rPr>
          <w:rFonts w:ascii="Arial" w:cs="Arial" w:eastAsia="Arial" w:hAnsi="Arial"/>
          <w:sz w:val="18"/>
          <w:szCs w:val="18"/>
          <w:color w:val="auto"/>
        </w:rPr>
        <w:t>avoiding excess compensation by positioning non-employee director compensation near the market median of the general industry peer group, and</w:t>
      </w:r>
    </w:p>
    <w:p>
      <w:pPr>
        <w:spacing w:after="0" w:line="1" w:lineRule="exact"/>
        <w:rPr>
          <w:rFonts w:ascii="Wingdings" w:cs="Wingdings" w:eastAsia="Wingdings" w:hAnsi="Wingdings"/>
          <w:sz w:val="18"/>
          <w:szCs w:val="18"/>
          <w:b w:val="1"/>
          <w:bCs w:val="1"/>
          <w:color w:val="auto"/>
        </w:rPr>
      </w:pPr>
    </w:p>
    <w:p>
      <w:pPr>
        <w:ind w:left="520" w:hanging="350"/>
        <w:spacing w:after="0"/>
        <w:tabs>
          <w:tab w:leader="none" w:pos="520" w:val="left"/>
        </w:tabs>
        <w:numPr>
          <w:ilvl w:val="0"/>
          <w:numId w:val="82"/>
        </w:numPr>
        <w:rPr>
          <w:rFonts w:ascii="Wingdings" w:cs="Wingdings" w:eastAsia="Wingdings" w:hAnsi="Wingdings"/>
          <w:sz w:val="18"/>
          <w:szCs w:val="18"/>
          <w:b w:val="1"/>
          <w:bCs w:val="1"/>
          <w:color w:val="auto"/>
        </w:rPr>
      </w:pPr>
      <w:r>
        <w:rPr>
          <w:rFonts w:ascii="Arial" w:cs="Arial" w:eastAsia="Arial" w:hAnsi="Arial"/>
          <w:sz w:val="18"/>
          <w:szCs w:val="18"/>
          <w:color w:val="auto"/>
        </w:rPr>
        <w:t>linking most of the compensation to the long-term performance of Lilly stock.</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If the Directors and Corporate Governance Committee determines adjustments to non-employee director compensation are warranted, it will make recommendations to the full board for consideration.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Elements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elements in effect for all non-employee directors in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9"/>
                <w:szCs w:val="19"/>
                <w:b w:val="1"/>
                <w:bCs w:val="1"/>
                <w:color w:val="auto"/>
              </w:rPr>
              <w:t>Compensation Element</w:t>
            </w:r>
          </w:p>
        </w:tc>
        <w:tc>
          <w:tcPr>
            <w:tcW w:w="3720" w:type="dxa"/>
            <w:vAlign w:val="bottom"/>
            <w:tcBorders>
              <w:top w:val="single" w:sz="8" w:color="auto"/>
              <w:bottom w:val="single" w:sz="8" w:color="auto"/>
            </w:tcBorders>
            <w:gridSpan w:val="2"/>
          </w:tcPr>
          <w:p>
            <w:pPr>
              <w:ind w:left="980"/>
              <w:spacing w:after="0"/>
              <w:rPr>
                <w:sz w:val="20"/>
                <w:szCs w:val="20"/>
                <w:color w:val="auto"/>
              </w:rPr>
            </w:pPr>
            <w:r>
              <w:rPr>
                <w:rFonts w:ascii="Arial" w:cs="Arial" w:eastAsia="Arial" w:hAnsi="Arial"/>
                <w:sz w:val="19"/>
                <w:szCs w:val="19"/>
                <w:b w:val="1"/>
                <w:bCs w:val="1"/>
                <w:color w:val="auto"/>
              </w:rPr>
              <w:t>Payment or Value</w:t>
            </w:r>
          </w:p>
        </w:tc>
        <w:tc>
          <w:tcPr>
            <w:tcW w:w="100" w:type="dxa"/>
            <w:vAlign w:val="bottom"/>
          </w:tcPr>
          <w:p>
            <w:pPr>
              <w:spacing w:after="0"/>
              <w:rPr>
                <w:sz w:val="23"/>
                <w:szCs w:val="23"/>
                <w:color w:val="auto"/>
              </w:rPr>
            </w:pPr>
          </w:p>
        </w:tc>
      </w:tr>
      <w:tr>
        <w:trPr>
          <w:trHeight w:val="333"/>
        </w:trPr>
        <w:tc>
          <w:tcPr>
            <w:tcW w:w="5220" w:type="dxa"/>
            <w:vAlign w:val="bottom"/>
          </w:tcPr>
          <w:p>
            <w:pPr>
              <w:ind w:left="80"/>
              <w:spacing w:after="0"/>
              <w:rPr>
                <w:sz w:val="20"/>
                <w:szCs w:val="20"/>
                <w:color w:val="auto"/>
              </w:rPr>
            </w:pPr>
            <w:r>
              <w:rPr>
                <w:rFonts w:ascii="Arial" w:cs="Arial" w:eastAsia="Arial" w:hAnsi="Arial"/>
                <w:sz w:val="19"/>
                <w:szCs w:val="19"/>
                <w:b w:val="1"/>
                <w:bCs w:val="1"/>
                <w:color w:val="0F3A85"/>
              </w:rPr>
              <w:t>Board Service</w:t>
            </w:r>
            <w:r>
              <w:rPr>
                <w:rFonts w:ascii="Arial" w:cs="Arial" w:eastAsia="Arial" w:hAnsi="Arial"/>
                <w:sz w:val="12"/>
                <w:szCs w:val="12"/>
                <w:b w:val="1"/>
                <w:bCs w:val="1"/>
                <w:color w:val="0F3A85"/>
              </w:rPr>
              <w:t>1</w:t>
            </w:r>
          </w:p>
        </w:tc>
        <w:tc>
          <w:tcPr>
            <w:tcW w:w="1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1"/>
        </w:trPr>
        <w:tc>
          <w:tcPr>
            <w:tcW w:w="5220" w:type="dxa"/>
            <w:vAlign w:val="bottom"/>
          </w:tcPr>
          <w:p>
            <w:pPr>
              <w:ind w:left="300"/>
              <w:spacing w:after="0"/>
              <w:rPr>
                <w:sz w:val="20"/>
                <w:szCs w:val="20"/>
                <w:color w:val="auto"/>
              </w:rPr>
            </w:pPr>
            <w:r>
              <w:rPr>
                <w:rFonts w:ascii="Arial" w:cs="Arial" w:eastAsia="Arial" w:hAnsi="Arial"/>
                <w:sz w:val="18"/>
                <w:szCs w:val="18"/>
                <w:color w:val="auto"/>
              </w:rPr>
              <w:t>Annual board retainer</w:t>
            </w:r>
          </w:p>
        </w:tc>
        <w:tc>
          <w:tcPr>
            <w:tcW w:w="1900" w:type="dxa"/>
            <w:vAlign w:val="bottom"/>
          </w:tcPr>
          <w:p>
            <w:pPr>
              <w:ind w:left="980"/>
              <w:spacing w:after="0"/>
              <w:rPr>
                <w:sz w:val="20"/>
                <w:szCs w:val="20"/>
                <w:color w:val="auto"/>
              </w:rPr>
            </w:pPr>
            <w:r>
              <w:rPr>
                <w:rFonts w:ascii="Arial" w:cs="Arial" w:eastAsia="Arial" w:hAnsi="Arial"/>
                <w:sz w:val="18"/>
                <w:szCs w:val="18"/>
                <w:color w:val="auto"/>
              </w:rPr>
              <w:t>$110,000</w:t>
            </w: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93"/>
        </w:trPr>
        <w:tc>
          <w:tcPr>
            <w:tcW w:w="5220" w:type="dxa"/>
            <w:vAlign w:val="bottom"/>
          </w:tcPr>
          <w:p>
            <w:pPr>
              <w:ind w:left="300"/>
              <w:spacing w:after="0"/>
              <w:rPr>
                <w:sz w:val="20"/>
                <w:szCs w:val="20"/>
                <w:color w:val="auto"/>
              </w:rPr>
            </w:pPr>
            <w:r>
              <w:rPr>
                <w:rFonts w:ascii="Arial" w:cs="Arial" w:eastAsia="Arial" w:hAnsi="Arial"/>
                <w:sz w:val="18"/>
                <w:szCs w:val="18"/>
                <w:color w:val="auto"/>
              </w:rPr>
              <w:t>Annual stock grant</w:t>
            </w:r>
            <w:r>
              <w:rPr>
                <w:rFonts w:ascii="Arial" w:cs="Arial" w:eastAsia="Arial" w:hAnsi="Arial"/>
                <w:sz w:val="23"/>
                <w:szCs w:val="23"/>
                <w:color w:val="auto"/>
                <w:vertAlign w:val="superscript"/>
              </w:rPr>
              <w:t>2</w:t>
            </w:r>
          </w:p>
        </w:tc>
        <w:tc>
          <w:tcPr>
            <w:tcW w:w="3820" w:type="dxa"/>
            <w:vAlign w:val="bottom"/>
            <w:gridSpan w:val="3"/>
          </w:tcPr>
          <w:p>
            <w:pPr>
              <w:ind w:left="980"/>
              <w:spacing w:after="0"/>
              <w:rPr>
                <w:sz w:val="20"/>
                <w:szCs w:val="20"/>
                <w:color w:val="auto"/>
              </w:rPr>
            </w:pPr>
            <w:r>
              <w:rPr>
                <w:rFonts w:ascii="Arial" w:cs="Arial" w:eastAsia="Arial" w:hAnsi="Arial"/>
                <w:sz w:val="18"/>
                <w:szCs w:val="18"/>
                <w:color w:val="auto"/>
              </w:rPr>
              <w:t>$220,000 in deferred stock units</w:t>
            </w:r>
          </w:p>
        </w:tc>
      </w:tr>
      <w:tr>
        <w:trPr>
          <w:trHeight w:val="240"/>
        </w:trPr>
        <w:tc>
          <w:tcPr>
            <w:tcW w:w="5220" w:type="dxa"/>
            <w:vAlign w:val="bottom"/>
            <w:tcBorders>
              <w:top w:val="single" w:sz="8" w:color="929292"/>
            </w:tcBorders>
          </w:tcPr>
          <w:p>
            <w:pPr>
              <w:ind w:left="300"/>
              <w:spacing w:after="0"/>
              <w:rPr>
                <w:sz w:val="20"/>
                <w:szCs w:val="20"/>
                <w:color w:val="auto"/>
              </w:rPr>
            </w:pPr>
            <w:r>
              <w:rPr>
                <w:rFonts w:ascii="Arial" w:cs="Arial" w:eastAsia="Arial" w:hAnsi="Arial"/>
                <w:sz w:val="18"/>
                <w:szCs w:val="18"/>
                <w:color w:val="auto"/>
              </w:rPr>
              <w:t>Lead independent director</w:t>
            </w:r>
          </w:p>
        </w:tc>
        <w:tc>
          <w:tcPr>
            <w:tcW w:w="1900" w:type="dxa"/>
            <w:vAlign w:val="bottom"/>
            <w:tcBorders>
              <w:top w:val="single" w:sz="8" w:color="929292"/>
            </w:tcBorders>
          </w:tcPr>
          <w:p>
            <w:pPr>
              <w:ind w:left="980"/>
              <w:spacing w:after="0"/>
              <w:rPr>
                <w:sz w:val="20"/>
                <w:szCs w:val="20"/>
                <w:color w:val="auto"/>
              </w:rPr>
            </w:pPr>
            <w:r>
              <w:rPr>
                <w:rFonts w:ascii="Arial" w:cs="Arial" w:eastAsia="Arial" w:hAnsi="Arial"/>
                <w:sz w:val="18"/>
                <w:szCs w:val="18"/>
                <w:color w:val="auto"/>
              </w:rPr>
              <w:t>$40,000</w:t>
            </w:r>
          </w:p>
        </w:tc>
        <w:tc>
          <w:tcPr>
            <w:tcW w:w="1820" w:type="dxa"/>
            <w:vAlign w:val="bottom"/>
            <w:tcBorders>
              <w:top w:val="single" w:sz="8" w:color="929292"/>
            </w:tcBorders>
          </w:tcPr>
          <w:p>
            <w:pPr>
              <w:spacing w:after="0"/>
              <w:rPr>
                <w:sz w:val="20"/>
                <w:szCs w:val="20"/>
                <w:color w:val="auto"/>
              </w:rPr>
            </w:pPr>
          </w:p>
        </w:tc>
        <w:tc>
          <w:tcPr>
            <w:tcW w:w="100" w:type="dxa"/>
            <w:vAlign w:val="bottom"/>
          </w:tcPr>
          <w:p>
            <w:pPr>
              <w:spacing w:after="0"/>
              <w:rPr>
                <w:sz w:val="20"/>
                <w:szCs w:val="20"/>
                <w:color w:val="auto"/>
              </w:rPr>
            </w:pPr>
          </w:p>
        </w:tc>
      </w:tr>
      <w:tr>
        <w:trPr>
          <w:trHeight w:val="363"/>
        </w:trPr>
        <w:tc>
          <w:tcPr>
            <w:tcW w:w="5220" w:type="dxa"/>
            <w:vAlign w:val="bottom"/>
          </w:tcPr>
          <w:p>
            <w:pPr>
              <w:ind w:left="80"/>
              <w:spacing w:after="0"/>
              <w:rPr>
                <w:sz w:val="20"/>
                <w:szCs w:val="20"/>
                <w:color w:val="auto"/>
              </w:rPr>
            </w:pPr>
            <w:r>
              <w:rPr>
                <w:rFonts w:ascii="Arial" w:cs="Arial" w:eastAsia="Arial" w:hAnsi="Arial"/>
                <w:sz w:val="19"/>
                <w:szCs w:val="19"/>
                <w:b w:val="1"/>
                <w:bCs w:val="1"/>
                <w:color w:val="0F3A85"/>
              </w:rPr>
              <w:t>Committee Service</w:t>
            </w:r>
            <w:r>
              <w:rPr>
                <w:rFonts w:ascii="Arial" w:cs="Arial" w:eastAsia="Arial" w:hAnsi="Arial"/>
                <w:sz w:val="12"/>
                <w:szCs w:val="12"/>
                <w:b w:val="1"/>
                <w:bCs w:val="1"/>
                <w:color w:val="0F3A85"/>
              </w:rPr>
              <w:t>3</w:t>
            </w:r>
          </w:p>
        </w:tc>
        <w:tc>
          <w:tcPr>
            <w:tcW w:w="1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6"/>
        </w:trPr>
        <w:tc>
          <w:tcPr>
            <w:tcW w:w="5220" w:type="dxa"/>
            <w:vAlign w:val="bottom"/>
          </w:tcPr>
          <w:p>
            <w:pPr>
              <w:ind w:left="220"/>
              <w:spacing w:after="0"/>
              <w:rPr>
                <w:sz w:val="20"/>
                <w:szCs w:val="20"/>
                <w:color w:val="auto"/>
              </w:rPr>
            </w:pPr>
            <w:r>
              <w:rPr>
                <w:rFonts w:ascii="Arial" w:cs="Arial" w:eastAsia="Arial" w:hAnsi="Arial"/>
                <w:sz w:val="18"/>
                <w:szCs w:val="18"/>
                <w:b w:val="1"/>
                <w:bCs w:val="1"/>
                <w:color w:val="auto"/>
              </w:rPr>
              <w:t>Annual Committee Retainer</w:t>
            </w:r>
          </w:p>
        </w:tc>
        <w:tc>
          <w:tcPr>
            <w:tcW w:w="1900" w:type="dxa"/>
            <w:vAlign w:val="bottom"/>
          </w:tcPr>
          <w:p>
            <w:pPr>
              <w:ind w:left="980"/>
              <w:spacing w:after="0"/>
              <w:rPr>
                <w:sz w:val="20"/>
                <w:szCs w:val="20"/>
                <w:color w:val="auto"/>
              </w:rPr>
            </w:pPr>
            <w:r>
              <w:rPr>
                <w:rFonts w:ascii="Arial" w:cs="Arial" w:eastAsia="Arial" w:hAnsi="Arial"/>
                <w:sz w:val="18"/>
                <w:szCs w:val="18"/>
                <w:b w:val="1"/>
                <w:bCs w:val="1"/>
                <w:color w:val="auto"/>
              </w:rPr>
              <w:t>Chair</w:t>
            </w: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Member</w:t>
            </w:r>
          </w:p>
        </w:tc>
      </w:tr>
      <w:tr>
        <w:trPr>
          <w:trHeight w:val="262"/>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Audit Committee</w:t>
            </w:r>
          </w:p>
        </w:tc>
        <w:tc>
          <w:tcPr>
            <w:tcW w:w="1900" w:type="dxa"/>
            <w:vAlign w:val="bottom"/>
          </w:tcPr>
          <w:p>
            <w:pPr>
              <w:ind w:left="980"/>
              <w:spacing w:after="0"/>
              <w:rPr>
                <w:sz w:val="20"/>
                <w:szCs w:val="20"/>
                <w:color w:val="auto"/>
              </w:rPr>
            </w:pPr>
            <w:r>
              <w:rPr>
                <w:rFonts w:ascii="Arial" w:cs="Arial" w:eastAsia="Arial" w:hAnsi="Arial"/>
                <w:sz w:val="18"/>
                <w:szCs w:val="18"/>
                <w:color w:val="auto"/>
              </w:rPr>
              <w:t>$29,000</w:t>
            </w:r>
          </w:p>
        </w:tc>
        <w:tc>
          <w:tcPr>
            <w:tcW w:w="1820" w:type="dxa"/>
            <w:vAlign w:val="bottom"/>
          </w:tcPr>
          <w:p>
            <w:pPr>
              <w:ind w:left="20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2"/>
                <w:szCs w:val="22"/>
                <w:color w:val="auto"/>
              </w:rPr>
            </w:pPr>
          </w:p>
        </w:tc>
      </w:tr>
      <w:tr>
        <w:trPr>
          <w:trHeight w:val="270"/>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Science and Technology Committee</w:t>
            </w:r>
          </w:p>
        </w:tc>
        <w:tc>
          <w:tcPr>
            <w:tcW w:w="1900" w:type="dxa"/>
            <w:vAlign w:val="bottom"/>
          </w:tcPr>
          <w:p>
            <w:pPr>
              <w:ind w:left="980"/>
              <w:spacing w:after="0"/>
              <w:rPr>
                <w:sz w:val="20"/>
                <w:szCs w:val="20"/>
                <w:color w:val="auto"/>
              </w:rPr>
            </w:pPr>
            <w:r>
              <w:rPr>
                <w:rFonts w:ascii="Arial" w:cs="Arial" w:eastAsia="Arial" w:hAnsi="Arial"/>
                <w:sz w:val="18"/>
                <w:szCs w:val="18"/>
                <w:color w:val="auto"/>
              </w:rPr>
              <w:t>$23,000</w:t>
            </w:r>
          </w:p>
        </w:tc>
        <w:tc>
          <w:tcPr>
            <w:tcW w:w="1820" w:type="dxa"/>
            <w:vAlign w:val="bottom"/>
          </w:tcPr>
          <w:p>
            <w:pPr>
              <w:ind w:left="20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3"/>
                <w:szCs w:val="23"/>
                <w:color w:val="auto"/>
              </w:rPr>
            </w:pPr>
          </w:p>
        </w:tc>
      </w:tr>
      <w:tr>
        <w:trPr>
          <w:trHeight w:val="270"/>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Talent and Compensation Committee</w:t>
            </w:r>
          </w:p>
        </w:tc>
        <w:tc>
          <w:tcPr>
            <w:tcW w:w="1900" w:type="dxa"/>
            <w:vAlign w:val="bottom"/>
          </w:tcPr>
          <w:p>
            <w:pPr>
              <w:ind w:left="980"/>
              <w:spacing w:after="0"/>
              <w:rPr>
                <w:sz w:val="20"/>
                <w:szCs w:val="20"/>
                <w:color w:val="auto"/>
              </w:rPr>
            </w:pPr>
            <w:r>
              <w:rPr>
                <w:rFonts w:ascii="Arial" w:cs="Arial" w:eastAsia="Arial" w:hAnsi="Arial"/>
                <w:sz w:val="18"/>
                <w:szCs w:val="18"/>
                <w:color w:val="auto"/>
              </w:rPr>
              <w:t>$22,000</w:t>
            </w:r>
          </w:p>
        </w:tc>
        <w:tc>
          <w:tcPr>
            <w:tcW w:w="1820" w:type="dxa"/>
            <w:vAlign w:val="bottom"/>
          </w:tcPr>
          <w:p>
            <w:pPr>
              <w:ind w:left="20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r>
      <w:tr>
        <w:trPr>
          <w:trHeight w:val="270"/>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Ethics and Compliance Committee</w:t>
            </w:r>
          </w:p>
        </w:tc>
        <w:tc>
          <w:tcPr>
            <w:tcW w:w="1900" w:type="dxa"/>
            <w:vAlign w:val="bottom"/>
          </w:tcPr>
          <w:p>
            <w:pPr>
              <w:ind w:left="980"/>
              <w:spacing w:after="0"/>
              <w:rPr>
                <w:sz w:val="20"/>
                <w:szCs w:val="20"/>
                <w:color w:val="auto"/>
              </w:rPr>
            </w:pPr>
            <w:r>
              <w:rPr>
                <w:rFonts w:ascii="Arial" w:cs="Arial" w:eastAsia="Arial" w:hAnsi="Arial"/>
                <w:sz w:val="18"/>
                <w:szCs w:val="18"/>
                <w:color w:val="auto"/>
              </w:rPr>
              <w:t>$22,000</w:t>
            </w:r>
          </w:p>
        </w:tc>
        <w:tc>
          <w:tcPr>
            <w:tcW w:w="1820" w:type="dxa"/>
            <w:vAlign w:val="bottom"/>
          </w:tcPr>
          <w:p>
            <w:pPr>
              <w:ind w:left="20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r>
      <w:tr>
        <w:trPr>
          <w:trHeight w:val="283"/>
        </w:trPr>
        <w:tc>
          <w:tcPr>
            <w:tcW w:w="5220" w:type="dxa"/>
            <w:vAlign w:val="bottom"/>
          </w:tcPr>
          <w:p>
            <w:pPr>
              <w:ind w:left="360"/>
              <w:spacing w:after="0"/>
              <w:rPr>
                <w:sz w:val="20"/>
                <w:szCs w:val="20"/>
                <w:color w:val="auto"/>
              </w:rPr>
            </w:pPr>
            <w:r>
              <w:rPr>
                <w:rFonts w:ascii="Arial" w:cs="Arial" w:eastAsia="Arial" w:hAnsi="Arial"/>
                <w:sz w:val="18"/>
                <w:szCs w:val="18"/>
                <w:i w:val="1"/>
                <w:iCs w:val="1"/>
                <w:color w:val="auto"/>
              </w:rPr>
              <w:t>Directors and Corporate Governance Committee</w:t>
            </w:r>
          </w:p>
        </w:tc>
        <w:tc>
          <w:tcPr>
            <w:tcW w:w="1900" w:type="dxa"/>
            <w:vAlign w:val="bottom"/>
          </w:tcPr>
          <w:p>
            <w:pPr>
              <w:ind w:left="980"/>
              <w:spacing w:after="0"/>
              <w:rPr>
                <w:sz w:val="20"/>
                <w:szCs w:val="20"/>
                <w:color w:val="auto"/>
              </w:rPr>
            </w:pPr>
            <w:r>
              <w:rPr>
                <w:rFonts w:ascii="Arial" w:cs="Arial" w:eastAsia="Arial" w:hAnsi="Arial"/>
                <w:sz w:val="18"/>
                <w:szCs w:val="18"/>
                <w:color w:val="auto"/>
              </w:rPr>
              <w:t>$22,000</w:t>
            </w:r>
          </w:p>
        </w:tc>
        <w:tc>
          <w:tcPr>
            <w:tcW w:w="1820" w:type="dxa"/>
            <w:vAlign w:val="bottom"/>
          </w:tcPr>
          <w:p>
            <w:pPr>
              <w:ind w:left="20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4"/>
                <w:szCs w:val="24"/>
                <w:color w:val="auto"/>
              </w:rPr>
            </w:pPr>
          </w:p>
        </w:tc>
      </w:tr>
      <w:tr>
        <w:trPr>
          <w:trHeight w:val="23"/>
        </w:trPr>
        <w:tc>
          <w:tcPr>
            <w:tcW w:w="712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3"/>
        </w:trPr>
        <w:tc>
          <w:tcPr>
            <w:tcW w:w="7120" w:type="dxa"/>
            <w:vAlign w:val="bottom"/>
            <w:tcBorders>
              <w:bottom w:val="single" w:sz="8" w:color="auto"/>
            </w:tcBorders>
            <w:gridSpan w:val="2"/>
            <w:shd w:val="clear" w:color="auto" w:fill="D52B1E"/>
          </w:tcPr>
          <w:p>
            <w:pPr>
              <w:ind w:left="2760"/>
              <w:spacing w:after="0"/>
              <w:rPr>
                <w:sz w:val="20"/>
                <w:szCs w:val="20"/>
                <w:color w:val="auto"/>
              </w:rPr>
            </w:pPr>
            <w:r>
              <w:rPr>
                <w:rFonts w:ascii="Arial" w:cs="Arial" w:eastAsia="Arial" w:hAnsi="Arial"/>
                <w:sz w:val="18"/>
                <w:szCs w:val="18"/>
                <w:i w:val="1"/>
                <w:iCs w:val="1"/>
                <w:color w:val="FFFFFF"/>
              </w:rPr>
              <w:t>Total Compensation Value Cap of $800,000</w:t>
            </w:r>
            <w:r>
              <w:rPr>
                <w:rFonts w:ascii="Arial" w:cs="Arial" w:eastAsia="Arial" w:hAnsi="Arial"/>
                <w:sz w:val="23"/>
                <w:szCs w:val="23"/>
                <w:i w:val="1"/>
                <w:iCs w:val="1"/>
                <w:color w:val="FFFFFF"/>
                <w:vertAlign w:val="superscript"/>
              </w:rPr>
              <w:t>4</w:t>
            </w:r>
          </w:p>
        </w:tc>
        <w:tc>
          <w:tcPr>
            <w:tcW w:w="1820" w:type="dxa"/>
            <w:vAlign w:val="bottom"/>
            <w:tcBorders>
              <w:bottom w:val="single" w:sz="8" w:color="auto"/>
            </w:tcBorders>
            <w:shd w:val="clear" w:color="auto" w:fill="D52B1E"/>
          </w:tcPr>
          <w:p>
            <w:pPr>
              <w:spacing w:after="0"/>
              <w:rPr>
                <w:sz w:val="22"/>
                <w:szCs w:val="22"/>
                <w:color w:val="auto"/>
              </w:rPr>
            </w:pPr>
          </w:p>
        </w:tc>
        <w:tc>
          <w:tcPr>
            <w:tcW w:w="100" w:type="dxa"/>
            <w:vAlign w:val="bottom"/>
            <w:tcBorders>
              <w:bottom w:val="single" w:sz="8" w:color="auto"/>
            </w:tcBorders>
            <w:shd w:val="clear" w:color="auto" w:fill="D52B1E"/>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56749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218" w:lineRule="exact"/>
        <w:rPr>
          <w:sz w:val="20"/>
          <w:szCs w:val="20"/>
          <w:color w:val="auto"/>
        </w:rPr>
      </w:pPr>
    </w:p>
    <w:p>
      <w:pPr>
        <w:ind w:left="180" w:right="280" w:hanging="172"/>
        <w:spacing w:after="0" w:line="231" w:lineRule="auto"/>
        <w:tabs>
          <w:tab w:leader="none" w:pos="133" w:val="left"/>
        </w:tabs>
        <w:numPr>
          <w:ilvl w:val="0"/>
          <w:numId w:val="83"/>
        </w:numPr>
        <w:rPr>
          <w:rFonts w:ascii="Arial" w:cs="Arial" w:eastAsia="Arial" w:hAnsi="Arial"/>
          <w:sz w:val="23"/>
          <w:szCs w:val="23"/>
          <w:color w:val="auto"/>
          <w:vertAlign w:val="superscript"/>
        </w:rPr>
      </w:pPr>
      <w:r>
        <w:rPr>
          <w:rFonts w:ascii="Arial" w:cs="Arial" w:eastAsia="Arial" w:hAnsi="Arial"/>
          <w:sz w:val="18"/>
          <w:szCs w:val="18"/>
          <w:b w:val="1"/>
          <w:bCs w:val="1"/>
          <w:color w:val="auto"/>
        </w:rPr>
        <w:t>Expenses</w:t>
      </w:r>
      <w:r>
        <w:rPr>
          <w:rFonts w:ascii="Arial" w:cs="Arial" w:eastAsia="Arial" w:hAnsi="Arial"/>
          <w:sz w:val="18"/>
          <w:szCs w:val="18"/>
          <w:color w:val="auto"/>
        </w:rPr>
        <w:t>. Directors are reimbursed for customary and usual travel expenses in connection with their travel to and from board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company events.</w:t>
      </w:r>
    </w:p>
    <w:p>
      <w:pPr>
        <w:spacing w:after="0" w:line="86" w:lineRule="exact"/>
        <w:rPr>
          <w:sz w:val="20"/>
          <w:szCs w:val="20"/>
          <w:color w:val="auto"/>
        </w:rPr>
      </w:pPr>
    </w:p>
    <w:p>
      <w:pPr>
        <w:jc w:val="both"/>
        <w:ind w:left="180" w:right="140" w:hanging="172"/>
        <w:spacing w:after="0"/>
        <w:tabs>
          <w:tab w:leader="none" w:pos="133" w:val="left"/>
        </w:tabs>
        <w:numPr>
          <w:ilvl w:val="0"/>
          <w:numId w:val="84"/>
        </w:numPr>
        <w:rPr>
          <w:rFonts w:ascii="Arial" w:cs="Arial" w:eastAsia="Arial" w:hAnsi="Arial"/>
          <w:sz w:val="23"/>
          <w:szCs w:val="23"/>
          <w:color w:val="auto"/>
          <w:vertAlign w:val="superscript"/>
        </w:rPr>
      </w:pPr>
      <w:r>
        <w:rPr>
          <w:rFonts w:ascii="Arial" w:cs="Arial" w:eastAsia="Arial" w:hAnsi="Arial"/>
          <w:sz w:val="18"/>
          <w:szCs w:val="18"/>
          <w:b w:val="1"/>
          <w:bCs w:val="1"/>
          <w:color w:val="auto"/>
        </w:rPr>
        <w:t>Stock Compensation</w:t>
      </w:r>
      <w:r>
        <w:rPr>
          <w:rFonts w:ascii="Arial" w:cs="Arial" w:eastAsia="Arial" w:hAnsi="Arial"/>
          <w:sz w:val="18"/>
          <w:szCs w:val="18"/>
          <w:color w:val="auto"/>
        </w:rPr>
        <w:t>. Non-employee directors received an annual stock-based award that was credited to each non-employee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stock account established under the Lilly Directors’ Deferral Plan. The units were calculated by dividing $220,000 by the closing stock price on a pre-set annual date, yielding approximately 215 units. When applicable, the annual stock-based award was prorated for time served. See “</w:t>
      </w:r>
      <w:r>
        <w:rPr>
          <w:rFonts w:ascii="Arial" w:cs="Arial" w:eastAsia="Arial" w:hAnsi="Arial"/>
          <w:sz w:val="18"/>
          <w:szCs w:val="18"/>
          <w:u w:val="single" w:color="auto"/>
          <w:color w:val="0000FF"/>
        </w:rPr>
        <w:t>Lilly Directors’ Deferral Plan—Deferred Stock Account</w:t>
      </w:r>
      <w:r>
        <w:rPr>
          <w:rFonts w:ascii="Arial" w:cs="Arial" w:eastAsia="Arial" w:hAnsi="Arial"/>
          <w:sz w:val="18"/>
          <w:szCs w:val="18"/>
          <w:color w:val="auto"/>
        </w:rPr>
        <w:t>”.</w:t>
      </w:r>
    </w:p>
    <w:p>
      <w:pPr>
        <w:spacing w:after="0" w:line="87" w:lineRule="exact"/>
        <w:rPr>
          <w:sz w:val="20"/>
          <w:szCs w:val="20"/>
          <w:color w:val="auto"/>
        </w:rPr>
      </w:pPr>
    </w:p>
    <w:p>
      <w:pPr>
        <w:ind w:left="180" w:hanging="172"/>
        <w:spacing w:after="0" w:line="231" w:lineRule="auto"/>
        <w:tabs>
          <w:tab w:leader="none" w:pos="115" w:val="left"/>
        </w:tabs>
        <w:numPr>
          <w:ilvl w:val="0"/>
          <w:numId w:val="85"/>
        </w:numPr>
        <w:rPr>
          <w:rFonts w:ascii="Arial" w:cs="Arial" w:eastAsia="Arial" w:hAnsi="Arial"/>
          <w:sz w:val="23"/>
          <w:szCs w:val="23"/>
          <w:color w:val="auto"/>
          <w:vertAlign w:val="superscript"/>
        </w:rPr>
      </w:pPr>
      <w:r>
        <w:rPr>
          <w:rFonts w:ascii="Arial" w:cs="Arial" w:eastAsia="Arial" w:hAnsi="Arial"/>
          <w:sz w:val="18"/>
          <w:szCs w:val="18"/>
          <w:b w:val="1"/>
          <w:bCs w:val="1"/>
          <w:color w:val="auto"/>
        </w:rPr>
        <w:t>Ad Hoc Committees</w:t>
      </w:r>
      <w:r>
        <w:rPr>
          <w:rFonts w:ascii="Arial" w:cs="Arial" w:eastAsia="Arial" w:hAnsi="Arial"/>
          <w:sz w:val="18"/>
          <w:szCs w:val="18"/>
          <w:color w:val="auto"/>
        </w:rPr>
        <w:t>. Non-employee directors may receive additional cash compensation for serving on ad hoc board committees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formed by the board from time to time. Committee chair retainers are in addition to member retainers.</w:t>
      </w:r>
    </w:p>
    <w:p>
      <w:pPr>
        <w:spacing w:after="0" w:line="86" w:lineRule="exact"/>
        <w:rPr>
          <w:sz w:val="20"/>
          <w:szCs w:val="20"/>
          <w:color w:val="auto"/>
        </w:rPr>
      </w:pPr>
    </w:p>
    <w:p>
      <w:pPr>
        <w:ind w:left="180" w:right="20" w:hanging="172"/>
        <w:spacing w:after="0"/>
        <w:tabs>
          <w:tab w:leader="none" w:pos="115"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b w:val="1"/>
          <w:bCs w:val="1"/>
          <w:color w:val="auto"/>
        </w:rPr>
        <w:t>Annual Compensation Cap for Directors</w:t>
      </w:r>
      <w:r>
        <w:rPr>
          <w:rFonts w:ascii="Arial" w:cs="Arial" w:eastAsia="Arial" w:hAnsi="Arial"/>
          <w:sz w:val="18"/>
          <w:szCs w:val="18"/>
          <w:color w:val="auto"/>
        </w:rPr>
        <w:t>. The board approved a cap to the total annual compensation (cash and stock compensation)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sectPr>
          <w:pgSz w:w="11900" w:h="16838" w:orient="portrait"/>
          <w:cols w:equalWidth="0" w:num="1">
            <w:col w:w="11220"/>
          </w:cols>
          <w:pgMar w:left="320" w:top="1033" w:right="35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30" w:name="page31"/>
    <w:bookmarkEnd w:id="30"/>
    <w:p>
      <w:pPr>
        <w:spacing w:after="0" w:line="259" w:lineRule="auto"/>
        <w:rPr>
          <w:sz w:val="20"/>
          <w:szCs w:val="20"/>
          <w:color w:val="auto"/>
        </w:rPr>
      </w:pPr>
      <w:r>
        <w:rPr>
          <w:rFonts w:ascii="Arial" w:cs="Arial" w:eastAsia="Arial" w:hAnsi="Arial"/>
          <w:sz w:val="18"/>
          <w:szCs w:val="18"/>
          <w:b w:val="1"/>
          <w:bCs w:val="1"/>
          <w:color w:val="auto"/>
        </w:rPr>
        <w:t>Changes for 2026</w:t>
      </w:r>
      <w:r>
        <w:rPr>
          <w:rFonts w:ascii="Arial" w:cs="Arial" w:eastAsia="Arial" w:hAnsi="Arial"/>
          <w:sz w:val="18"/>
          <w:szCs w:val="18"/>
          <w:color w:val="auto"/>
        </w:rPr>
        <w:t>. Following the Directors and Corporate Governance Committee’s review of non-employee director compensation,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approved increases to (i) the annual stock grant (to $240,000 in deferred stock units); (ii) the lead director annual retainer (to $50,000); and (iii) the chair retainers for the Audit Committee (to $34,000), the Science and Technology Committee and Talent and Compensation Committee (to $30,000 each), and the Directors and Corporate Governance Committee and Ethics and Compliance Committee (to $25,000 each), effective January 1, 2026. No other changes were implemented.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Ownership Guidelines</w:t>
      </w:r>
    </w:p>
    <w:p>
      <w:pPr>
        <w:spacing w:after="0" w:line="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Non-employee directors are required to hold Lilly stock, directly, through units representing the right to receive shares of Lilly stock or as notional units that will be later paid in cash under the Lilly Directors’ Deferral Plan, valued at no less than five times their annual board retainer. New non-employee directors are allowed five years to reach the required ownership level. All non-employee directors are compliant with these guidelines.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Lilly Directors’ Deferral Plan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Lilly Directors’ Deferral Plan allows non-employee directors to defer their compensation during active service as described below.</w:t>
      </w:r>
    </w:p>
    <w:p>
      <w:pPr>
        <w:spacing w:after="0" w:line="202" w:lineRule="exact"/>
        <w:rPr>
          <w:sz w:val="20"/>
          <w:szCs w:val="20"/>
          <w:color w:val="auto"/>
        </w:rPr>
      </w:pPr>
    </w:p>
    <w:p>
      <w:pPr>
        <w:ind w:left="500" w:right="20" w:hanging="330"/>
        <w:spacing w:after="0" w:line="286" w:lineRule="auto"/>
        <w:tabs>
          <w:tab w:leader="none" w:pos="489" w:val="left"/>
        </w:tabs>
        <w:numPr>
          <w:ilvl w:val="0"/>
          <w:numId w:val="87"/>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Annual Stock Allocation. </w:t>
      </w:r>
      <w:r>
        <w:rPr>
          <w:rFonts w:ascii="Arial" w:cs="Arial" w:eastAsia="Arial" w:hAnsi="Arial"/>
          <w:sz w:val="17"/>
          <w:szCs w:val="17"/>
          <w:color w:val="000000"/>
        </w:rPr>
        <w:t>Each non-employee director receives an annual allocation of Lilly stock, which is mandatorily deferred.</w:t>
      </w:r>
      <w:r>
        <w:rPr>
          <w:rFonts w:ascii="Arial" w:cs="Arial" w:eastAsia="Arial" w:hAnsi="Arial"/>
          <w:sz w:val="20"/>
          <w:szCs w:val="20"/>
          <w:b w:val="1"/>
          <w:bCs w:val="1"/>
          <w:color w:val="D52B1E"/>
        </w:rPr>
        <w:t xml:space="preserve"> </w:t>
      </w:r>
      <w:r>
        <w:rPr>
          <w:rFonts w:ascii="Arial" w:cs="Arial" w:eastAsia="Arial" w:hAnsi="Arial"/>
          <w:sz w:val="17"/>
          <w:szCs w:val="17"/>
          <w:color w:val="000000"/>
        </w:rPr>
        <w:t>Funds are credited as units representing the right to receive shares of company stock. Hypothetical dividends are deemed “reinvested” in additional units based on the market price of the stock on the date dividends are paid.</w:t>
      </w:r>
    </w:p>
    <w:p>
      <w:pPr>
        <w:spacing w:after="0" w:line="151" w:lineRule="exact"/>
        <w:rPr>
          <w:rFonts w:ascii="Arial" w:cs="Arial" w:eastAsia="Arial" w:hAnsi="Arial"/>
          <w:sz w:val="16"/>
          <w:szCs w:val="16"/>
          <w:b w:val="1"/>
          <w:bCs w:val="1"/>
          <w:color w:val="D52B1E"/>
        </w:rPr>
      </w:pPr>
    </w:p>
    <w:p>
      <w:pPr>
        <w:ind w:left="500" w:right="40" w:hanging="330"/>
        <w:spacing w:after="0" w:line="278" w:lineRule="auto"/>
        <w:tabs>
          <w:tab w:leader="none" w:pos="489" w:val="left"/>
        </w:tabs>
        <w:numPr>
          <w:ilvl w:val="0"/>
          <w:numId w:val="87"/>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Cash Compensation Deferral. </w:t>
      </w:r>
      <w:r>
        <w:rPr>
          <w:rFonts w:ascii="Arial" w:cs="Arial" w:eastAsia="Arial" w:hAnsi="Arial"/>
          <w:sz w:val="17"/>
          <w:szCs w:val="17"/>
          <w:color w:val="000000"/>
        </w:rPr>
        <w:t>Non-employee directors may voluntarily elect to defer receipt of all or part of their cash</w:t>
      </w:r>
      <w:r>
        <w:rPr>
          <w:rFonts w:ascii="Arial" w:cs="Arial" w:eastAsia="Arial" w:hAnsi="Arial"/>
          <w:sz w:val="20"/>
          <w:szCs w:val="20"/>
          <w:b w:val="1"/>
          <w:bCs w:val="1"/>
          <w:color w:val="D52B1E"/>
        </w:rPr>
        <w:t xml:space="preserve"> </w:t>
      </w:r>
      <w:r>
        <w:rPr>
          <w:rFonts w:ascii="Arial" w:cs="Arial" w:eastAsia="Arial" w:hAnsi="Arial"/>
          <w:sz w:val="17"/>
          <w:szCs w:val="17"/>
          <w:color w:val="000000"/>
        </w:rPr>
        <w:t>compensation (meeting fees, retainers, and committee fees). Participants choose from a selection of investment funds (including company stock), and the deferred compensation in their account earns returns based on the performance of the investment funds they have selected.</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investment return that accrued in 2025 for the participating directors was $292,742.</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Deferrals may be paid as a lump sum or in annual installments for up to 10 years in alignment with individual elections made at the time of deferral. All payments begin in January of the second year following the director's departure from board service.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Compensation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56749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220" w:type="dxa"/>
            <w:vAlign w:val="bottom"/>
          </w:tcPr>
          <w:p>
            <w:pPr>
              <w:jc w:val="center"/>
              <w:ind w:left="510"/>
              <w:spacing w:after="0"/>
              <w:rPr>
                <w:sz w:val="20"/>
                <w:szCs w:val="20"/>
                <w:color w:val="auto"/>
              </w:rPr>
            </w:pPr>
            <w:r>
              <w:rPr>
                <w:rFonts w:ascii="Arial" w:cs="Arial" w:eastAsia="Arial" w:hAnsi="Arial"/>
                <w:sz w:val="18"/>
                <w:szCs w:val="18"/>
                <w:b w:val="1"/>
                <w:bCs w:val="1"/>
                <w:color w:val="auto"/>
                <w:w w:val="98"/>
              </w:rPr>
              <w:t>Fees Earned</w:t>
            </w:r>
          </w:p>
        </w:tc>
        <w:tc>
          <w:tcPr>
            <w:tcW w:w="1500" w:type="dxa"/>
            <w:vAlign w:val="bottom"/>
          </w:tcPr>
          <w:p>
            <w:pPr>
              <w:spacing w:after="0"/>
              <w:rPr>
                <w:sz w:val="18"/>
                <w:szCs w:val="18"/>
                <w:color w:val="auto"/>
              </w:rPr>
            </w:pP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All Other</w:t>
            </w:r>
          </w:p>
        </w:tc>
        <w:tc>
          <w:tcPr>
            <w:tcW w:w="126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2220" w:type="dxa"/>
            <w:vAlign w:val="bottom"/>
          </w:tcPr>
          <w:p>
            <w:pPr>
              <w:jc w:val="center"/>
              <w:ind w:left="510"/>
              <w:spacing w:after="0"/>
              <w:rPr>
                <w:sz w:val="20"/>
                <w:szCs w:val="20"/>
                <w:color w:val="auto"/>
              </w:rPr>
            </w:pPr>
            <w:r>
              <w:rPr>
                <w:rFonts w:ascii="Arial" w:cs="Arial" w:eastAsia="Arial" w:hAnsi="Arial"/>
                <w:sz w:val="18"/>
                <w:szCs w:val="18"/>
                <w:b w:val="1"/>
                <w:bCs w:val="1"/>
                <w:color w:val="auto"/>
                <w:w w:val="99"/>
              </w:rPr>
              <w:t>or Paid in Cash</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Stock Awards</w:t>
            </w:r>
          </w:p>
        </w:tc>
        <w:tc>
          <w:tcPr>
            <w:tcW w:w="19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Compensation</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62"/>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22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530"/>
              <w:spacing w:after="0" w:line="26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3"/>
                <w:szCs w:val="23"/>
                <w:b w:val="1"/>
                <w:bCs w:val="1"/>
                <w:color w:val="auto"/>
                <w:vertAlign w:val="superscript"/>
              </w:rPr>
              <w:t>1</w:t>
            </w:r>
          </w:p>
        </w:tc>
        <w:tc>
          <w:tcPr>
            <w:tcW w:w="19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94"/>
              </w:rPr>
              <w:t>and Payments ($ )</w:t>
            </w:r>
            <w:r>
              <w:rPr>
                <w:rFonts w:ascii="Arial" w:cs="Arial" w:eastAsia="Arial" w:hAnsi="Arial"/>
                <w:sz w:val="23"/>
                <w:szCs w:val="23"/>
                <w:b w:val="1"/>
                <w:bCs w:val="1"/>
                <w:color w:val="auto"/>
                <w:w w:val="94"/>
                <w:vertAlign w:val="superscript"/>
              </w:rPr>
              <w:t>2</w:t>
            </w:r>
          </w:p>
        </w:tc>
        <w:tc>
          <w:tcPr>
            <w:tcW w:w="1260" w:type="dxa"/>
            <w:vAlign w:val="bottom"/>
            <w:tcBorders>
              <w:bottom w:val="single" w:sz="8" w:color="auto"/>
            </w:tcBorders>
          </w:tcPr>
          <w:p>
            <w:pPr>
              <w:jc w:val="right"/>
              <w:ind w:right="430"/>
              <w:spacing w:after="0" w:line="26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3"/>
                <w:szCs w:val="23"/>
                <w:b w:val="1"/>
                <w:bCs w:val="1"/>
                <w:color w:val="auto"/>
                <w:vertAlign w:val="superscript"/>
              </w:rPr>
              <w:t>3</w:t>
            </w:r>
          </w:p>
        </w:tc>
      </w:tr>
      <w:tr>
        <w:trPr>
          <w:trHeight w:val="244"/>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Alvarez</w:t>
            </w:r>
          </w:p>
        </w:tc>
        <w:tc>
          <w:tcPr>
            <w:tcW w:w="222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141,000</w:t>
            </w:r>
          </w:p>
        </w:tc>
        <w:tc>
          <w:tcPr>
            <w:tcW w:w="15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2F2F2"/>
            </w:tcBorders>
            <w:shd w:val="clear" w:color="auto" w:fill="F2F2F2"/>
          </w:tcPr>
          <w:p>
            <w:pPr>
              <w:jc w:val="right"/>
              <w:ind w:right="250"/>
              <w:spacing w:after="0"/>
              <w:rPr>
                <w:sz w:val="20"/>
                <w:szCs w:val="20"/>
                <w:color w:val="auto"/>
              </w:rPr>
            </w:pPr>
            <w:r>
              <w:rPr>
                <w:rFonts w:ascii="Arial" w:cs="Arial" w:eastAsia="Arial" w:hAnsi="Arial"/>
                <w:sz w:val="18"/>
                <w:szCs w:val="18"/>
                <w:color w:val="auto"/>
              </w:rPr>
              <w:t>361,000</w:t>
            </w: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Dr. Baicker</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141,000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361,000</w:t>
            </w:r>
          </w:p>
        </w:tc>
      </w:tr>
      <w:tr>
        <w:trPr>
          <w:trHeight w:val="23"/>
        </w:trPr>
        <w:tc>
          <w:tcPr>
            <w:tcW w:w="1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Dr. Bertozzi</w:t>
            </w:r>
          </w:p>
        </w:tc>
        <w:tc>
          <w:tcPr>
            <w:tcW w:w="222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7,677</w:t>
            </w:r>
          </w:p>
        </w:tc>
        <w:tc>
          <w:tcPr>
            <w:tcW w:w="15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2F2F2"/>
            </w:tcBorders>
            <w:shd w:val="clear" w:color="auto" w:fill="F2F2F2"/>
          </w:tcPr>
          <w:p>
            <w:pPr>
              <w:jc w:val="right"/>
              <w:ind w:right="250"/>
              <w:spacing w:after="0"/>
              <w:rPr>
                <w:sz w:val="20"/>
                <w:szCs w:val="20"/>
                <w:color w:val="auto"/>
              </w:rPr>
            </w:pPr>
            <w:r>
              <w:rPr>
                <w:rFonts w:ascii="Arial" w:cs="Arial" w:eastAsia="Arial" w:hAnsi="Arial"/>
                <w:sz w:val="18"/>
                <w:szCs w:val="18"/>
                <w:color w:val="auto"/>
              </w:rPr>
              <w:t>7,677</w:t>
            </w: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Mr. Fyrwald</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119,000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4,803</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343,803</w:t>
            </w:r>
          </w:p>
        </w:tc>
      </w:tr>
      <w:tr>
        <w:trPr>
          <w:trHeight w:val="23"/>
        </w:trPr>
        <w:tc>
          <w:tcPr>
            <w:tcW w:w="1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Dr. Hedley</w:t>
            </w:r>
          </w:p>
        </w:tc>
        <w:tc>
          <w:tcPr>
            <w:tcW w:w="222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119,000</w:t>
            </w:r>
          </w:p>
        </w:tc>
        <w:tc>
          <w:tcPr>
            <w:tcW w:w="15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2F2F2"/>
            </w:tcBorders>
            <w:shd w:val="clear" w:color="auto" w:fill="F2F2F2"/>
          </w:tcPr>
          <w:p>
            <w:pPr>
              <w:jc w:val="right"/>
              <w:ind w:right="250"/>
              <w:spacing w:after="0"/>
              <w:rPr>
                <w:sz w:val="20"/>
                <w:szCs w:val="20"/>
                <w:color w:val="auto"/>
              </w:rPr>
            </w:pPr>
            <w:r>
              <w:rPr>
                <w:rFonts w:ascii="Arial" w:cs="Arial" w:eastAsia="Arial" w:hAnsi="Arial"/>
                <w:sz w:val="18"/>
                <w:szCs w:val="18"/>
                <w:color w:val="auto"/>
              </w:rPr>
              <w:t>339,000</w:t>
            </w: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Mr. Jackson</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148,000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368,000</w:t>
            </w:r>
          </w:p>
        </w:tc>
      </w:tr>
      <w:tr>
        <w:trPr>
          <w:trHeight w:val="23"/>
        </w:trPr>
        <w:tc>
          <w:tcPr>
            <w:tcW w:w="1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Ms. Johnson</w:t>
            </w:r>
          </w:p>
        </w:tc>
        <w:tc>
          <w:tcPr>
            <w:tcW w:w="222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116,000</w:t>
            </w:r>
          </w:p>
        </w:tc>
        <w:tc>
          <w:tcPr>
            <w:tcW w:w="15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2F2F2"/>
            </w:tcBorders>
            <w:shd w:val="clear" w:color="auto" w:fill="F2F2F2"/>
          </w:tcPr>
          <w:p>
            <w:pPr>
              <w:jc w:val="right"/>
              <w:ind w:right="250"/>
              <w:spacing w:after="0"/>
              <w:rPr>
                <w:sz w:val="20"/>
                <w:szCs w:val="20"/>
                <w:color w:val="auto"/>
              </w:rPr>
            </w:pPr>
            <w:r>
              <w:rPr>
                <w:rFonts w:ascii="Arial" w:cs="Arial" w:eastAsia="Arial" w:hAnsi="Arial"/>
                <w:sz w:val="18"/>
                <w:szCs w:val="18"/>
                <w:color w:val="auto"/>
              </w:rPr>
              <w:t>336,000</w:t>
            </w: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Dr. Kaelin</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142,000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30,000</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392,000</w:t>
            </w:r>
          </w:p>
        </w:tc>
      </w:tr>
      <w:tr>
        <w:trPr>
          <w:trHeight w:val="23"/>
        </w:trPr>
        <w:tc>
          <w:tcPr>
            <w:tcW w:w="1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Luciano</w:t>
            </w:r>
          </w:p>
        </w:tc>
        <w:tc>
          <w:tcPr>
            <w:tcW w:w="222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178,000</w:t>
            </w:r>
          </w:p>
        </w:tc>
        <w:tc>
          <w:tcPr>
            <w:tcW w:w="15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2F2F2"/>
            </w:tcBorders>
            <w:shd w:val="clear" w:color="auto" w:fill="F2F2F2"/>
          </w:tcPr>
          <w:p>
            <w:pPr>
              <w:jc w:val="right"/>
              <w:ind w:right="250"/>
              <w:spacing w:after="0"/>
              <w:rPr>
                <w:sz w:val="20"/>
                <w:szCs w:val="20"/>
                <w:color w:val="auto"/>
              </w:rPr>
            </w:pPr>
            <w:r>
              <w:rPr>
                <w:rFonts w:ascii="Arial" w:cs="Arial" w:eastAsia="Arial" w:hAnsi="Arial"/>
                <w:sz w:val="18"/>
                <w:szCs w:val="18"/>
                <w:color w:val="auto"/>
              </w:rPr>
              <w:t>398,000</w:t>
            </w:r>
          </w:p>
        </w:tc>
      </w:tr>
      <w:tr>
        <w:trPr>
          <w:trHeight w:val="247"/>
        </w:trPr>
        <w:tc>
          <w:tcPr>
            <w:tcW w:w="1980" w:type="dxa"/>
            <w:vAlign w:val="bottom"/>
          </w:tcPr>
          <w:p>
            <w:pPr>
              <w:ind w:left="20"/>
              <w:spacing w:after="0"/>
              <w:rPr>
                <w:sz w:val="20"/>
                <w:szCs w:val="20"/>
                <w:color w:val="auto"/>
              </w:rPr>
            </w:pPr>
            <w:r>
              <w:rPr>
                <w:rFonts w:ascii="Arial" w:cs="Arial" w:eastAsia="Arial" w:hAnsi="Arial"/>
                <w:sz w:val="18"/>
                <w:szCs w:val="18"/>
                <w:color w:val="auto"/>
              </w:rPr>
              <w:t>Mr. Moeller</w:t>
            </w:r>
          </w:p>
        </w:tc>
        <w:tc>
          <w:tcPr>
            <w:tcW w:w="2220" w:type="dxa"/>
            <w:vAlign w:val="bottom"/>
          </w:tcPr>
          <w:p>
            <w:pPr>
              <w:jc w:val="right"/>
              <w:ind w:right="330"/>
              <w:spacing w:after="0"/>
              <w:rPr>
                <w:sz w:val="20"/>
                <w:szCs w:val="20"/>
                <w:color w:val="auto"/>
              </w:rPr>
            </w:pPr>
            <w:r>
              <w:rPr>
                <w:rFonts w:ascii="Arial" w:cs="Arial" w:eastAsia="Arial" w:hAnsi="Arial"/>
                <w:sz w:val="18"/>
                <w:szCs w:val="18"/>
                <w:color w:val="auto"/>
              </w:rPr>
              <w:t>119,000</w:t>
            </w:r>
          </w:p>
        </w:tc>
        <w:tc>
          <w:tcPr>
            <w:tcW w:w="1500" w:type="dxa"/>
            <w:vAlign w:val="bottom"/>
          </w:tcPr>
          <w:p>
            <w:pPr>
              <w:jc w:val="right"/>
              <w:ind w:right="330"/>
              <w:spacing w:after="0"/>
              <w:rPr>
                <w:sz w:val="20"/>
                <w:szCs w:val="20"/>
                <w:color w:val="auto"/>
              </w:rPr>
            </w:pPr>
            <w:r>
              <w:rPr>
                <w:rFonts w:ascii="Arial" w:cs="Arial" w:eastAsia="Arial" w:hAnsi="Arial"/>
                <w:sz w:val="18"/>
                <w:szCs w:val="18"/>
                <w:color w:val="auto"/>
              </w:rPr>
              <w:t>238,333</w:t>
            </w:r>
          </w:p>
        </w:tc>
        <w:tc>
          <w:tcPr>
            <w:tcW w:w="1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357,333</w:t>
            </w:r>
          </w:p>
        </w:tc>
      </w:tr>
      <w:tr>
        <w:trPr>
          <w:trHeight w:val="23"/>
        </w:trPr>
        <w:tc>
          <w:tcPr>
            <w:tcW w:w="1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Ms. Sulzberger</w:t>
            </w:r>
          </w:p>
        </w:tc>
        <w:tc>
          <w:tcPr>
            <w:tcW w:w="222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119,000</w:t>
            </w:r>
          </w:p>
        </w:tc>
        <w:tc>
          <w:tcPr>
            <w:tcW w:w="15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220,000</w:t>
            </w:r>
          </w:p>
        </w:tc>
        <w:tc>
          <w:tcPr>
            <w:tcW w:w="198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26,500</w:t>
            </w:r>
          </w:p>
        </w:tc>
        <w:tc>
          <w:tcPr>
            <w:tcW w:w="1260" w:type="dxa"/>
            <w:vAlign w:val="bottom"/>
            <w:tcBorders>
              <w:bottom w:val="single" w:sz="8" w:color="F2F2F2"/>
            </w:tcBorders>
            <w:shd w:val="clear" w:color="auto" w:fill="F2F2F2"/>
          </w:tcPr>
          <w:p>
            <w:pPr>
              <w:jc w:val="right"/>
              <w:ind w:right="250"/>
              <w:spacing w:after="0"/>
              <w:rPr>
                <w:sz w:val="20"/>
                <w:szCs w:val="20"/>
                <w:color w:val="auto"/>
              </w:rPr>
            </w:pPr>
            <w:r>
              <w:rPr>
                <w:rFonts w:ascii="Arial" w:cs="Arial" w:eastAsia="Arial" w:hAnsi="Arial"/>
                <w:sz w:val="18"/>
                <w:szCs w:val="18"/>
                <w:color w:val="auto"/>
              </w:rPr>
              <w:t>365,500</w:t>
            </w:r>
          </w:p>
        </w:tc>
      </w:tr>
      <w:tr>
        <w:trPr>
          <w:trHeight w:val="20"/>
        </w:trPr>
        <w:tc>
          <w:tcPr>
            <w:tcW w:w="198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70" w:lineRule="exact"/>
        <w:rPr>
          <w:sz w:val="20"/>
          <w:szCs w:val="20"/>
          <w:color w:val="auto"/>
        </w:rPr>
      </w:pPr>
    </w:p>
    <w:p>
      <w:pPr>
        <w:ind w:left="180" w:right="20" w:hanging="172"/>
        <w:spacing w:after="0" w:line="245" w:lineRule="auto"/>
        <w:tabs>
          <w:tab w:leader="none" w:pos="213" w:val="left"/>
        </w:tabs>
        <w:numPr>
          <w:ilvl w:val="0"/>
          <w:numId w:val="88"/>
        </w:numPr>
        <w:rPr>
          <w:rFonts w:ascii="Arial" w:cs="Arial" w:eastAsia="Arial" w:hAnsi="Arial"/>
          <w:sz w:val="23"/>
          <w:szCs w:val="23"/>
          <w:color w:val="auto"/>
          <w:vertAlign w:val="superscript"/>
        </w:rPr>
      </w:pPr>
      <w:r>
        <w:rPr>
          <w:rFonts w:ascii="Arial" w:cs="Arial" w:eastAsia="Arial" w:hAnsi="Arial"/>
          <w:sz w:val="18"/>
          <w:szCs w:val="18"/>
          <w:color w:val="auto"/>
        </w:rPr>
        <w:t>Each non-employee director received an equity-based award of units valued at $220,000 (approximately 215 units) for service in 2025. Mr. Moeller, who joined the board in 2024 after the annual stock award allocation date, also received a prorated award of units valued at approximately $18,333 (approximately 18 units) in 2025 for his service in 2024. These units, and all prior awards of such units, are fully vested; however, the shares subject to such awards of units are not issued until the second January following the director’s departure from board service when, as described above under “Lilly Directors’ Deferral Plan,” the units are converted into shares of company stock and distributed to the former director. The column shows the grant date fair value for each director’s equity-based award computed in accordance with FASB ASC Topic 718, based on the closing</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31" w:name="page32"/>
    <w:bookmarkEnd w:id="31"/>
    <w:p>
      <w:pPr>
        <w:ind w:left="172" w:right="160"/>
        <w:spacing w:after="0" w:line="262" w:lineRule="auto"/>
        <w:rPr>
          <w:sz w:val="20"/>
          <w:szCs w:val="20"/>
          <w:color w:val="auto"/>
        </w:rPr>
      </w:pPr>
      <w:r>
        <w:rPr>
          <w:rFonts w:ascii="Arial" w:cs="Arial" w:eastAsia="Arial" w:hAnsi="Arial"/>
          <w:sz w:val="18"/>
          <w:szCs w:val="18"/>
          <w:color w:val="auto"/>
        </w:rPr>
        <w:t>stock price on the grant date. See Note 12 of the consolidated financial statements in the company’s Annual Report on Form 10-K for the fiscal year ended December 31, 2025, for additional detail regarding assumptions underlying the valuation of equity awards. Aggregate outstanding stock awards are shown in the “</w:t>
      </w:r>
      <w:r>
        <w:rPr>
          <w:rFonts w:ascii="Arial" w:cs="Arial" w:eastAsia="Arial" w:hAnsi="Arial"/>
          <w:sz w:val="18"/>
          <w:szCs w:val="18"/>
          <w:u w:val="single" w:color="auto"/>
          <w:color w:val="0000FF"/>
        </w:rPr>
        <w:t>Common Stock Ownership by Directors and Executive Officers</w:t>
      </w:r>
      <w:r>
        <w:rPr>
          <w:rFonts w:ascii="Arial" w:cs="Arial" w:eastAsia="Arial" w:hAnsi="Arial"/>
          <w:sz w:val="18"/>
          <w:szCs w:val="18"/>
          <w:color w:val="auto"/>
        </w:rPr>
        <w:t>” table in the “Stock Units Not Distributable Within 60 Days” column.</w:t>
      </w:r>
    </w:p>
    <w:p>
      <w:pPr>
        <w:spacing w:after="0" w:line="68" w:lineRule="exact"/>
        <w:rPr>
          <w:sz w:val="20"/>
          <w:szCs w:val="20"/>
          <w:color w:val="auto"/>
        </w:rPr>
      </w:pPr>
    </w:p>
    <w:p>
      <w:pPr>
        <w:ind w:left="172" w:hanging="172"/>
        <w:spacing w:after="0" w:line="245" w:lineRule="auto"/>
        <w:tabs>
          <w:tab w:leader="none" w:pos="205" w:val="left"/>
        </w:tabs>
        <w:numPr>
          <w:ilvl w:val="0"/>
          <w:numId w:val="89"/>
        </w:numPr>
        <w:rPr>
          <w:rFonts w:ascii="Arial" w:cs="Arial" w:eastAsia="Arial" w:hAnsi="Arial"/>
          <w:sz w:val="23"/>
          <w:szCs w:val="23"/>
          <w:color w:val="auto"/>
          <w:vertAlign w:val="superscript"/>
        </w:rPr>
      </w:pPr>
      <w:r>
        <w:rPr>
          <w:rFonts w:ascii="Arial" w:cs="Arial" w:eastAsia="Arial" w:hAnsi="Arial"/>
          <w:sz w:val="18"/>
          <w:szCs w:val="18"/>
          <w:color w:val="auto"/>
        </w:rPr>
        <w:t>This column includes amounts donated by the Eli Lilly and Company Foundation, Inc. (the Foundation) under its matching gift program, which is generally available to U.S. employees as well as non-employee directors. Under this program, the Foundation matched 100 percent of charitable donations made to eligible charities in a calendar year, up to a maximum of $30,000 per year for each individual. However, donations made by an eligible individual at the end of a calendar year may not be matched by the Foundation until the beginning of the next calendar year, in which case the match will be included in the table in the calendar year in which the match is actually paid by the Foundation. The Foundation matched these donations via payments made directly to the recipient charity. The expected payments in 2026 related to matching contributions for donations made by non-employee directors at the end of 2025 include for Mr. Fyrwald - $30,000; Dr. Kaelin - $2,500; Ms. Sulzberger - $30,000.</w:t>
      </w:r>
    </w:p>
    <w:p>
      <w:pPr>
        <w:spacing w:after="0" w:line="87" w:lineRule="exact"/>
        <w:rPr>
          <w:sz w:val="20"/>
          <w:szCs w:val="20"/>
          <w:color w:val="auto"/>
        </w:rPr>
      </w:pPr>
    </w:p>
    <w:p>
      <w:pPr>
        <w:ind w:left="5512" w:right="3160" w:hanging="5512"/>
        <w:spacing w:after="0" w:line="1003" w:lineRule="auto"/>
        <w:tabs>
          <w:tab w:leader="none" w:pos="191" w:val="left"/>
        </w:tabs>
        <w:numPr>
          <w:ilvl w:val="0"/>
          <w:numId w:val="90"/>
        </w:numPr>
        <w:rPr>
          <w:rFonts w:ascii="Arial" w:cs="Arial" w:eastAsia="Arial" w:hAnsi="Arial"/>
          <w:sz w:val="23"/>
          <w:szCs w:val="23"/>
          <w:color w:val="auto"/>
          <w:vertAlign w:val="superscript"/>
        </w:rPr>
      </w:pPr>
      <w:r>
        <w:rPr>
          <w:rFonts w:ascii="Arial" w:cs="Arial" w:eastAsia="Arial" w:hAnsi="Arial"/>
          <w:sz w:val="18"/>
          <w:szCs w:val="18"/>
          <w:color w:val="auto"/>
        </w:rPr>
        <w:t>Non-employee directors do not participate in a company pension plan or non-equity incentive plan.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-410845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85" w:right="379" w:bottom="1440" w:gutter="0" w:footer="0" w:header="0"/>
        </w:sectPr>
      </w:pPr>
    </w:p>
    <w:bookmarkStart w:id="32" w:name="page33"/>
    <w:bookmarkEnd w:id="32"/>
    <w:p>
      <w:pPr>
        <w:spacing w:after="0"/>
        <w:rPr>
          <w:sz w:val="20"/>
          <w:szCs w:val="20"/>
          <w:color w:val="auto"/>
        </w:rPr>
      </w:pPr>
      <w:r>
        <w:rPr>
          <w:rFonts w:ascii="Arial" w:cs="Arial" w:eastAsia="Arial" w:hAnsi="Arial"/>
          <w:sz w:val="32"/>
          <w:szCs w:val="32"/>
          <w:b w:val="1"/>
          <w:bCs w:val="1"/>
          <w:color w:val="D52B1E"/>
        </w:rPr>
        <w:t>How We Operate an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120015</wp:posOffset>
            </wp:positionV>
            <wp:extent cx="1971675" cy="13373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71675" cy="1337310"/>
                    </a:xfrm>
                    <a:prstGeom prst="rect">
                      <a:avLst/>
                    </a:prstGeom>
                    <a:noFill/>
                  </pic:spPr>
                </pic:pic>
              </a:graphicData>
            </a:graphic>
          </wp:anchor>
        </w:drawing>
      </w:r>
    </w:p>
    <w:p>
      <w:pPr>
        <w:spacing w:after="0" w:line="177" w:lineRule="exact"/>
        <w:rPr>
          <w:sz w:val="20"/>
          <w:szCs w:val="20"/>
          <w:color w:val="auto"/>
        </w:rPr>
      </w:pPr>
    </w:p>
    <w:p>
      <w:pPr>
        <w:ind w:left="20" w:right="5580"/>
        <w:spacing w:after="0" w:line="254" w:lineRule="auto"/>
        <w:rPr>
          <w:sz w:val="20"/>
          <w:szCs w:val="20"/>
          <w:color w:val="auto"/>
        </w:rPr>
      </w:pPr>
      <w:r>
        <w:rPr>
          <w:rFonts w:ascii="Arial" w:cs="Arial" w:eastAsia="Arial" w:hAnsi="Arial"/>
          <w:sz w:val="18"/>
          <w:szCs w:val="18"/>
          <w:color w:val="auto"/>
        </w:rPr>
        <w:t>We believe that high board effectiveness promotes the long-term interests of our shareholders, strengthens the accountability of the board of directors and management, and improves our standing as a trusted member of the communities we serve. There are many factors involved in our board’s effectiveness, including a combined chair and CEO leadership structure with a strong lead independent director that provides robust independent oversight, comprehensive annual assessments driving continuous improvement, and a committee structure composed of only independent directors, which provide focused oversight across critical areas.</w:t>
      </w: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Working Dynamics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Leadership Structure</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b w:val="1"/>
          <w:bCs w:val="1"/>
          <w:color w:val="D52B1E"/>
        </w:rPr>
        <w:t xml:space="preserve">Approach. </w:t>
      </w:r>
      <w:r>
        <w:rPr>
          <w:rFonts w:ascii="Arial" w:cs="Arial" w:eastAsia="Arial" w:hAnsi="Arial"/>
          <w:sz w:val="17"/>
          <w:szCs w:val="17"/>
          <w:color w:val="000000"/>
        </w:rPr>
        <w:t>Under our bylaws, the positions of chair of the board and chief executive officer are separate positions that may be occupied by</w:t>
      </w:r>
      <w:r>
        <w:rPr>
          <w:rFonts w:ascii="Arial" w:cs="Arial" w:eastAsia="Arial" w:hAnsi="Arial"/>
          <w:sz w:val="20"/>
          <w:szCs w:val="20"/>
          <w:b w:val="1"/>
          <w:bCs w:val="1"/>
          <w:color w:val="D52B1E"/>
        </w:rPr>
        <w:t xml:space="preserve"> </w:t>
      </w:r>
      <w:r>
        <w:rPr>
          <w:rFonts w:ascii="Arial" w:cs="Arial" w:eastAsia="Arial" w:hAnsi="Arial"/>
          <w:sz w:val="17"/>
          <w:szCs w:val="17"/>
          <w:color w:val="000000"/>
        </w:rPr>
        <w:t>the same person at the discretion of the board. This gives the board flexibility to choose its optimal leadership structure that will best serve the interests of the company and its shareholders as those interests evolve over time. The board currently combines the role of chair of the board with the role of chief executive officer, and designates an independent and clearly defined lead independent director to further strengthen the company’s governance structure. The board periodically reviews its leadership structure to ensure that the chosen structure continues to strike the appropriate balance for the company and our stakeholders and enables us to promote the long-term interests of our shareholders.</w:t>
      </w:r>
    </w:p>
    <w:p>
      <w:pPr>
        <w:spacing w:after="0" w:line="387"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color w:val="D52B1E"/>
        </w:rPr>
        <w:t xml:space="preserve">Why our Board Leadership Structure is Appropriate at this Time. </w:t>
      </w:r>
      <w:r>
        <w:rPr>
          <w:rFonts w:ascii="Arial" w:cs="Arial" w:eastAsia="Arial" w:hAnsi="Arial"/>
          <w:sz w:val="17"/>
          <w:szCs w:val="17"/>
          <w:color w:val="000000"/>
        </w:rPr>
        <w:t>After thoughtful consideration of our business, long-term</w:t>
      </w:r>
      <w:r>
        <w:rPr>
          <w:rFonts w:ascii="Arial" w:cs="Arial" w:eastAsia="Arial" w:hAnsi="Arial"/>
          <w:sz w:val="20"/>
          <w:szCs w:val="20"/>
          <w:b w:val="1"/>
          <w:bCs w:val="1"/>
          <w:color w:val="D52B1E"/>
        </w:rPr>
        <w:t xml:space="preserve"> </w:t>
      </w:r>
      <w:r>
        <w:rPr>
          <w:rFonts w:ascii="Arial" w:cs="Arial" w:eastAsia="Arial" w:hAnsi="Arial"/>
          <w:sz w:val="17"/>
          <w:szCs w:val="17"/>
          <w:color w:val="000000"/>
        </w:rPr>
        <w:t>strategy, related risks, and other factors described below, the board believes that the combination of the chair and CEO roles, combined with a strong lead independent director, continues to be in the best interest of the company and our shareholders. Combining the chair and CEO roles fosters clear accountability, effective decision making, and alignment on corporate strategy.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also implemented governance practices that facilitate effective independent oversight, including:</w:t>
      </w:r>
    </w:p>
    <w:p>
      <w:pPr>
        <w:spacing w:after="0" w:line="171" w:lineRule="exact"/>
        <w:rPr>
          <w:sz w:val="20"/>
          <w:szCs w:val="20"/>
          <w:color w:val="auto"/>
        </w:rPr>
      </w:pPr>
    </w:p>
    <w:p>
      <w:pPr>
        <w:ind w:left="500" w:hanging="330"/>
        <w:spacing w:after="0" w:line="287" w:lineRule="auto"/>
        <w:tabs>
          <w:tab w:leader="none" w:pos="489" w:val="left"/>
        </w:tabs>
        <w:numPr>
          <w:ilvl w:val="0"/>
          <w:numId w:val="91"/>
        </w:numPr>
        <w:rPr>
          <w:rFonts w:ascii="Arial" w:cs="Arial" w:eastAsia="Arial" w:hAnsi="Arial"/>
          <w:sz w:val="16"/>
          <w:szCs w:val="16"/>
          <w:b w:val="1"/>
          <w:bCs w:val="1"/>
          <w:color w:val="0F3A85"/>
        </w:rPr>
      </w:pPr>
      <w:r>
        <w:rPr>
          <w:rFonts w:ascii="Arial" w:cs="Arial" w:eastAsia="Arial" w:hAnsi="Arial"/>
          <w:sz w:val="18"/>
          <w:szCs w:val="18"/>
          <w:b w:val="1"/>
          <w:bCs w:val="1"/>
          <w:color w:val="0F3A85"/>
        </w:rPr>
        <w:t xml:space="preserve">Executive Sessions of the Independent Directors: </w:t>
      </w:r>
      <w:r>
        <w:rPr>
          <w:rFonts w:ascii="Arial" w:cs="Arial" w:eastAsia="Arial" w:hAnsi="Arial"/>
          <w:sz w:val="18"/>
          <w:szCs w:val="18"/>
          <w:color w:val="000000"/>
        </w:rPr>
        <w:t>Slated at each regularly scheduled board meeting and presided over by the lead</w:t>
      </w:r>
      <w:r>
        <w:rPr>
          <w:rFonts w:ascii="Arial" w:cs="Arial" w:eastAsia="Arial" w:hAnsi="Arial"/>
          <w:sz w:val="18"/>
          <w:szCs w:val="18"/>
          <w:b w:val="1"/>
          <w:bCs w:val="1"/>
          <w:color w:val="0F3A85"/>
        </w:rPr>
        <w:t xml:space="preserve"> </w:t>
      </w:r>
      <w:r>
        <w:rPr>
          <w:rFonts w:ascii="Arial" w:cs="Arial" w:eastAsia="Arial" w:hAnsi="Arial"/>
          <w:sz w:val="18"/>
          <w:szCs w:val="18"/>
          <w:color w:val="000000"/>
        </w:rPr>
        <w:t>independent director.</w:t>
      </w:r>
    </w:p>
    <w:p>
      <w:pPr>
        <w:spacing w:after="0" w:line="98" w:lineRule="exact"/>
        <w:rPr>
          <w:rFonts w:ascii="Arial" w:cs="Arial" w:eastAsia="Arial" w:hAnsi="Arial"/>
          <w:sz w:val="16"/>
          <w:szCs w:val="16"/>
          <w:b w:val="1"/>
          <w:bCs w:val="1"/>
          <w:color w:val="0F3A85"/>
        </w:rPr>
      </w:pPr>
    </w:p>
    <w:p>
      <w:pPr>
        <w:ind w:left="500" w:right="80" w:hanging="330"/>
        <w:spacing w:after="0" w:line="268" w:lineRule="auto"/>
        <w:tabs>
          <w:tab w:leader="none" w:pos="489" w:val="left"/>
        </w:tabs>
        <w:numPr>
          <w:ilvl w:val="0"/>
          <w:numId w:val="91"/>
        </w:numPr>
        <w:rPr>
          <w:rFonts w:ascii="Arial" w:cs="Arial" w:eastAsia="Arial" w:hAnsi="Arial"/>
          <w:sz w:val="16"/>
          <w:szCs w:val="16"/>
          <w:b w:val="1"/>
          <w:bCs w:val="1"/>
          <w:color w:val="0F3A85"/>
        </w:rPr>
      </w:pPr>
      <w:r>
        <w:rPr>
          <w:rFonts w:ascii="Arial" w:cs="Arial" w:eastAsia="Arial" w:hAnsi="Arial"/>
          <w:sz w:val="18"/>
          <w:szCs w:val="18"/>
          <w:b w:val="1"/>
          <w:bCs w:val="1"/>
          <w:color w:val="0F3A85"/>
        </w:rPr>
        <w:t xml:space="preserve">Annual Performance Evaluation of the Chair and CEO: </w:t>
      </w:r>
      <w:r>
        <w:rPr>
          <w:rFonts w:ascii="Arial" w:cs="Arial" w:eastAsia="Arial" w:hAnsi="Arial"/>
          <w:sz w:val="18"/>
          <w:szCs w:val="18"/>
          <w:color w:val="000000"/>
        </w:rPr>
        <w:t>Conducted by the independent directors, the results of which are reviewed</w:t>
      </w:r>
      <w:r>
        <w:rPr>
          <w:rFonts w:ascii="Arial" w:cs="Arial" w:eastAsia="Arial" w:hAnsi="Arial"/>
          <w:sz w:val="18"/>
          <w:szCs w:val="18"/>
          <w:b w:val="1"/>
          <w:bCs w:val="1"/>
          <w:color w:val="0F3A85"/>
        </w:rPr>
        <w:t xml:space="preserve"> </w:t>
      </w:r>
      <w:r>
        <w:rPr>
          <w:rFonts w:ascii="Arial" w:cs="Arial" w:eastAsia="Arial" w:hAnsi="Arial"/>
          <w:sz w:val="18"/>
          <w:szCs w:val="18"/>
          <w:color w:val="000000"/>
        </w:rPr>
        <w:t>with the CEO and considered by the Talent and Compensation Committee and independent directors in establishing the CEO’s compensation for the following year.</w:t>
      </w:r>
    </w:p>
    <w:p>
      <w:pPr>
        <w:spacing w:after="0" w:line="116" w:lineRule="exact"/>
        <w:rPr>
          <w:rFonts w:ascii="Arial" w:cs="Arial" w:eastAsia="Arial" w:hAnsi="Arial"/>
          <w:sz w:val="16"/>
          <w:szCs w:val="16"/>
          <w:b w:val="1"/>
          <w:bCs w:val="1"/>
          <w:color w:val="0F3A85"/>
        </w:rPr>
      </w:pPr>
    </w:p>
    <w:p>
      <w:pPr>
        <w:ind w:left="500" w:right="260" w:hanging="330"/>
        <w:spacing w:after="0" w:line="268" w:lineRule="auto"/>
        <w:tabs>
          <w:tab w:leader="none" w:pos="489" w:val="left"/>
        </w:tabs>
        <w:numPr>
          <w:ilvl w:val="0"/>
          <w:numId w:val="91"/>
        </w:numPr>
        <w:rPr>
          <w:rFonts w:ascii="Arial" w:cs="Arial" w:eastAsia="Arial" w:hAnsi="Arial"/>
          <w:sz w:val="16"/>
          <w:szCs w:val="16"/>
          <w:color w:val="0F3A85"/>
        </w:rPr>
      </w:pPr>
      <w:r>
        <w:rPr>
          <w:rFonts w:ascii="Arial" w:cs="Arial" w:eastAsia="Arial" w:hAnsi="Arial"/>
          <w:sz w:val="18"/>
          <w:szCs w:val="18"/>
          <w:b w:val="1"/>
          <w:bCs w:val="1"/>
          <w:color w:val="0F3A85"/>
        </w:rPr>
        <w:t xml:space="preserve">Lead Independent Director Assessment: </w:t>
      </w:r>
      <w:r>
        <w:rPr>
          <w:rFonts w:ascii="Arial" w:cs="Arial" w:eastAsia="Arial" w:hAnsi="Arial"/>
          <w:sz w:val="18"/>
          <w:szCs w:val="18"/>
          <w:color w:val="000000"/>
        </w:rPr>
        <w:t>The lead independent director is elected by and from the independent directors of the</w:t>
      </w:r>
      <w:r>
        <w:rPr>
          <w:rFonts w:ascii="Arial" w:cs="Arial" w:eastAsia="Arial" w:hAnsi="Arial"/>
          <w:sz w:val="18"/>
          <w:szCs w:val="18"/>
          <w:b w:val="1"/>
          <w:bCs w:val="1"/>
          <w:color w:val="0F3A85"/>
        </w:rPr>
        <w:t xml:space="preserve"> </w:t>
      </w:r>
      <w:r>
        <w:rPr>
          <w:rFonts w:ascii="Arial" w:cs="Arial" w:eastAsia="Arial" w:hAnsi="Arial"/>
          <w:sz w:val="18"/>
          <w:szCs w:val="18"/>
          <w:color w:val="000000"/>
        </w:rPr>
        <w:t>board, and the board annually conducts an assessment of the lead independent director’s performance as part of the annual board assessment process.</w:t>
      </w:r>
    </w:p>
    <w:p>
      <w:pPr>
        <w:spacing w:after="0" w:line="116" w:lineRule="exact"/>
        <w:rPr>
          <w:rFonts w:ascii="Arial" w:cs="Arial" w:eastAsia="Arial" w:hAnsi="Arial"/>
          <w:sz w:val="16"/>
          <w:szCs w:val="16"/>
          <w:color w:val="0F3A85"/>
        </w:rPr>
      </w:pPr>
    </w:p>
    <w:p>
      <w:pPr>
        <w:ind w:left="500" w:right="120" w:hanging="330"/>
        <w:spacing w:after="0" w:line="287" w:lineRule="auto"/>
        <w:tabs>
          <w:tab w:leader="none" w:pos="489" w:val="left"/>
        </w:tabs>
        <w:numPr>
          <w:ilvl w:val="0"/>
          <w:numId w:val="91"/>
        </w:numPr>
        <w:rPr>
          <w:rFonts w:ascii="Arial" w:cs="Arial" w:eastAsia="Arial" w:hAnsi="Arial"/>
          <w:sz w:val="16"/>
          <w:szCs w:val="16"/>
          <w:b w:val="1"/>
          <w:bCs w:val="1"/>
          <w:color w:val="0F3A85"/>
        </w:rPr>
      </w:pPr>
      <w:r>
        <w:rPr>
          <w:rFonts w:ascii="Arial" w:cs="Arial" w:eastAsia="Arial" w:hAnsi="Arial"/>
          <w:sz w:val="18"/>
          <w:szCs w:val="18"/>
          <w:b w:val="1"/>
          <w:bCs w:val="1"/>
          <w:color w:val="0F3A85"/>
        </w:rPr>
        <w:t xml:space="preserve">Director Access to Independent Advisors: </w:t>
      </w:r>
      <w:r>
        <w:rPr>
          <w:rFonts w:ascii="Arial" w:cs="Arial" w:eastAsia="Arial" w:hAnsi="Arial"/>
          <w:sz w:val="18"/>
          <w:szCs w:val="18"/>
          <w:color w:val="000000"/>
        </w:rPr>
        <w:t>Independent directors and all committees can retain their own independent advisors, at</w:t>
      </w:r>
      <w:r>
        <w:rPr>
          <w:rFonts w:ascii="Arial" w:cs="Arial" w:eastAsia="Arial" w:hAnsi="Arial"/>
          <w:sz w:val="18"/>
          <w:szCs w:val="18"/>
          <w:b w:val="1"/>
          <w:bCs w:val="1"/>
          <w:color w:val="0F3A85"/>
        </w:rPr>
        <w:t xml:space="preserve"> </w:t>
      </w:r>
      <w:r>
        <w:rPr>
          <w:rFonts w:ascii="Arial" w:cs="Arial" w:eastAsia="Arial" w:hAnsi="Arial"/>
          <w:sz w:val="18"/>
          <w:szCs w:val="18"/>
          <w:color w:val="000000"/>
        </w:rPr>
        <w:t>the company’s expense, whenever they deem it desirable to do so.</w:t>
      </w:r>
    </w:p>
    <w:p>
      <w:pPr>
        <w:spacing w:after="0" w:line="98" w:lineRule="exact"/>
        <w:rPr>
          <w:rFonts w:ascii="Arial" w:cs="Arial" w:eastAsia="Arial" w:hAnsi="Arial"/>
          <w:sz w:val="16"/>
          <w:szCs w:val="16"/>
          <w:b w:val="1"/>
          <w:bCs w:val="1"/>
          <w:color w:val="0F3A85"/>
        </w:rPr>
      </w:pPr>
    </w:p>
    <w:p>
      <w:pPr>
        <w:jc w:val="both"/>
        <w:ind w:left="500" w:right="380" w:hanging="330"/>
        <w:spacing w:after="0" w:line="318" w:lineRule="auto"/>
        <w:tabs>
          <w:tab w:leader="none" w:pos="489" w:val="left"/>
        </w:tabs>
        <w:numPr>
          <w:ilvl w:val="0"/>
          <w:numId w:val="91"/>
        </w:numPr>
        <w:rPr>
          <w:rFonts w:ascii="Arial" w:cs="Arial" w:eastAsia="Arial" w:hAnsi="Arial"/>
          <w:sz w:val="15"/>
          <w:szCs w:val="15"/>
          <w:b w:val="1"/>
          <w:bCs w:val="1"/>
          <w:i w:val="1"/>
          <w:iCs w:val="1"/>
          <w:color w:val="0F3A85"/>
        </w:rPr>
      </w:pPr>
      <w:r>
        <w:rPr>
          <w:rFonts w:ascii="Arial" w:cs="Arial" w:eastAsia="Arial" w:hAnsi="Arial"/>
          <w:sz w:val="17"/>
          <w:szCs w:val="17"/>
          <w:b w:val="1"/>
          <w:bCs w:val="1"/>
          <w:color w:val="0F3A85"/>
        </w:rPr>
        <w:t xml:space="preserve">Director Access to Management: </w:t>
      </w:r>
      <w:r>
        <w:rPr>
          <w:rFonts w:ascii="Arial" w:cs="Arial" w:eastAsia="Arial" w:hAnsi="Arial"/>
          <w:sz w:val="17"/>
          <w:szCs w:val="17"/>
          <w:color w:val="000000"/>
        </w:rPr>
        <w:t>Independent directors have direct access to members of management whenever they deem it</w:t>
      </w:r>
      <w:r>
        <w:rPr>
          <w:rFonts w:ascii="Arial" w:cs="Arial" w:eastAsia="Arial" w:hAnsi="Arial"/>
          <w:sz w:val="17"/>
          <w:szCs w:val="17"/>
          <w:b w:val="1"/>
          <w:bCs w:val="1"/>
          <w:color w:val="0F3A85"/>
        </w:rPr>
        <w:t xml:space="preserve"> </w:t>
      </w:r>
      <w:r>
        <w:rPr>
          <w:rFonts w:ascii="Arial" w:cs="Arial" w:eastAsia="Arial" w:hAnsi="Arial"/>
          <w:sz w:val="17"/>
          <w:szCs w:val="17"/>
          <w:color w:val="000000"/>
        </w:rPr>
        <w:t>necessary, and certain of the company’s executive officers attend part of each regularly scheduled board and committee meeting.</w:t>
      </w:r>
    </w:p>
    <w:p>
      <w:pPr>
        <w:spacing w:after="0" w:line="75" w:lineRule="exact"/>
        <w:rPr>
          <w:rFonts w:ascii="Arial" w:cs="Arial" w:eastAsia="Arial" w:hAnsi="Arial"/>
          <w:sz w:val="15"/>
          <w:szCs w:val="15"/>
          <w:b w:val="1"/>
          <w:bCs w:val="1"/>
          <w:i w:val="1"/>
          <w:iCs w:val="1"/>
          <w:color w:val="0F3A85"/>
        </w:rPr>
      </w:pPr>
    </w:p>
    <w:p>
      <w:pPr>
        <w:ind w:left="500" w:right="120" w:hanging="330"/>
        <w:spacing w:after="0" w:line="287" w:lineRule="auto"/>
        <w:tabs>
          <w:tab w:leader="none" w:pos="489" w:val="left"/>
        </w:tabs>
        <w:numPr>
          <w:ilvl w:val="0"/>
          <w:numId w:val="91"/>
        </w:numPr>
        <w:rPr>
          <w:rFonts w:ascii="Arial" w:cs="Arial" w:eastAsia="Arial" w:hAnsi="Arial"/>
          <w:sz w:val="16"/>
          <w:szCs w:val="16"/>
          <w:b w:val="1"/>
          <w:bCs w:val="1"/>
          <w:i w:val="1"/>
          <w:iCs w:val="1"/>
          <w:color w:val="0F3A85"/>
        </w:rPr>
      </w:pPr>
      <w:r>
        <w:rPr>
          <w:rFonts w:ascii="Arial" w:cs="Arial" w:eastAsia="Arial" w:hAnsi="Arial"/>
          <w:sz w:val="18"/>
          <w:szCs w:val="18"/>
          <w:b w:val="1"/>
          <w:bCs w:val="1"/>
          <w:color w:val="0F3A85"/>
        </w:rPr>
        <w:t xml:space="preserve">Independent Board: </w:t>
      </w:r>
      <w:r>
        <w:rPr>
          <w:rFonts w:ascii="Arial" w:cs="Arial" w:eastAsia="Arial" w:hAnsi="Arial"/>
          <w:sz w:val="18"/>
          <w:szCs w:val="18"/>
          <w:color w:val="000000"/>
        </w:rPr>
        <w:t>The board is independent (other than Mr. Ricks) and has fully independent board committees with independent</w:t>
      </w:r>
      <w:r>
        <w:rPr>
          <w:rFonts w:ascii="Arial" w:cs="Arial" w:eastAsia="Arial" w:hAnsi="Arial"/>
          <w:sz w:val="18"/>
          <w:szCs w:val="18"/>
          <w:b w:val="1"/>
          <w:bCs w:val="1"/>
          <w:color w:val="0F3A85"/>
        </w:rPr>
        <w:t xml:space="preserve"> </w:t>
      </w:r>
      <w:r>
        <w:rPr>
          <w:rFonts w:ascii="Arial" w:cs="Arial" w:eastAsia="Arial" w:hAnsi="Arial"/>
          <w:sz w:val="18"/>
          <w:szCs w:val="18"/>
          <w:color w:val="000000"/>
        </w:rPr>
        <w:t>chairs.</w:t>
      </w:r>
    </w:p>
    <w:p>
      <w:pPr>
        <w:spacing w:after="0" w:line="9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board believes that this structure provides the company and the board with strong leadership, appropriate independent oversight of management, and the ability to communicate the company’s strategy to regulators and stakeholders in a single voice.</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1" w:right="419" w:bottom="1440" w:gutter="0" w:footer="0" w:header="0"/>
        </w:sectPr>
      </w:pPr>
    </w:p>
    <w:bookmarkStart w:id="33" w:name="page34"/>
    <w:bookmarkEnd w:id="33"/>
    <w:p>
      <w:pPr>
        <w:spacing w:after="0" w:line="268" w:lineRule="auto"/>
        <w:rPr>
          <w:sz w:val="20"/>
          <w:szCs w:val="20"/>
          <w:color w:val="auto"/>
        </w:rPr>
      </w:pPr>
      <w:r>
        <w:rPr>
          <w:rFonts w:ascii="Arial" w:cs="Arial" w:eastAsia="Arial" w:hAnsi="Arial"/>
          <w:sz w:val="18"/>
          <w:szCs w:val="18"/>
          <w:color w:val="auto"/>
        </w:rPr>
        <w:t>Mr. Ricks’ extensive knowledge of, and experience in, the pharmaceutical industry enables him to effectively drive the long-term strategic direction of the company and provide diligent, leadership and direction for management and our board. This is vital to our innovative research and development business with prolonged product development cycles and a challenging regulatory environment.</w:t>
      </w:r>
    </w:p>
    <w:p>
      <w:pPr>
        <w:spacing w:after="0" w:line="112"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b w:val="1"/>
          <w:bCs w:val="1"/>
          <w:color w:val="D52B1E"/>
        </w:rPr>
        <w:t xml:space="preserve">Lead Independent Director Responsibilities. </w:t>
      </w:r>
      <w:r>
        <w:rPr>
          <w:rFonts w:ascii="Arial" w:cs="Arial" w:eastAsia="Arial" w:hAnsi="Arial"/>
          <w:sz w:val="17"/>
          <w:szCs w:val="17"/>
          <w:color w:val="000000"/>
        </w:rPr>
        <w:t>The lead independent director is empowered with and exercises, robust, well-defined</w:t>
      </w:r>
      <w:r>
        <w:rPr>
          <w:rFonts w:ascii="Arial" w:cs="Arial" w:eastAsia="Arial" w:hAnsi="Arial"/>
          <w:sz w:val="20"/>
          <w:szCs w:val="20"/>
          <w:b w:val="1"/>
          <w:bCs w:val="1"/>
          <w:color w:val="D52B1E"/>
        </w:rPr>
        <w:t xml:space="preserve"> </w:t>
      </w:r>
      <w:r>
        <w:rPr>
          <w:rFonts w:ascii="Arial" w:cs="Arial" w:eastAsia="Arial" w:hAnsi="Arial"/>
          <w:sz w:val="17"/>
          <w:szCs w:val="17"/>
          <w:color w:val="000000"/>
        </w:rPr>
        <w:t>duties,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5408930" cy="2768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08930" cy="276860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D52B1E"/>
        </w:rPr>
        <w:t>Lead</w:t>
      </w:r>
    </w:p>
    <w:p>
      <w:pPr>
        <w:spacing w:after="0" w:line="60" w:lineRule="exact"/>
        <w:rPr>
          <w:sz w:val="20"/>
          <w:szCs w:val="20"/>
          <w:color w:val="auto"/>
        </w:rPr>
      </w:pPr>
    </w:p>
    <w:p>
      <w:pPr>
        <w:ind w:left="240" w:right="120" w:hanging="136"/>
        <w:spacing w:after="0" w:line="268" w:lineRule="auto"/>
        <w:tabs>
          <w:tab w:leader="none" w:pos="2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Lead the board’s process for selecting the CEO</w:t>
      </w:r>
    </w:p>
    <w:p>
      <w:pPr>
        <w:spacing w:after="0" w:line="8" w:lineRule="exact"/>
        <w:rPr>
          <w:rFonts w:ascii="Arial" w:cs="Arial" w:eastAsia="Arial" w:hAnsi="Arial"/>
          <w:sz w:val="18"/>
          <w:szCs w:val="18"/>
          <w:color w:val="auto"/>
        </w:rPr>
      </w:pPr>
    </w:p>
    <w:p>
      <w:pPr>
        <w:ind w:left="240" w:hanging="136"/>
        <w:spacing w:after="0" w:line="257" w:lineRule="auto"/>
        <w:tabs>
          <w:tab w:leader="none" w:pos="2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the independent directors’ annual performance evaluation of the chair and CEO</w:t>
      </w:r>
    </w:p>
    <w:p>
      <w:pPr>
        <w:spacing w:after="0" w:line="20" w:lineRule="exact"/>
        <w:rPr>
          <w:rFonts w:ascii="Arial" w:cs="Arial" w:eastAsia="Arial" w:hAnsi="Arial"/>
          <w:sz w:val="18"/>
          <w:szCs w:val="18"/>
          <w:color w:val="auto"/>
        </w:rPr>
      </w:pPr>
    </w:p>
    <w:p>
      <w:pPr>
        <w:ind w:left="240" w:right="200" w:hanging="136"/>
        <w:spacing w:after="0" w:line="262" w:lineRule="auto"/>
        <w:tabs>
          <w:tab w:leader="none" w:pos="2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Call meetings of the independent directors,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D52B1E"/>
        </w:rPr>
        <w:t>Facilitate</w:t>
      </w:r>
    </w:p>
    <w:p>
      <w:pPr>
        <w:spacing w:after="0" w:line="168" w:lineRule="exact"/>
        <w:rPr>
          <w:sz w:val="20"/>
          <w:szCs w:val="20"/>
          <w:color w:val="auto"/>
        </w:rPr>
      </w:pPr>
    </w:p>
    <w:p>
      <w:pPr>
        <w:ind w:left="140" w:right="180" w:hanging="135"/>
        <w:spacing w:after="0" w:line="291" w:lineRule="auto"/>
        <w:tabs>
          <w:tab w:leader="none" w:pos="123"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Preside at executive sessions of the independent directors</w:t>
      </w:r>
    </w:p>
    <w:p>
      <w:pPr>
        <w:spacing w:after="0" w:line="44" w:lineRule="exact"/>
        <w:rPr>
          <w:rFonts w:ascii="Arial" w:cs="Arial" w:eastAsia="Arial" w:hAnsi="Arial"/>
          <w:sz w:val="17"/>
          <w:szCs w:val="17"/>
          <w:color w:val="auto"/>
        </w:rPr>
      </w:pPr>
    </w:p>
    <w:p>
      <w:pPr>
        <w:ind w:left="140" w:right="80" w:hanging="135"/>
        <w:spacing w:after="0" w:line="291" w:lineRule="auto"/>
        <w:tabs>
          <w:tab w:leader="none" w:pos="123"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Preside at all meetings of the board at which the chair is not present</w:t>
      </w:r>
    </w:p>
    <w:p>
      <w:pPr>
        <w:spacing w:after="0" w:line="44" w:lineRule="exact"/>
        <w:rPr>
          <w:rFonts w:ascii="Arial" w:cs="Arial" w:eastAsia="Arial" w:hAnsi="Arial"/>
          <w:sz w:val="17"/>
          <w:szCs w:val="17"/>
          <w:color w:val="auto"/>
        </w:rPr>
      </w:pPr>
    </w:p>
    <w:p>
      <w:pPr>
        <w:ind w:left="140" w:hanging="135"/>
        <w:spacing w:after="0" w:line="259" w:lineRule="auto"/>
        <w:tabs>
          <w:tab w:leader="none" w:pos="12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Approve meeting agendas and schedules and review information to be provided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
        </w:trPr>
        <w:tc>
          <w:tcPr>
            <w:tcW w:w="66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r>
      <w:tr>
        <w:trPr>
          <w:trHeight w:val="819"/>
        </w:trPr>
        <w:tc>
          <w:tcPr>
            <w:tcW w:w="2180" w:type="dxa"/>
            <w:vAlign w:val="bottom"/>
            <w:tcBorders>
              <w:left w:val="single" w:sz="8" w:color="auto"/>
              <w:right w:val="single" w:sz="8" w:color="auto"/>
            </w:tcBorders>
            <w:gridSpan w:val="3"/>
          </w:tcPr>
          <w:p>
            <w:pPr>
              <w:ind w:left="660"/>
              <w:spacing w:after="0"/>
              <w:rPr>
                <w:sz w:val="20"/>
                <w:szCs w:val="20"/>
                <w:color w:val="auto"/>
              </w:rPr>
            </w:pPr>
            <w:r>
              <w:rPr>
                <w:rFonts w:ascii="Arial" w:cs="Arial" w:eastAsia="Arial" w:hAnsi="Arial"/>
                <w:sz w:val="19"/>
                <w:szCs w:val="19"/>
                <w:b w:val="1"/>
                <w:bCs w:val="1"/>
                <w:color w:val="D52B1E"/>
              </w:rPr>
              <w:t>Advocate</w:t>
            </w:r>
          </w:p>
        </w:tc>
        <w:tc>
          <w:tcPr>
            <w:tcW w:w="18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Borders>
              <w:right w:val="single" w:sz="8" w:color="auto"/>
            </w:tcBorders>
            <w:gridSpan w:val="2"/>
          </w:tcPr>
          <w:p>
            <w:pPr>
              <w:ind w:left="200"/>
              <w:spacing w:after="0"/>
              <w:rPr>
                <w:sz w:val="20"/>
                <w:szCs w:val="20"/>
                <w:color w:val="auto"/>
              </w:rPr>
            </w:pPr>
            <w:r>
              <w:rPr>
                <w:rFonts w:ascii="Arial" w:cs="Arial" w:eastAsia="Arial" w:hAnsi="Arial"/>
                <w:sz w:val="19"/>
                <w:szCs w:val="19"/>
                <w:b w:val="1"/>
                <w:bCs w:val="1"/>
                <w:color w:val="D52B1E"/>
              </w:rPr>
              <w:t>Shape</w:t>
            </w:r>
          </w:p>
        </w:tc>
      </w:tr>
      <w:tr>
        <w:trPr>
          <w:trHeight w:val="235"/>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Be available for</w:t>
            </w:r>
          </w:p>
        </w:tc>
        <w:tc>
          <w:tcPr>
            <w:tcW w:w="1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 Conduct the annual</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consultation and direct</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board assessment</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communication with</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process with the</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shareholders, as</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Directors and</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appropriate</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Corporate Governance</w:t>
            </w:r>
          </w:p>
        </w:tc>
      </w:tr>
      <w:tr>
        <w:trPr>
          <w:trHeight w:val="270"/>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Serve as a liaison</w:t>
            </w:r>
          </w:p>
        </w:tc>
        <w:tc>
          <w:tcPr>
            <w:tcW w:w="18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Committee and chair</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between the chair and</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 Lead the director</w:t>
            </w: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the independent</w:t>
            </w:r>
          </w:p>
        </w:tc>
        <w:tc>
          <w:tcPr>
            <w:tcW w:w="18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succession planning</w:t>
            </w:r>
          </w:p>
        </w:tc>
      </w:tr>
      <w:tr>
        <w:trPr>
          <w:trHeight w:val="239"/>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directors</w:t>
            </w:r>
          </w:p>
        </w:tc>
        <w:tc>
          <w:tcPr>
            <w:tcW w:w="18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process</w:t>
            </w:r>
          </w:p>
        </w:tc>
      </w:tr>
      <w:tr>
        <w:trPr>
          <w:trHeight w:val="247"/>
        </w:trPr>
        <w:tc>
          <w:tcPr>
            <w:tcW w:w="2180" w:type="dxa"/>
            <w:vAlign w:val="bottom"/>
            <w:tcBorders>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 Retain advisors for the</w:t>
            </w:r>
          </w:p>
        </w:tc>
        <w:tc>
          <w:tcPr>
            <w:tcW w:w="18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r>
      <w:tr>
        <w:trPr>
          <w:trHeight w:val="216"/>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independent directors,</w:t>
            </w:r>
          </w:p>
        </w:tc>
        <w:tc>
          <w:tcPr>
            <w:tcW w:w="18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r>
      <w:tr>
        <w:trPr>
          <w:trHeight w:val="239"/>
        </w:trPr>
        <w:tc>
          <w:tcPr>
            <w:tcW w:w="218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8"/>
                <w:szCs w:val="18"/>
                <w:color w:val="auto"/>
              </w:rPr>
              <w:t>as appropriate</w:t>
            </w:r>
          </w:p>
        </w:tc>
        <w:tc>
          <w:tcPr>
            <w:tcW w:w="18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r>
      <w:tr>
        <w:trPr>
          <w:trHeight w:val="293"/>
        </w:trPr>
        <w:tc>
          <w:tcPr>
            <w:tcW w:w="66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3">
            <w:col w:w="2000" w:space="300"/>
            <w:col w:w="2040" w:space="240"/>
            <w:col w:w="6660"/>
          </w:cols>
          <w:pgMar w:left="320" w:top="985" w:right="339" w:bottom="1440" w:gutter="0" w:footer="0" w:header="0"/>
          <w:type w:val="continuous"/>
        </w:sectPr>
      </w:pPr>
    </w:p>
    <w:p>
      <w:pPr>
        <w:spacing w:after="0" w:line="87" w:lineRule="exact"/>
        <w:rPr>
          <w:sz w:val="20"/>
          <w:szCs w:val="20"/>
          <w:color w:val="auto"/>
        </w:rPr>
      </w:pPr>
    </w:p>
    <w:p>
      <w:pPr>
        <w:ind w:right="360"/>
        <w:spacing w:after="0" w:line="258" w:lineRule="auto"/>
        <w:rPr>
          <w:sz w:val="20"/>
          <w:szCs w:val="20"/>
          <w:color w:val="auto"/>
        </w:rPr>
      </w:pPr>
      <w:r>
        <w:rPr>
          <w:rFonts w:ascii="Arial" w:cs="Arial" w:eastAsia="Arial" w:hAnsi="Arial"/>
          <w:sz w:val="20"/>
          <w:szCs w:val="20"/>
          <w:b w:val="1"/>
          <w:bCs w:val="1"/>
          <w:color w:val="D52B1E"/>
        </w:rPr>
        <w:t xml:space="preserve">How We Select a Lead Independent Director. </w:t>
      </w:r>
      <w:r>
        <w:rPr>
          <w:rFonts w:ascii="Arial" w:cs="Arial" w:eastAsia="Arial" w:hAnsi="Arial"/>
          <w:sz w:val="17"/>
          <w:szCs w:val="17"/>
          <w:color w:val="000000"/>
        </w:rPr>
        <w:t>Each year the Directors and Corporate Governance Committee reviews the</w:t>
      </w:r>
      <w:r>
        <w:rPr>
          <w:rFonts w:ascii="Arial" w:cs="Arial" w:eastAsia="Arial" w:hAnsi="Arial"/>
          <w:sz w:val="20"/>
          <w:szCs w:val="20"/>
          <w:b w:val="1"/>
          <w:bCs w:val="1"/>
          <w:color w:val="D52B1E"/>
        </w:rPr>
        <w:t xml:space="preserve"> </w:t>
      </w:r>
      <w:r>
        <w:rPr>
          <w:rFonts w:ascii="Arial" w:cs="Arial" w:eastAsia="Arial" w:hAnsi="Arial"/>
          <w:sz w:val="17"/>
          <w:szCs w:val="17"/>
          <w:color w:val="000000"/>
        </w:rPr>
        <w:t>qualifications and attributes of a strong lead independent director and makes a recommendation to the independent directors of one from among them to be appointed as lead independent director.</w:t>
      </w:r>
    </w:p>
    <w:p>
      <w:pPr>
        <w:spacing w:after="0" w:line="12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Mr. Luciano serves as the current lead independent director and fulfills the duties below. As the CEO and president of Archer-Daniels-Midland Company, he brings valuable and diverse experience and outside perspective to his lead independent director role, which permits him to serve as a trusted adviser to the independent directors as well as Mr. Ricks and ensures effective board management and risk oversight.</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2025,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independent directors. As appropriate, Mr. Luciano informs Mr. Ricks of the independent directors’ discussions, including providing performance feedback.</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and Director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328930</wp:posOffset>
            </wp:positionV>
            <wp:extent cx="102870" cy="4889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48895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328930</wp:posOffset>
            </wp:positionV>
            <wp:extent cx="102870" cy="488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48895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820" w:type="dxa"/>
            <w:vAlign w:val="bottom"/>
            <w:vMerge w:val="restart"/>
          </w:tcPr>
          <w:p>
            <w:pPr>
              <w:ind w:left="340"/>
              <w:spacing w:after="0"/>
              <w:rPr>
                <w:sz w:val="20"/>
                <w:szCs w:val="20"/>
                <w:color w:val="auto"/>
              </w:rPr>
            </w:pPr>
            <w:r>
              <w:rPr>
                <w:rFonts w:ascii="Arial" w:cs="Arial" w:eastAsia="Arial" w:hAnsi="Arial"/>
                <w:sz w:val="15"/>
                <w:szCs w:val="15"/>
                <w:b w:val="1"/>
                <w:bCs w:val="1"/>
                <w:color w:val="auto"/>
              </w:rPr>
              <w:t>Reexamine</w:t>
            </w:r>
          </w:p>
        </w:tc>
        <w:tc>
          <w:tcPr>
            <w:tcW w:w="3000" w:type="dxa"/>
            <w:vAlign w:val="bottom"/>
            <w:gridSpan w:val="2"/>
          </w:tcPr>
          <w:p>
            <w:pPr>
              <w:ind w:left="1060"/>
              <w:spacing w:after="0"/>
              <w:rPr>
                <w:sz w:val="20"/>
                <w:szCs w:val="20"/>
                <w:color w:val="auto"/>
              </w:rPr>
            </w:pPr>
            <w:r>
              <w:rPr>
                <w:rFonts w:ascii="Arial" w:cs="Arial" w:eastAsia="Arial" w:hAnsi="Arial"/>
                <w:sz w:val="15"/>
                <w:szCs w:val="15"/>
                <w:b w:val="1"/>
                <w:bCs w:val="1"/>
                <w:color w:val="auto"/>
              </w:rPr>
              <w:t>Questionnaire</w:t>
            </w:r>
          </w:p>
        </w:tc>
        <w:tc>
          <w:tcPr>
            <w:tcW w:w="2240" w:type="dxa"/>
            <w:vAlign w:val="bottom"/>
          </w:tcPr>
          <w:p>
            <w:pPr>
              <w:ind w:left="580"/>
              <w:spacing w:after="0"/>
              <w:rPr>
                <w:sz w:val="20"/>
                <w:szCs w:val="20"/>
                <w:color w:val="auto"/>
              </w:rPr>
            </w:pPr>
            <w:r>
              <w:rPr>
                <w:rFonts w:ascii="Arial" w:cs="Arial" w:eastAsia="Arial" w:hAnsi="Arial"/>
                <w:sz w:val="15"/>
                <w:szCs w:val="15"/>
                <w:b w:val="1"/>
                <w:bCs w:val="1"/>
                <w:color w:val="auto"/>
              </w:rPr>
              <w:t>Evaluation Summary</w:t>
            </w:r>
          </w:p>
        </w:tc>
        <w:tc>
          <w:tcPr>
            <w:tcW w:w="0" w:type="dxa"/>
            <w:vAlign w:val="bottom"/>
          </w:tcPr>
          <w:p>
            <w:pPr>
              <w:spacing w:after="0"/>
              <w:rPr>
                <w:sz w:val="1"/>
                <w:szCs w:val="1"/>
                <w:color w:val="auto"/>
              </w:rPr>
            </w:pPr>
          </w:p>
        </w:tc>
      </w:tr>
      <w:tr>
        <w:trPr>
          <w:trHeight w:val="100"/>
        </w:trPr>
        <w:tc>
          <w:tcPr>
            <w:tcW w:w="1820" w:type="dxa"/>
            <w:vAlign w:val="bottom"/>
            <w:vMerge w:val="continue"/>
          </w:tcPr>
          <w:p>
            <w:pPr>
              <w:spacing w:after="0"/>
              <w:rPr>
                <w:sz w:val="8"/>
                <w:szCs w:val="8"/>
                <w:color w:val="auto"/>
              </w:rPr>
            </w:pPr>
          </w:p>
        </w:tc>
        <w:tc>
          <w:tcPr>
            <w:tcW w:w="2360" w:type="dxa"/>
            <w:vAlign w:val="bottom"/>
            <w:tcBorders>
              <w:bottom w:val="single" w:sz="8" w:color="DBDBDB"/>
            </w:tcBorders>
          </w:tcPr>
          <w:p>
            <w:pPr>
              <w:spacing w:after="0"/>
              <w:rPr>
                <w:sz w:val="8"/>
                <w:szCs w:val="8"/>
                <w:color w:val="auto"/>
              </w:rPr>
            </w:pPr>
          </w:p>
        </w:tc>
        <w:tc>
          <w:tcPr>
            <w:tcW w:w="640" w:type="dxa"/>
            <w:vAlign w:val="bottom"/>
          </w:tcPr>
          <w:p>
            <w:pPr>
              <w:spacing w:after="0"/>
              <w:rPr>
                <w:sz w:val="8"/>
                <w:szCs w:val="8"/>
                <w:color w:val="auto"/>
              </w:rPr>
            </w:pPr>
          </w:p>
        </w:tc>
        <w:tc>
          <w:tcPr>
            <w:tcW w:w="2240" w:type="dxa"/>
            <w:vAlign w:val="bottom"/>
            <w:tcBorders>
              <w:bottom w:val="single" w:sz="8" w:color="DBDBDB"/>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820" w:type="dxa"/>
            <w:vAlign w:val="bottom"/>
          </w:tcPr>
          <w:p>
            <w:pPr>
              <w:ind w:left="40"/>
              <w:spacing w:after="0"/>
              <w:rPr>
                <w:sz w:val="20"/>
                <w:szCs w:val="20"/>
                <w:color w:val="auto"/>
              </w:rPr>
            </w:pPr>
            <w:r>
              <w:rPr>
                <w:rFonts w:ascii="Arial" w:cs="Arial" w:eastAsia="Arial" w:hAnsi="Arial"/>
                <w:sz w:val="15"/>
                <w:szCs w:val="15"/>
                <w:b w:val="1"/>
                <w:bCs w:val="1"/>
                <w:color w:val="auto"/>
              </w:rPr>
              <w:t>Evaluation Process</w:t>
            </w:r>
          </w:p>
        </w:tc>
        <w:tc>
          <w:tcPr>
            <w:tcW w:w="3000" w:type="dxa"/>
            <w:vAlign w:val="bottom"/>
            <w:gridSpan w:val="2"/>
            <w:vMerge w:val="restart"/>
          </w:tcPr>
          <w:p>
            <w:pPr>
              <w:ind w:left="260"/>
              <w:spacing w:after="0"/>
              <w:rPr>
                <w:sz w:val="20"/>
                <w:szCs w:val="20"/>
                <w:color w:val="auto"/>
              </w:rPr>
            </w:pPr>
            <w:r>
              <w:rPr>
                <w:rFonts w:ascii="Arial" w:cs="Arial" w:eastAsia="Arial" w:hAnsi="Arial"/>
                <w:sz w:val="15"/>
                <w:szCs w:val="15"/>
                <w:b w:val="1"/>
                <w:bCs w:val="1"/>
                <w:color w:val="auto"/>
              </w:rPr>
              <w:t>One-On-One Discussions</w:t>
            </w:r>
          </w:p>
        </w:tc>
        <w:tc>
          <w:tcPr>
            <w:tcW w:w="22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Closed Session Discussions</w:t>
            </w:r>
          </w:p>
        </w:tc>
        <w:tc>
          <w:tcPr>
            <w:tcW w:w="0" w:type="dxa"/>
            <w:vAlign w:val="bottom"/>
          </w:tcPr>
          <w:p>
            <w:pPr>
              <w:spacing w:after="0"/>
              <w:rPr>
                <w:sz w:val="1"/>
                <w:szCs w:val="1"/>
                <w:color w:val="auto"/>
              </w:rPr>
            </w:pPr>
          </w:p>
        </w:tc>
      </w:tr>
      <w:tr>
        <w:trPr>
          <w:trHeight w:val="143"/>
        </w:trPr>
        <w:tc>
          <w:tcPr>
            <w:tcW w:w="1820" w:type="dxa"/>
            <w:vAlign w:val="bottom"/>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48"/>
        </w:trPr>
        <w:tc>
          <w:tcPr>
            <w:tcW w:w="182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Our lead</w:t>
            </w:r>
          </w:p>
        </w:tc>
        <w:tc>
          <w:tcPr>
            <w:tcW w:w="300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Directors provided written</w:t>
            </w:r>
          </w:p>
        </w:tc>
        <w:tc>
          <w:tcPr>
            <w:tcW w:w="2240" w:type="dxa"/>
            <w:vAlign w:val="bottom"/>
          </w:tcPr>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A summary of board and</w:t>
            </w:r>
          </w:p>
        </w:tc>
        <w:tc>
          <w:tcPr>
            <w:tcW w:w="0" w:type="dxa"/>
            <w:vAlign w:val="bottom"/>
          </w:tcPr>
          <w:p>
            <w:pPr>
              <w:spacing w:after="0"/>
              <w:rPr>
                <w:sz w:val="1"/>
                <w:szCs w:val="1"/>
                <w:color w:val="auto"/>
              </w:rPr>
            </w:pPr>
          </w:p>
        </w:tc>
      </w:tr>
      <w:tr>
        <w:trPr>
          <w:trHeight w:val="144"/>
        </w:trPr>
        <w:tc>
          <w:tcPr>
            <w:tcW w:w="1820" w:type="dxa"/>
            <w:vAlign w:val="bottom"/>
          </w:tcPr>
          <w:p>
            <w:pPr>
              <w:ind w:left="160"/>
              <w:spacing w:after="0" w:line="145" w:lineRule="exact"/>
              <w:rPr>
                <w:sz w:val="20"/>
                <w:szCs w:val="20"/>
                <w:color w:val="auto"/>
              </w:rPr>
            </w:pPr>
            <w:r>
              <w:rPr>
                <w:rFonts w:ascii="Arial" w:cs="Arial" w:eastAsia="Arial" w:hAnsi="Arial"/>
                <w:sz w:val="14"/>
                <w:szCs w:val="14"/>
                <w:color w:val="auto"/>
              </w:rPr>
              <w:t>independent director</w:t>
            </w:r>
          </w:p>
        </w:tc>
        <w:tc>
          <w:tcPr>
            <w:tcW w:w="3000" w:type="dxa"/>
            <w:vAlign w:val="bottom"/>
            <w:gridSpan w:val="2"/>
          </w:tcPr>
          <w:p>
            <w:pPr>
              <w:ind w:left="180"/>
              <w:spacing w:after="0" w:line="145" w:lineRule="exact"/>
              <w:rPr>
                <w:sz w:val="20"/>
                <w:szCs w:val="20"/>
                <w:color w:val="auto"/>
              </w:rPr>
            </w:pPr>
            <w:r>
              <w:rPr>
                <w:rFonts w:ascii="Arial" w:cs="Arial" w:eastAsia="Arial" w:hAnsi="Arial"/>
                <w:sz w:val="14"/>
                <w:szCs w:val="14"/>
                <w:color w:val="auto"/>
              </w:rPr>
              <w:t>feedback on an unattributed</w:t>
            </w:r>
          </w:p>
        </w:tc>
        <w:tc>
          <w:tcPr>
            <w:tcW w:w="2240" w:type="dxa"/>
            <w:vAlign w:val="bottom"/>
          </w:tcPr>
          <w:p>
            <w:pPr>
              <w:ind w:left="180"/>
              <w:spacing w:after="0" w:line="145" w:lineRule="exact"/>
              <w:rPr>
                <w:sz w:val="20"/>
                <w:szCs w:val="20"/>
                <w:color w:val="auto"/>
              </w:rPr>
            </w:pPr>
            <w:r>
              <w:rPr>
                <w:rFonts w:ascii="Arial" w:cs="Arial" w:eastAsia="Arial" w:hAnsi="Arial"/>
                <w:sz w:val="14"/>
                <w:szCs w:val="14"/>
                <w:color w:val="auto"/>
              </w:rPr>
              <w:t>committee evaluation results</w:t>
            </w:r>
          </w:p>
        </w:tc>
        <w:tc>
          <w:tcPr>
            <w:tcW w:w="0" w:type="dxa"/>
            <w:vAlign w:val="bottom"/>
          </w:tcPr>
          <w:p>
            <w:pPr>
              <w:spacing w:after="0"/>
              <w:rPr>
                <w:sz w:val="1"/>
                <w:szCs w:val="1"/>
                <w:color w:val="auto"/>
              </w:rPr>
            </w:pPr>
          </w:p>
        </w:tc>
      </w:tr>
      <w:tr>
        <w:trPr>
          <w:trHeight w:val="139"/>
        </w:trPr>
        <w:tc>
          <w:tcPr>
            <w:tcW w:w="1820" w:type="dxa"/>
            <w:vAlign w:val="bottom"/>
          </w:tcPr>
          <w:p>
            <w:pPr>
              <w:ind w:left="160"/>
              <w:spacing w:after="0" w:line="139" w:lineRule="exact"/>
              <w:rPr>
                <w:sz w:val="20"/>
                <w:szCs w:val="20"/>
                <w:color w:val="auto"/>
              </w:rPr>
            </w:pPr>
            <w:r>
              <w:rPr>
                <w:rFonts w:ascii="Arial" w:cs="Arial" w:eastAsia="Arial" w:hAnsi="Arial"/>
                <w:sz w:val="14"/>
                <w:szCs w:val="14"/>
                <w:color w:val="auto"/>
              </w:rPr>
              <w:t>and Directors and</w:t>
            </w:r>
          </w:p>
        </w:tc>
        <w:tc>
          <w:tcPr>
            <w:tcW w:w="3000" w:type="dxa"/>
            <w:vAlign w:val="bottom"/>
            <w:gridSpan w:val="2"/>
          </w:tcPr>
          <w:p>
            <w:pPr>
              <w:ind w:left="180"/>
              <w:spacing w:after="0" w:line="139" w:lineRule="exact"/>
              <w:rPr>
                <w:sz w:val="20"/>
                <w:szCs w:val="20"/>
                <w:color w:val="auto"/>
              </w:rPr>
            </w:pPr>
            <w:r>
              <w:rPr>
                <w:rFonts w:ascii="Arial" w:cs="Arial" w:eastAsia="Arial" w:hAnsi="Arial"/>
                <w:sz w:val="14"/>
                <w:szCs w:val="14"/>
                <w:color w:val="auto"/>
              </w:rPr>
              <w:t>basis.</w:t>
            </w:r>
          </w:p>
        </w:tc>
        <w:tc>
          <w:tcPr>
            <w:tcW w:w="2240" w:type="dxa"/>
            <w:vAlign w:val="bottom"/>
          </w:tcPr>
          <w:p>
            <w:pPr>
              <w:ind w:left="180"/>
              <w:spacing w:after="0" w:line="139" w:lineRule="exact"/>
              <w:rPr>
                <w:sz w:val="20"/>
                <w:szCs w:val="20"/>
                <w:color w:val="auto"/>
              </w:rPr>
            </w:pPr>
            <w:r>
              <w:rPr>
                <w:rFonts w:ascii="Arial" w:cs="Arial" w:eastAsia="Arial" w:hAnsi="Arial"/>
                <w:sz w:val="14"/>
                <w:szCs w:val="14"/>
                <w:color w:val="auto"/>
              </w:rPr>
              <w:t>was provided to the board and</w:t>
            </w:r>
          </w:p>
        </w:tc>
        <w:tc>
          <w:tcPr>
            <w:tcW w:w="0" w:type="dxa"/>
            <w:vAlign w:val="bottom"/>
          </w:tcPr>
          <w:p>
            <w:pPr>
              <w:spacing w:after="0"/>
              <w:rPr>
                <w:sz w:val="1"/>
                <w:szCs w:val="1"/>
                <w:color w:val="auto"/>
              </w:rPr>
            </w:pPr>
          </w:p>
        </w:tc>
      </w:tr>
      <w:tr>
        <w:trPr>
          <w:trHeight w:val="148"/>
        </w:trPr>
        <w:tc>
          <w:tcPr>
            <w:tcW w:w="1820" w:type="dxa"/>
            <w:vAlign w:val="bottom"/>
          </w:tcPr>
          <w:p>
            <w:pPr>
              <w:ind w:left="160"/>
              <w:spacing w:after="0" w:line="149" w:lineRule="exact"/>
              <w:rPr>
                <w:sz w:val="20"/>
                <w:szCs w:val="20"/>
                <w:color w:val="auto"/>
              </w:rPr>
            </w:pPr>
            <w:r>
              <w:rPr>
                <w:rFonts w:ascii="Arial" w:cs="Arial" w:eastAsia="Arial" w:hAnsi="Arial"/>
                <w:sz w:val="14"/>
                <w:szCs w:val="14"/>
                <w:color w:val="auto"/>
              </w:rPr>
              <w:t>Corporate</w:t>
            </w: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40" w:type="dxa"/>
            <w:vAlign w:val="bottom"/>
          </w:tcPr>
          <w:p>
            <w:pPr>
              <w:ind w:left="180"/>
              <w:spacing w:after="0" w:line="149" w:lineRule="exact"/>
              <w:rPr>
                <w:sz w:val="20"/>
                <w:szCs w:val="20"/>
                <w:color w:val="auto"/>
              </w:rPr>
            </w:pPr>
            <w:r>
              <w:rPr>
                <w:rFonts w:ascii="Arial" w:cs="Arial" w:eastAsia="Arial" w:hAnsi="Arial"/>
                <w:sz w:val="14"/>
                <w:szCs w:val="14"/>
                <w:color w:val="auto"/>
              </w:rPr>
              <w:t>its committees.</w:t>
            </w:r>
          </w:p>
        </w:tc>
        <w:tc>
          <w:tcPr>
            <w:tcW w:w="0" w:type="dxa"/>
            <w:vAlign w:val="bottom"/>
          </w:tcPr>
          <w:p>
            <w:pPr>
              <w:spacing w:after="0"/>
              <w:rPr>
                <w:sz w:val="1"/>
                <w:szCs w:val="1"/>
                <w:color w:val="auto"/>
              </w:rPr>
            </w:pPr>
          </w:p>
        </w:tc>
      </w:tr>
      <w:tr>
        <w:trPr>
          <w:trHeight w:val="144"/>
        </w:trPr>
        <w:tc>
          <w:tcPr>
            <w:tcW w:w="1820" w:type="dxa"/>
            <w:vAlign w:val="bottom"/>
          </w:tcPr>
          <w:p>
            <w:pPr>
              <w:ind w:left="160"/>
              <w:spacing w:after="0" w:line="145" w:lineRule="exact"/>
              <w:rPr>
                <w:sz w:val="20"/>
                <w:szCs w:val="20"/>
                <w:color w:val="auto"/>
              </w:rPr>
            </w:pPr>
            <w:r>
              <w:rPr>
                <w:rFonts w:ascii="Arial" w:cs="Arial" w:eastAsia="Arial" w:hAnsi="Arial"/>
                <w:sz w:val="14"/>
                <w:szCs w:val="14"/>
                <w:color w:val="auto"/>
              </w:rPr>
              <w:t>Governance</w:t>
            </w:r>
          </w:p>
        </w:tc>
        <w:tc>
          <w:tcPr>
            <w:tcW w:w="3000" w:type="dxa"/>
            <w:vAlign w:val="bottom"/>
            <w:gridSpan w:val="2"/>
            <w:vMerge w:val="restart"/>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Each director had one-on-one</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tcPr>
          <w:p>
            <w:pPr>
              <w:ind w:left="160"/>
              <w:spacing w:after="0" w:line="135" w:lineRule="exact"/>
              <w:rPr>
                <w:sz w:val="20"/>
                <w:szCs w:val="20"/>
                <w:color w:val="auto"/>
              </w:rPr>
            </w:pPr>
            <w:r>
              <w:rPr>
                <w:rFonts w:ascii="Arial" w:cs="Arial" w:eastAsia="Arial" w:hAnsi="Arial"/>
                <w:sz w:val="14"/>
                <w:szCs w:val="14"/>
                <w:color w:val="auto"/>
              </w:rPr>
              <w:t>Committee reviewed</w:t>
            </w:r>
          </w:p>
        </w:tc>
        <w:tc>
          <w:tcPr>
            <w:tcW w:w="3000" w:type="dxa"/>
            <w:vAlign w:val="bottom"/>
            <w:gridSpan w:val="2"/>
            <w:vMerge w:val="continue"/>
          </w:tcPr>
          <w:p>
            <w:pPr>
              <w:spacing w:after="0"/>
              <w:rPr>
                <w:sz w:val="11"/>
                <w:szCs w:val="11"/>
                <w:color w:val="auto"/>
              </w:rPr>
            </w:pPr>
          </w:p>
        </w:tc>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Closed session evaluation</w:t>
            </w:r>
          </w:p>
        </w:tc>
        <w:tc>
          <w:tcPr>
            <w:tcW w:w="0" w:type="dxa"/>
            <w:vAlign w:val="bottom"/>
          </w:tcPr>
          <w:p>
            <w:pPr>
              <w:spacing w:after="0"/>
              <w:rPr>
                <w:sz w:val="1"/>
                <w:szCs w:val="1"/>
                <w:color w:val="auto"/>
              </w:rPr>
            </w:pPr>
          </w:p>
        </w:tc>
      </w:tr>
      <w:tr>
        <w:trPr>
          <w:trHeight w:val="149"/>
        </w:trPr>
        <w:tc>
          <w:tcPr>
            <w:tcW w:w="1820" w:type="dxa"/>
            <w:vAlign w:val="bottom"/>
          </w:tcPr>
          <w:p>
            <w:pPr>
              <w:ind w:left="160"/>
              <w:spacing w:after="0" w:line="149" w:lineRule="exact"/>
              <w:rPr>
                <w:sz w:val="20"/>
                <w:szCs w:val="20"/>
                <w:color w:val="auto"/>
              </w:rPr>
            </w:pPr>
            <w:r>
              <w:rPr>
                <w:rFonts w:ascii="Arial" w:cs="Arial" w:eastAsia="Arial" w:hAnsi="Arial"/>
                <w:sz w:val="14"/>
                <w:szCs w:val="14"/>
                <w:color w:val="auto"/>
              </w:rPr>
              <w:t>the evaluation</w:t>
            </w:r>
          </w:p>
        </w:tc>
        <w:tc>
          <w:tcPr>
            <w:tcW w:w="3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discussions with the lead</w:t>
            </w: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60"/>
              <w:spacing w:after="0" w:line="149" w:lineRule="exact"/>
              <w:rPr>
                <w:sz w:val="20"/>
                <w:szCs w:val="20"/>
                <w:color w:val="auto"/>
              </w:rPr>
            </w:pPr>
            <w:r>
              <w:rPr>
                <w:rFonts w:ascii="Arial" w:cs="Arial" w:eastAsia="Arial" w:hAnsi="Arial"/>
                <w:sz w:val="14"/>
                <w:szCs w:val="14"/>
                <w:color w:val="auto"/>
              </w:rPr>
              <w:t>process.</w:t>
            </w:r>
          </w:p>
        </w:tc>
        <w:tc>
          <w:tcPr>
            <w:tcW w:w="3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independent director and/or with</w:t>
            </w:r>
          </w:p>
        </w:tc>
        <w:tc>
          <w:tcPr>
            <w:tcW w:w="2240" w:type="dxa"/>
            <w:vAlign w:val="bottom"/>
          </w:tcPr>
          <w:p>
            <w:pPr>
              <w:ind w:left="180"/>
              <w:spacing w:after="0" w:line="149" w:lineRule="exact"/>
              <w:rPr>
                <w:sz w:val="20"/>
                <w:szCs w:val="20"/>
                <w:color w:val="auto"/>
              </w:rPr>
            </w:pPr>
            <w:r>
              <w:rPr>
                <w:rFonts w:ascii="Arial" w:cs="Arial" w:eastAsia="Arial" w:hAnsi="Arial"/>
                <w:sz w:val="14"/>
                <w:szCs w:val="14"/>
                <w:color w:val="auto"/>
              </w:rPr>
              <w:t>discussions of the board and</w:t>
            </w:r>
          </w:p>
        </w:tc>
        <w:tc>
          <w:tcPr>
            <w:tcW w:w="0" w:type="dxa"/>
            <w:vAlign w:val="bottom"/>
          </w:tcPr>
          <w:p>
            <w:pPr>
              <w:spacing w:after="0"/>
              <w:rPr>
                <w:sz w:val="1"/>
                <w:szCs w:val="1"/>
                <w:color w:val="auto"/>
              </w:rPr>
            </w:pPr>
          </w:p>
        </w:tc>
      </w:tr>
      <w:tr>
        <w:trPr>
          <w:trHeight w:val="112"/>
        </w:trPr>
        <w:tc>
          <w:tcPr>
            <w:tcW w:w="1820" w:type="dxa"/>
            <w:vAlign w:val="bottom"/>
          </w:tcPr>
          <w:p>
            <w:pPr>
              <w:spacing w:after="0"/>
              <w:rPr>
                <w:sz w:val="9"/>
                <w:szCs w:val="9"/>
                <w:color w:val="auto"/>
              </w:rPr>
            </w:pPr>
          </w:p>
        </w:tc>
        <w:tc>
          <w:tcPr>
            <w:tcW w:w="3000" w:type="dxa"/>
            <w:vAlign w:val="bottom"/>
            <w:gridSpan w:val="2"/>
          </w:tcPr>
          <w:p>
            <w:pPr>
              <w:ind w:left="180"/>
              <w:spacing w:after="0" w:line="113" w:lineRule="exact"/>
              <w:rPr>
                <w:sz w:val="20"/>
                <w:szCs w:val="20"/>
                <w:color w:val="auto"/>
              </w:rPr>
            </w:pPr>
            <w:r>
              <w:rPr>
                <w:rFonts w:ascii="Arial" w:cs="Arial" w:eastAsia="Arial" w:hAnsi="Arial"/>
                <w:sz w:val="13"/>
                <w:szCs w:val="13"/>
                <w:color w:val="auto"/>
              </w:rPr>
              <w:t>the board chair.</w:t>
            </w:r>
          </w:p>
        </w:tc>
        <w:tc>
          <w:tcPr>
            <w:tcW w:w="2240" w:type="dxa"/>
            <w:vAlign w:val="bottom"/>
          </w:tcPr>
          <w:p>
            <w:pPr>
              <w:ind w:left="180"/>
              <w:spacing w:after="0" w:line="113" w:lineRule="exact"/>
              <w:rPr>
                <w:sz w:val="20"/>
                <w:szCs w:val="20"/>
                <w:color w:val="auto"/>
              </w:rPr>
            </w:pPr>
            <w:r>
              <w:rPr>
                <w:rFonts w:ascii="Arial" w:cs="Arial" w:eastAsia="Arial" w:hAnsi="Arial"/>
                <w:sz w:val="13"/>
                <w:szCs w:val="13"/>
                <w:color w:val="auto"/>
              </w:rPr>
              <w:t>committees were led by our</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40" w:type="dxa"/>
            <w:vAlign w:val="bottom"/>
          </w:tcPr>
          <w:p>
            <w:pPr>
              <w:ind w:left="180"/>
              <w:spacing w:after="0" w:line="149" w:lineRule="exact"/>
              <w:rPr>
                <w:sz w:val="20"/>
                <w:szCs w:val="20"/>
                <w:color w:val="auto"/>
              </w:rPr>
            </w:pPr>
            <w:r>
              <w:rPr>
                <w:rFonts w:ascii="Arial" w:cs="Arial" w:eastAsia="Arial" w:hAnsi="Arial"/>
                <w:sz w:val="14"/>
                <w:szCs w:val="14"/>
                <w:color w:val="auto"/>
              </w:rPr>
              <w:t>lead independent director and</w:t>
            </w:r>
          </w:p>
        </w:tc>
        <w:tc>
          <w:tcPr>
            <w:tcW w:w="0" w:type="dxa"/>
            <w:vAlign w:val="bottom"/>
          </w:tcPr>
          <w:p>
            <w:pPr>
              <w:spacing w:after="0"/>
              <w:rPr>
                <w:sz w:val="1"/>
                <w:szCs w:val="1"/>
                <w:color w:val="auto"/>
              </w:rPr>
            </w:pPr>
          </w:p>
        </w:tc>
      </w:tr>
      <w:tr>
        <w:trPr>
          <w:trHeight w:val="190"/>
        </w:trPr>
        <w:tc>
          <w:tcPr>
            <w:tcW w:w="1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tcPr>
          <w:p>
            <w:pPr>
              <w:ind w:left="180"/>
              <w:spacing w:after="0"/>
              <w:rPr>
                <w:sz w:val="20"/>
                <w:szCs w:val="20"/>
                <w:color w:val="auto"/>
              </w:rPr>
            </w:pPr>
            <w:r>
              <w:rPr>
                <w:rFonts w:ascii="Arial" w:cs="Arial" w:eastAsia="Arial" w:hAnsi="Arial"/>
                <w:sz w:val="14"/>
                <w:szCs w:val="14"/>
                <w:color w:val="auto"/>
              </w:rPr>
              <w:t>independent committee chairs.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-1520190</wp:posOffset>
            </wp:positionV>
            <wp:extent cx="8572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-1520190</wp:posOffset>
            </wp:positionV>
            <wp:extent cx="8572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2"/>
        <w:spacing w:after="0"/>
        <w:rPr>
          <w:sz w:val="20"/>
          <w:szCs w:val="20"/>
          <w:color w:val="auto"/>
        </w:rPr>
      </w:pPr>
      <w:r>
        <w:rPr>
          <w:rFonts w:ascii="Arial" w:cs="Arial" w:eastAsia="Arial" w:hAnsi="Arial"/>
          <w:sz w:val="15"/>
          <w:szCs w:val="15"/>
          <w:b w:val="1"/>
          <w:bCs w:val="1"/>
          <w:color w:val="auto"/>
        </w:rPr>
        <w:t>Follow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-147955</wp:posOffset>
            </wp:positionV>
            <wp:extent cx="8572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72" w:right="2200" w:hanging="172"/>
        <w:spacing w:after="0" w:line="220" w:lineRule="auto"/>
        <w:tabs>
          <w:tab w:leader="none" w:pos="161" w:val="left"/>
        </w:tabs>
        <w:numPr>
          <w:ilvl w:val="0"/>
          <w:numId w:val="94"/>
        </w:numPr>
        <w:rPr>
          <w:rFonts w:ascii="Arial" w:cs="Arial" w:eastAsia="Arial" w:hAnsi="Arial"/>
          <w:sz w:val="16"/>
          <w:szCs w:val="16"/>
          <w:color w:val="auto"/>
        </w:rPr>
      </w:pPr>
      <w:r>
        <w:rPr>
          <w:rFonts w:ascii="Arial" w:cs="Arial" w:eastAsia="Arial" w:hAnsi="Arial"/>
          <w:sz w:val="14"/>
          <w:szCs w:val="14"/>
          <w:color w:val="auto"/>
        </w:rPr>
        <w:t>Incorporated feedback into nomination process and the 2026 board and committee planning process, as applicable.</w:t>
      </w:r>
    </w:p>
    <w:p>
      <w:pPr>
        <w:spacing w:after="0" w:line="606" w:lineRule="exact"/>
        <w:rPr>
          <w:sz w:val="20"/>
          <w:szCs w:val="20"/>
          <w:color w:val="auto"/>
        </w:rPr>
      </w:pPr>
    </w:p>
    <w:p>
      <w:pPr>
        <w:sectPr>
          <w:pgSz w:w="11900" w:h="16838" w:orient="portrait"/>
          <w:cols w:equalWidth="0" w:num="2">
            <w:col w:w="7080" w:space="668"/>
            <w:col w:w="3492"/>
          </w:cols>
          <w:pgMar w:left="320" w:top="985" w:right="339" w:bottom="1440" w:gutter="0" w:footer="0" w:header="0"/>
          <w:type w:val="continuous"/>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4" w:name="page35"/>
    <w:bookmarkEnd w:id="34"/>
    <w:p>
      <w:pPr>
        <w:spacing w:after="0" w:line="262" w:lineRule="auto"/>
        <w:rPr>
          <w:sz w:val="20"/>
          <w:szCs w:val="20"/>
          <w:color w:val="auto"/>
        </w:rPr>
      </w:pPr>
      <w:r>
        <w:rPr>
          <w:rFonts w:ascii="Arial" w:cs="Arial" w:eastAsia="Arial" w:hAnsi="Arial"/>
          <w:sz w:val="18"/>
          <w:szCs w:val="18"/>
          <w:color w:val="auto"/>
        </w:rPr>
        <w:t>Every year, the Directors and Corporate Governance Committee, together with the chair and the lead independent director, conducts a robust assessment of the board and board committee performance and processes based on input from all directors. The committee also conducts an annual assessment of each director’s individual performance, and conducts a more in-depth review of individual director performance every three years when considering whether to nominate the director to a new three-year term.</w:t>
      </w:r>
    </w:p>
    <w:p>
      <w:pPr>
        <w:spacing w:after="0" w:line="1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results of these assessments inform the board’s nominations for directors at the annual meeting of shareholders each year and help identify the experiences, skills, perspectives, and other characteristics needed in future director candidates. Together with our lead independent director, the committee periodically evaluates the board’s overall composition and skills as they actively engage in succession planning for directors to ensure that our board reflects the diversity of viewpoints and expertise necessary to support our complex and evolving business.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Education</w:t>
      </w:r>
    </w:p>
    <w:p>
      <w:pPr>
        <w:spacing w:after="0" w:line="18"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Periodic briefing sessions are provided to members of the board and committees on subjects that would assist them in discharging their duties and enhancing their understanding of emerging trends and recent developments. Directors also attend regular continuing education sessions on areas of relevance or importance to our company, and we hold regular mandatory training sessions for the Audit Committee.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Beyond the Boardroom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Director Orientation</w:t>
      </w:r>
    </w:p>
    <w:p>
      <w:pPr>
        <w:spacing w:after="0" w:line="7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Each new director participates in an orientation program upon joining the board. The program includes presentations by senior management to familiarize new directors with, among other things, Lilly’s ethics, compliance and governance programs, business units, financial position, strategic plans, and human capital management programs.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“Day in the Business,” Deep Dives, and Site Visits</w:t>
      </w:r>
    </w:p>
    <w:p>
      <w:pPr>
        <w:spacing w:after="0" w:line="72"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Directors are expected to dedicate a full day to independently explore and learn more about Lilly’s day-to-day business. These “Day in the Business” visits can take a variety of forms, such as a medical conference where a Lilly representative is presenting, a manufacturing site visit, or a ride-along with a sales representative.</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Periodically, directors are invited to or may request to visit the company’s manufacturing or other operating sites, and management prepares educational sessions for directors relevant to the location’s business and culture.</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Additionally, directors are invited to or may request “deep dive” educational sessions with respect to a particular business unit or other aspect of our business. Examples include sessions on product launches, field sales, medical conferences, technology initiatives, financial accounting, and affordability initiatives.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Employee Events</w:t>
      </w:r>
    </w:p>
    <w:p>
      <w:pPr>
        <w:spacing w:after="0" w:line="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Directors have the opportunity to participate in a variety of Lilly events, both as presenters and as participants. This offers a chance for directors to connect with Lilly employees, show their support for these activities, and see our corporate culture, inclusion, and other human capital management strategies in action.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Engagement</w:t>
      </w:r>
    </w:p>
    <w:p>
      <w:pPr>
        <w:spacing w:after="0" w:line="72"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The board receives periodic updates on shareholder engagement led by management. From time to time, directors participate in communications and direct engagement with shareholders to discuss specific matters of mutual importance.</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Board Structure</w:t>
      </w:r>
    </w:p>
    <w:p>
      <w:pPr>
        <w:spacing w:after="0" w:line="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board has established five standing committees: Audit, Talent and Compensation, Directors and Corporate Governance, Science and Technology, and Ethics and Compliance. Our independent directors are appointed to committees to take advantage of their diverse skill sets and enable deep focus on a specific scope of matters. The board annually reviews committee memberships and chair positions, seeking the best blend of continuity and innovative perspectives on the committees.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Each of our committees:</w:t>
      </w:r>
    </w:p>
    <w:p>
      <w:pPr>
        <w:spacing w:after="0" w:line="117" w:lineRule="exact"/>
        <w:rPr>
          <w:sz w:val="20"/>
          <w:szCs w:val="20"/>
          <w:color w:val="auto"/>
        </w:rPr>
      </w:pPr>
    </w:p>
    <w:p>
      <w:pPr>
        <w:ind w:left="480" w:hanging="310"/>
        <w:spacing w:after="0"/>
        <w:tabs>
          <w:tab w:leader="none" w:pos="480" w:val="left"/>
        </w:tabs>
        <w:numPr>
          <w:ilvl w:val="0"/>
          <w:numId w:val="95"/>
        </w:numPr>
        <w:rPr>
          <w:rFonts w:ascii="Arial" w:cs="Arial" w:eastAsia="Arial" w:hAnsi="Arial"/>
          <w:sz w:val="16"/>
          <w:szCs w:val="16"/>
          <w:color w:val="auto"/>
        </w:rPr>
      </w:pPr>
      <w:r>
        <w:rPr>
          <w:rFonts w:ascii="Arial" w:cs="Arial" w:eastAsia="Arial" w:hAnsi="Arial"/>
          <w:sz w:val="18"/>
          <w:szCs w:val="18"/>
          <w:color w:val="auto"/>
        </w:rPr>
        <w:t xml:space="preserve">operates pursuant to a written charter (available on our website at </w:t>
      </w:r>
      <w:r>
        <w:rPr>
          <w:rFonts w:ascii="Arial" w:cs="Arial" w:eastAsia="Arial" w:hAnsi="Arial"/>
          <w:sz w:val="18"/>
          <w:szCs w:val="18"/>
          <w:color w:val="D52B1E"/>
        </w:rPr>
        <w:t>lilly.com/about/leadership/governance</w:t>
      </w:r>
      <w:r>
        <w:rPr>
          <w:rFonts w:ascii="Arial" w:cs="Arial" w:eastAsia="Arial" w:hAnsi="Arial"/>
          <w:sz w:val="18"/>
          <w:szCs w:val="18"/>
          <w:color w:val="auto"/>
        </w:rPr>
        <w:t>),</w:t>
      </w:r>
    </w:p>
    <w:p>
      <w:pPr>
        <w:spacing w:after="0" w:line="117" w:lineRule="exact"/>
        <w:rPr>
          <w:rFonts w:ascii="Arial" w:cs="Arial" w:eastAsia="Arial" w:hAnsi="Arial"/>
          <w:sz w:val="16"/>
          <w:szCs w:val="16"/>
          <w:color w:val="auto"/>
        </w:rPr>
      </w:pPr>
    </w:p>
    <w:p>
      <w:pPr>
        <w:ind w:left="480" w:hanging="310"/>
        <w:spacing w:after="0"/>
        <w:tabs>
          <w:tab w:leader="none" w:pos="480" w:val="left"/>
        </w:tabs>
        <w:numPr>
          <w:ilvl w:val="0"/>
          <w:numId w:val="95"/>
        </w:numPr>
        <w:rPr>
          <w:rFonts w:ascii="Arial" w:cs="Arial" w:eastAsia="Arial" w:hAnsi="Arial"/>
          <w:sz w:val="16"/>
          <w:szCs w:val="16"/>
          <w:color w:val="auto"/>
        </w:rPr>
      </w:pPr>
      <w:r>
        <w:rPr>
          <w:rFonts w:ascii="Arial" w:cs="Arial" w:eastAsia="Arial" w:hAnsi="Arial"/>
          <w:sz w:val="18"/>
          <w:szCs w:val="18"/>
          <w:color w:val="auto"/>
        </w:rPr>
        <w:t>evaluates its performance annually, and</w:t>
      </w:r>
    </w:p>
    <w:p>
      <w:pPr>
        <w:spacing w:after="0" w:line="117" w:lineRule="exact"/>
        <w:rPr>
          <w:rFonts w:ascii="Arial" w:cs="Arial" w:eastAsia="Arial" w:hAnsi="Arial"/>
          <w:sz w:val="16"/>
          <w:szCs w:val="16"/>
          <w:color w:val="auto"/>
        </w:rPr>
      </w:pPr>
    </w:p>
    <w:p>
      <w:pPr>
        <w:ind w:left="480" w:hanging="310"/>
        <w:spacing w:after="0"/>
        <w:tabs>
          <w:tab w:leader="none" w:pos="480" w:val="left"/>
        </w:tabs>
        <w:numPr>
          <w:ilvl w:val="0"/>
          <w:numId w:val="95"/>
        </w:numPr>
        <w:rPr>
          <w:rFonts w:ascii="Arial" w:cs="Arial" w:eastAsia="Arial" w:hAnsi="Arial"/>
          <w:sz w:val="16"/>
          <w:szCs w:val="16"/>
          <w:color w:val="auto"/>
        </w:rPr>
      </w:pPr>
      <w:r>
        <w:rPr>
          <w:rFonts w:ascii="Arial" w:cs="Arial" w:eastAsia="Arial" w:hAnsi="Arial"/>
          <w:sz w:val="18"/>
          <w:szCs w:val="18"/>
          <w:color w:val="auto"/>
        </w:rPr>
        <w:t>reviews its charter annually.</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chair of each committee determines the frequency and agenda of committee meetings, subject to any minimums specified in the relevant committee charter, and the committees meet in executive session on a regular basis.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of the Board and Its Committees</w:t>
      </w:r>
    </w:p>
    <w:p>
      <w:pPr>
        <w:spacing w:after="0" w:line="54"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 2025, our board met nine times, and each director attended at least 75 percent of the total number of meetings of the board and the committees on which he or she served during his or her tenure as a board or committee member. In addition, all board members are expected to attend the Annual Meeting, and all directors then serving attended the 2025 annual meeting of shareholders. Key responsibilities, current committee membership and the number of meetings of each committee held in 2025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092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41"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7092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539750" cy="4718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97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D52B1E"/>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-104775</wp:posOffset>
            </wp:positionV>
            <wp:extent cx="39776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60" w:hanging="153"/>
        <w:spacing w:after="0"/>
        <w:tabs>
          <w:tab w:leader="none" w:pos="260" w:val="left"/>
        </w:tabs>
        <w:numPr>
          <w:ilvl w:val="1"/>
          <w:numId w:val="96"/>
        </w:numPr>
        <w:rPr>
          <w:rFonts w:ascii="Arial" w:cs="Arial" w:eastAsia="Arial" w:hAnsi="Arial"/>
          <w:sz w:val="16"/>
          <w:szCs w:val="16"/>
          <w:color w:val="auto"/>
        </w:rPr>
      </w:pPr>
      <w:r>
        <w:rPr>
          <w:rFonts w:ascii="Arial" w:cs="Arial" w:eastAsia="Arial" w:hAnsi="Arial"/>
          <w:sz w:val="18"/>
          <w:szCs w:val="18"/>
          <w:color w:val="auto"/>
        </w:rPr>
        <w:t>Mr. Alvarez*</w:t>
      </w:r>
    </w:p>
    <w:p>
      <w:pPr>
        <w:spacing w:after="0" w:line="63" w:lineRule="exact"/>
        <w:rPr>
          <w:rFonts w:ascii="Arial" w:cs="Arial" w:eastAsia="Arial" w:hAnsi="Arial"/>
          <w:sz w:val="16"/>
          <w:szCs w:val="16"/>
          <w:color w:val="auto"/>
        </w:rPr>
      </w:pPr>
    </w:p>
    <w:p>
      <w:pPr>
        <w:ind w:left="260" w:hanging="153"/>
        <w:spacing w:after="0"/>
        <w:tabs>
          <w:tab w:leader="none" w:pos="260" w:val="left"/>
        </w:tabs>
        <w:numPr>
          <w:ilvl w:val="1"/>
          <w:numId w:val="96"/>
        </w:numPr>
        <w:rPr>
          <w:rFonts w:ascii="Arial" w:cs="Arial" w:eastAsia="Arial" w:hAnsi="Arial"/>
          <w:sz w:val="15"/>
          <w:szCs w:val="15"/>
          <w:color w:val="auto"/>
        </w:rPr>
      </w:pPr>
      <w:r>
        <w:rPr>
          <w:rFonts w:ascii="Arial" w:cs="Arial" w:eastAsia="Arial" w:hAnsi="Arial"/>
          <w:sz w:val="17"/>
          <w:szCs w:val="17"/>
          <w:color w:val="auto"/>
        </w:rPr>
        <w:t>Mr. Jackson* (Chair)</w:t>
      </w:r>
    </w:p>
    <w:p>
      <w:pPr>
        <w:spacing w:after="0" w:line="74" w:lineRule="exact"/>
        <w:rPr>
          <w:rFonts w:ascii="Arial" w:cs="Arial" w:eastAsia="Arial" w:hAnsi="Arial"/>
          <w:sz w:val="15"/>
          <w:szCs w:val="15"/>
          <w:color w:val="auto"/>
        </w:rPr>
      </w:pPr>
    </w:p>
    <w:p>
      <w:pPr>
        <w:ind w:left="260" w:hanging="153"/>
        <w:spacing w:after="0"/>
        <w:tabs>
          <w:tab w:leader="none" w:pos="260" w:val="left"/>
        </w:tabs>
        <w:numPr>
          <w:ilvl w:val="1"/>
          <w:numId w:val="96"/>
        </w:numPr>
        <w:rPr>
          <w:rFonts w:ascii="Arial" w:cs="Arial" w:eastAsia="Arial" w:hAnsi="Arial"/>
          <w:sz w:val="16"/>
          <w:szCs w:val="16"/>
          <w:color w:val="auto"/>
        </w:rPr>
      </w:pPr>
      <w:r>
        <w:rPr>
          <w:rFonts w:ascii="Arial" w:cs="Arial" w:eastAsia="Arial" w:hAnsi="Arial"/>
          <w:sz w:val="18"/>
          <w:szCs w:val="18"/>
          <w:color w:val="auto"/>
        </w:rPr>
        <w:t>Mr. Moeller*</w:t>
      </w:r>
    </w:p>
    <w:p>
      <w:pPr>
        <w:spacing w:after="0" w:line="63" w:lineRule="exact"/>
        <w:rPr>
          <w:rFonts w:ascii="Arial" w:cs="Arial" w:eastAsia="Arial" w:hAnsi="Arial"/>
          <w:sz w:val="16"/>
          <w:szCs w:val="16"/>
          <w:color w:val="auto"/>
        </w:rPr>
      </w:pPr>
    </w:p>
    <w:p>
      <w:pPr>
        <w:ind w:left="260" w:hanging="153"/>
        <w:spacing w:after="0"/>
        <w:tabs>
          <w:tab w:leader="none" w:pos="260" w:val="left"/>
        </w:tabs>
        <w:numPr>
          <w:ilvl w:val="1"/>
          <w:numId w:val="96"/>
        </w:numPr>
        <w:rPr>
          <w:rFonts w:ascii="Arial" w:cs="Arial" w:eastAsia="Arial" w:hAnsi="Arial"/>
          <w:sz w:val="16"/>
          <w:szCs w:val="16"/>
          <w:color w:val="auto"/>
        </w:rPr>
      </w:pPr>
      <w:r>
        <w:rPr>
          <w:rFonts w:ascii="Arial" w:cs="Arial" w:eastAsia="Arial" w:hAnsi="Arial"/>
          <w:sz w:val="18"/>
          <w:szCs w:val="18"/>
          <w:color w:val="auto"/>
        </w:rPr>
        <w:t>Ms. Sulzberger*</w:t>
      </w:r>
    </w:p>
    <w:p>
      <w:pPr>
        <w:spacing w:after="0" w:line="69"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i w:val="1"/>
          <w:iCs w:val="1"/>
          <w:color w:val="auto"/>
        </w:rPr>
        <w:t>* Financial Experts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Meetings in 2025: 7</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2460" w:hanging="330"/>
        <w:spacing w:after="0" w:line="281" w:lineRule="auto"/>
        <w:tabs>
          <w:tab w:leader="none" w:pos="649" w:val="left"/>
        </w:tabs>
        <w:numPr>
          <w:ilvl w:val="0"/>
          <w:numId w:val="97"/>
        </w:numPr>
        <w:rPr>
          <w:rFonts w:ascii="Arial" w:cs="Arial" w:eastAsia="Arial" w:hAnsi="Arial"/>
          <w:sz w:val="16"/>
          <w:szCs w:val="16"/>
          <w:color w:val="auto"/>
        </w:rPr>
      </w:pPr>
      <w:r>
        <w:rPr>
          <w:rFonts w:ascii="Arial" w:cs="Arial" w:eastAsia="Arial" w:hAnsi="Arial"/>
          <w:sz w:val="18"/>
          <w:szCs w:val="18"/>
          <w:color w:val="auto"/>
        </w:rPr>
        <w:t>oversees integrity of financial information provided to our shareholders and others</w:t>
      </w:r>
    </w:p>
    <w:p>
      <w:pPr>
        <w:spacing w:after="0" w:line="1" w:lineRule="exact"/>
        <w:rPr>
          <w:rFonts w:ascii="Arial" w:cs="Arial" w:eastAsia="Arial" w:hAnsi="Arial"/>
          <w:sz w:val="16"/>
          <w:szCs w:val="16"/>
          <w:color w:val="auto"/>
        </w:rPr>
      </w:pPr>
    </w:p>
    <w:p>
      <w:pPr>
        <w:ind w:left="640" w:hanging="310"/>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oversees management’s systems of internal controls and disclosure controls</w:t>
      </w:r>
    </w:p>
    <w:p>
      <w:pPr>
        <w:spacing w:after="0" w:line="63" w:lineRule="exact"/>
        <w:rPr>
          <w:rFonts w:ascii="Arial" w:cs="Arial" w:eastAsia="Arial" w:hAnsi="Arial"/>
          <w:sz w:val="16"/>
          <w:szCs w:val="16"/>
          <w:color w:val="auto"/>
        </w:rPr>
      </w:pPr>
    </w:p>
    <w:p>
      <w:pPr>
        <w:ind w:left="640" w:hanging="310"/>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oversees performance of internal and independent audit functions</w:t>
      </w:r>
    </w:p>
    <w:p>
      <w:pPr>
        <w:spacing w:after="0" w:line="63" w:lineRule="exact"/>
        <w:rPr>
          <w:rFonts w:ascii="Arial" w:cs="Arial" w:eastAsia="Arial" w:hAnsi="Arial"/>
          <w:sz w:val="16"/>
          <w:szCs w:val="16"/>
          <w:color w:val="auto"/>
        </w:rPr>
      </w:pPr>
    </w:p>
    <w:p>
      <w:pPr>
        <w:ind w:left="660" w:right="2540" w:hanging="330"/>
        <w:spacing w:after="0" w:line="281" w:lineRule="auto"/>
        <w:tabs>
          <w:tab w:leader="none" w:pos="649" w:val="left"/>
        </w:tabs>
        <w:numPr>
          <w:ilvl w:val="0"/>
          <w:numId w:val="97"/>
        </w:numPr>
        <w:rPr>
          <w:rFonts w:ascii="Arial" w:cs="Arial" w:eastAsia="Arial" w:hAnsi="Arial"/>
          <w:sz w:val="16"/>
          <w:szCs w:val="16"/>
          <w:color w:val="auto"/>
        </w:rPr>
      </w:pPr>
      <w:r>
        <w:rPr>
          <w:rFonts w:ascii="Arial" w:cs="Arial" w:eastAsia="Arial" w:hAnsi="Arial"/>
          <w:sz w:val="18"/>
          <w:szCs w:val="18"/>
          <w:color w:val="auto"/>
        </w:rPr>
        <w:t>establishes qualifications and determines independence of the company’s independent auditor</w:t>
      </w:r>
    </w:p>
    <w:p>
      <w:pPr>
        <w:spacing w:after="0" w:line="1" w:lineRule="exact"/>
        <w:rPr>
          <w:rFonts w:ascii="Arial" w:cs="Arial" w:eastAsia="Arial" w:hAnsi="Arial"/>
          <w:sz w:val="16"/>
          <w:szCs w:val="16"/>
          <w:color w:val="auto"/>
        </w:rPr>
      </w:pPr>
    </w:p>
    <w:p>
      <w:pPr>
        <w:ind w:left="640" w:hanging="310"/>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has sole authority to appoint or replace the independent auditor</w:t>
      </w:r>
    </w:p>
    <w:p>
      <w:pPr>
        <w:spacing w:after="0" w:line="63" w:lineRule="exact"/>
        <w:rPr>
          <w:rFonts w:ascii="Arial" w:cs="Arial" w:eastAsia="Arial" w:hAnsi="Arial"/>
          <w:sz w:val="16"/>
          <w:szCs w:val="16"/>
          <w:color w:val="auto"/>
        </w:rPr>
      </w:pPr>
    </w:p>
    <w:p>
      <w:pPr>
        <w:ind w:left="640" w:hanging="310"/>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8"/>
          <w:szCs w:val="18"/>
          <w:color w:val="auto"/>
        </w:rPr>
        <w:t>oversees compliance with legal and regulatory requirements</w:t>
      </w:r>
    </w:p>
    <w:p>
      <w:pPr>
        <w:spacing w:after="0" w:line="63" w:lineRule="exact"/>
        <w:rPr>
          <w:rFonts w:ascii="Arial" w:cs="Arial" w:eastAsia="Arial" w:hAnsi="Arial"/>
          <w:sz w:val="16"/>
          <w:szCs w:val="16"/>
          <w:color w:val="auto"/>
        </w:rPr>
      </w:pPr>
    </w:p>
    <w:p>
      <w:pPr>
        <w:ind w:left="660" w:right="2680" w:hanging="330"/>
        <w:spacing w:after="0" w:line="281" w:lineRule="auto"/>
        <w:tabs>
          <w:tab w:leader="none" w:pos="649" w:val="left"/>
        </w:tabs>
        <w:numPr>
          <w:ilvl w:val="0"/>
          <w:numId w:val="97"/>
        </w:numPr>
        <w:rPr>
          <w:rFonts w:ascii="Arial" w:cs="Arial" w:eastAsia="Arial" w:hAnsi="Arial"/>
          <w:sz w:val="16"/>
          <w:szCs w:val="16"/>
          <w:color w:val="auto"/>
        </w:rPr>
      </w:pPr>
      <w:r>
        <w:rPr>
          <w:rFonts w:ascii="Arial" w:cs="Arial" w:eastAsia="Arial" w:hAnsi="Arial"/>
          <w:sz w:val="18"/>
          <w:szCs w:val="18"/>
          <w:color w:val="auto"/>
        </w:rPr>
        <w:t>oversees processes and procedures related to identifying and mitigating enterprise-level risks</w:t>
      </w:r>
    </w:p>
    <w:p>
      <w:pPr>
        <w:spacing w:after="0" w:line="1" w:lineRule="exact"/>
        <w:rPr>
          <w:rFonts w:ascii="Arial" w:cs="Arial" w:eastAsia="Arial" w:hAnsi="Arial"/>
          <w:sz w:val="16"/>
          <w:szCs w:val="16"/>
          <w:color w:val="auto"/>
        </w:rPr>
      </w:pPr>
    </w:p>
    <w:p>
      <w:pPr>
        <w:ind w:left="660" w:right="2300" w:hanging="330"/>
        <w:spacing w:after="0" w:line="268" w:lineRule="auto"/>
        <w:tabs>
          <w:tab w:leader="none" w:pos="649" w:val="left"/>
        </w:tabs>
        <w:numPr>
          <w:ilvl w:val="0"/>
          <w:numId w:val="97"/>
        </w:numPr>
        <w:rPr>
          <w:rFonts w:ascii="Arial" w:cs="Arial" w:eastAsia="Arial" w:hAnsi="Arial"/>
          <w:sz w:val="16"/>
          <w:szCs w:val="16"/>
          <w:color w:val="auto"/>
        </w:rPr>
      </w:pPr>
      <w:r>
        <w:rPr>
          <w:rFonts w:ascii="Arial" w:cs="Arial" w:eastAsia="Arial" w:hAnsi="Arial"/>
          <w:sz w:val="18"/>
          <w:szCs w:val="18"/>
          <w:color w:val="auto"/>
        </w:rPr>
        <w:t>oversees the company’s programs, policies, procedures, and risk management activities related to information security, cybersecurity and data protection</w:t>
      </w:r>
    </w:p>
    <w:p>
      <w:pPr>
        <w:spacing w:after="0" w:line="8" w:lineRule="exact"/>
        <w:rPr>
          <w:rFonts w:ascii="Arial" w:cs="Arial" w:eastAsia="Arial" w:hAnsi="Arial"/>
          <w:sz w:val="16"/>
          <w:szCs w:val="16"/>
          <w:color w:val="auto"/>
        </w:rPr>
      </w:pPr>
    </w:p>
    <w:p>
      <w:pPr>
        <w:ind w:left="660" w:right="2240" w:hanging="330"/>
        <w:spacing w:after="0" w:line="287" w:lineRule="auto"/>
        <w:tabs>
          <w:tab w:leader="none" w:pos="649" w:val="left"/>
        </w:tabs>
        <w:numPr>
          <w:ilvl w:val="0"/>
          <w:numId w:val="97"/>
        </w:numPr>
        <w:rPr>
          <w:rFonts w:ascii="Arial" w:cs="Arial" w:eastAsia="Arial" w:hAnsi="Arial"/>
          <w:sz w:val="16"/>
          <w:szCs w:val="16"/>
          <w:color w:val="auto"/>
        </w:rPr>
      </w:pPr>
      <w:r>
        <w:rPr>
          <w:rFonts w:ascii="Arial" w:cs="Arial" w:eastAsia="Arial" w:hAnsi="Arial"/>
          <w:sz w:val="18"/>
          <w:szCs w:val="18"/>
          <w:color w:val="auto"/>
        </w:rPr>
        <w:t>together with the Ethics and Compliance Committee, oversees the company’s compliance with the company’s code of ethics</w:t>
      </w:r>
    </w:p>
    <w:p>
      <w:pPr>
        <w:spacing w:after="0" w:line="200" w:lineRule="exact"/>
        <w:rPr>
          <w:sz w:val="20"/>
          <w:szCs w:val="20"/>
          <w:color w:val="auto"/>
        </w:rPr>
      </w:pPr>
    </w:p>
    <w:p>
      <w:pPr>
        <w:sectPr>
          <w:pgSz w:w="11900" w:h="16838" w:orient="portrait"/>
          <w:cols w:equalWidth="0" w:num="2">
            <w:col w:w="1880" w:space="300"/>
            <w:col w:w="9060"/>
          </w:cols>
          <w:pgMar w:left="320" w:top="985" w:right="3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6" w:name="page37"/>
    <w:bookmarkEnd w:id="36"/>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654685</wp:posOffset>
            </wp:positionV>
            <wp:extent cx="531495" cy="4718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1495" cy="471805"/>
                    </a:xfrm>
                    <a:prstGeom prst="rect">
                      <a:avLst/>
                    </a:prstGeom>
                    <a:noFill/>
                  </pic:spPr>
                </pic:pic>
              </a:graphicData>
            </a:graphic>
          </wp:anchor>
        </w:drawing>
        <w:t>Directors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-104775</wp:posOffset>
            </wp:positionV>
            <wp:extent cx="21259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tc>
        <w:tc>
          <w:tcPr>
            <w:tcW w:w="7060" w:type="dxa"/>
            <w:vAlign w:val="bottom"/>
          </w:tcPr>
          <w:p>
            <w:pPr>
              <w:ind w:left="200"/>
              <w:spacing w:after="0"/>
              <w:rPr>
                <w:sz w:val="20"/>
                <w:szCs w:val="20"/>
                <w:color w:val="auto"/>
              </w:rPr>
            </w:pPr>
            <w:r>
              <w:rPr>
                <w:rFonts w:ascii="Arial" w:cs="Arial" w:eastAsia="Arial" w:hAnsi="Arial"/>
                <w:sz w:val="18"/>
                <w:szCs w:val="18"/>
                <w:b w:val="1"/>
                <w:bCs w:val="1"/>
                <w:color w:val="auto"/>
              </w:rPr>
              <w:t>Key responsibilities and areas of risk oversight:</w:t>
            </w:r>
          </w:p>
        </w:tc>
        <w:tc>
          <w:tcPr>
            <w:tcW w:w="0" w:type="dxa"/>
            <w:vAlign w:val="bottom"/>
          </w:tcPr>
          <w:p>
            <w:pPr>
              <w:spacing w:after="0"/>
              <w:rPr>
                <w:sz w:val="1"/>
                <w:szCs w:val="1"/>
                <w:color w:val="auto"/>
              </w:rPr>
            </w:pPr>
          </w:p>
        </w:tc>
      </w:tr>
      <w:tr>
        <w:trPr>
          <w:trHeight w:val="239"/>
        </w:trPr>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1760" w:type="dxa"/>
            <w:vAlign w:val="bottom"/>
            <w:vMerge w:val="restart"/>
          </w:tcPr>
          <w:p>
            <w:pPr>
              <w:ind w:left="40"/>
              <w:spacing w:after="0"/>
              <w:rPr>
                <w:sz w:val="20"/>
                <w:szCs w:val="20"/>
                <w:color w:val="auto"/>
              </w:rPr>
            </w:pPr>
            <w:r>
              <w:rPr>
                <w:rFonts w:ascii="Arial" w:cs="Arial" w:eastAsia="Arial" w:hAnsi="Arial"/>
                <w:sz w:val="18"/>
                <w:szCs w:val="18"/>
                <w:color w:val="auto"/>
              </w:rPr>
              <w:t>Mr. Jackson</w:t>
            </w:r>
          </w:p>
        </w:tc>
        <w:tc>
          <w:tcPr>
            <w:tcW w:w="7060" w:type="dxa"/>
            <w:vAlign w:val="bottom"/>
          </w:tcPr>
          <w:p>
            <w:pPr>
              <w:ind w:left="5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reviews and recommends to the board the size and composition of the board</w:t>
            </w: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7060" w:type="dxa"/>
            <w:vAlign w:val="bottom"/>
          </w:tcPr>
          <w:p>
            <w:pPr>
              <w:ind w:left="860"/>
              <w:spacing w:after="0"/>
              <w:rPr>
                <w:sz w:val="20"/>
                <w:szCs w:val="20"/>
                <w:color w:val="auto"/>
              </w:rPr>
            </w:pPr>
            <w:r>
              <w:rPr>
                <w:rFonts w:ascii="Arial" w:cs="Arial" w:eastAsia="Arial" w:hAnsi="Arial"/>
                <w:sz w:val="18"/>
                <w:szCs w:val="18"/>
                <w:color w:val="auto"/>
              </w:rPr>
              <w:t>and its committees</w:t>
            </w:r>
          </w:p>
        </w:tc>
        <w:tc>
          <w:tcPr>
            <w:tcW w:w="0" w:type="dxa"/>
            <w:vAlign w:val="bottom"/>
          </w:tcPr>
          <w:p>
            <w:pPr>
              <w:spacing w:after="0"/>
              <w:rPr>
                <w:sz w:val="1"/>
                <w:szCs w:val="1"/>
                <w:color w:val="auto"/>
              </w:rPr>
            </w:pPr>
          </w:p>
        </w:tc>
      </w:tr>
      <w:tr>
        <w:trPr>
          <w:trHeight w:val="270"/>
        </w:trPr>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60" w:type="dxa"/>
            <w:vAlign w:val="bottom"/>
          </w:tcPr>
          <w:p>
            <w:pPr>
              <w:ind w:left="40"/>
              <w:spacing w:after="0"/>
              <w:rPr>
                <w:sz w:val="20"/>
                <w:szCs w:val="20"/>
                <w:color w:val="auto"/>
              </w:rPr>
            </w:pPr>
            <w:r>
              <w:rPr>
                <w:rFonts w:ascii="Arial" w:cs="Arial" w:eastAsia="Arial" w:hAnsi="Arial"/>
                <w:sz w:val="18"/>
                <w:szCs w:val="18"/>
                <w:color w:val="auto"/>
              </w:rPr>
              <w:t>Dr. Kaelin</w:t>
            </w:r>
          </w:p>
        </w:tc>
        <w:tc>
          <w:tcPr>
            <w:tcW w:w="7060" w:type="dxa"/>
            <w:vAlign w:val="bottom"/>
          </w:tcPr>
          <w:p>
            <w:pPr>
              <w:ind w:left="5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leads the process for director recruitment, together with the lead independent</w:t>
            </w:r>
          </w:p>
        </w:tc>
        <w:tc>
          <w:tcPr>
            <w:tcW w:w="0" w:type="dxa"/>
            <w:vAlign w:val="bottom"/>
          </w:tcPr>
          <w:p>
            <w:pPr>
              <w:spacing w:after="0"/>
              <w:rPr>
                <w:sz w:val="1"/>
                <w:szCs w:val="1"/>
                <w:color w:val="auto"/>
              </w:rPr>
            </w:pPr>
          </w:p>
        </w:tc>
      </w:tr>
      <w:tr>
        <w:trPr>
          <w:trHeight w:val="239"/>
        </w:trPr>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60" w:type="dxa"/>
            <w:vAlign w:val="bottom"/>
          </w:tcPr>
          <w:p>
            <w:pPr>
              <w:ind w:left="40"/>
              <w:spacing w:after="0"/>
              <w:rPr>
                <w:sz w:val="20"/>
                <w:szCs w:val="20"/>
                <w:color w:val="auto"/>
              </w:rPr>
            </w:pPr>
            <w:r>
              <w:rPr>
                <w:rFonts w:ascii="Arial" w:cs="Arial" w:eastAsia="Arial" w:hAnsi="Arial"/>
                <w:sz w:val="18"/>
                <w:szCs w:val="18"/>
                <w:color w:val="auto"/>
              </w:rPr>
              <w:t>Mr. Luciano (Chair)</w:t>
            </w:r>
          </w:p>
        </w:tc>
        <w:tc>
          <w:tcPr>
            <w:tcW w:w="7060" w:type="dxa"/>
            <w:vAlign w:val="bottom"/>
          </w:tcPr>
          <w:p>
            <w:pPr>
              <w:ind w:left="8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60" w:type="dxa"/>
            <w:vAlign w:val="bottom"/>
          </w:tcPr>
          <w:p>
            <w:pPr>
              <w:ind w:left="40"/>
              <w:spacing w:after="0"/>
              <w:rPr>
                <w:sz w:val="20"/>
                <w:szCs w:val="20"/>
                <w:color w:val="auto"/>
              </w:rPr>
            </w:pPr>
            <w:r>
              <w:rPr>
                <w:rFonts w:ascii="Arial" w:cs="Arial" w:eastAsia="Arial" w:hAnsi="Arial"/>
                <w:sz w:val="18"/>
                <w:szCs w:val="18"/>
                <w:color w:val="auto"/>
              </w:rPr>
              <w:t>Mr. Moeller</w:t>
            </w:r>
          </w:p>
        </w:tc>
        <w:tc>
          <w:tcPr>
            <w:tcW w:w="7060" w:type="dxa"/>
            <w:vAlign w:val="bottom"/>
          </w:tcPr>
          <w:p>
            <w:pPr>
              <w:ind w:left="5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reviews recommendations for nominees for the board of directors</w:t>
            </w:r>
          </w:p>
        </w:tc>
        <w:tc>
          <w:tcPr>
            <w:tcW w:w="0" w:type="dxa"/>
            <w:vAlign w:val="bottom"/>
          </w:tcPr>
          <w:p>
            <w:pPr>
              <w:spacing w:after="0"/>
              <w:rPr>
                <w:sz w:val="1"/>
                <w:szCs w:val="1"/>
                <w:color w:val="auto"/>
              </w:rPr>
            </w:pPr>
          </w:p>
        </w:tc>
      </w:tr>
      <w:tr>
        <w:trPr>
          <w:trHeight w:val="247"/>
        </w:trPr>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760" w:type="dxa"/>
            <w:vAlign w:val="bottom"/>
          </w:tcPr>
          <w:p>
            <w:pPr>
              <w:ind w:left="40"/>
              <w:spacing w:after="0"/>
              <w:rPr>
                <w:sz w:val="20"/>
                <w:szCs w:val="20"/>
                <w:color w:val="auto"/>
              </w:rPr>
            </w:pPr>
            <w:r>
              <w:rPr>
                <w:rFonts w:ascii="Arial" w:cs="Arial" w:eastAsia="Arial" w:hAnsi="Arial"/>
                <w:sz w:val="18"/>
                <w:szCs w:val="18"/>
                <w:color w:val="auto"/>
              </w:rPr>
              <w:t>Ms. Sulzberger</w:t>
            </w:r>
          </w:p>
        </w:tc>
        <w:tc>
          <w:tcPr>
            <w:tcW w:w="7060" w:type="dxa"/>
            <w:vAlign w:val="bottom"/>
          </w:tcPr>
          <w:p>
            <w:pPr>
              <w:ind w:left="5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color w:val="auto"/>
              </w:rPr>
              <w:t>oversees matters of corporate governance, including board performance, non-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060" w:type="dxa"/>
            <w:vAlign w:val="bottom"/>
          </w:tcPr>
          <w:p>
            <w:pPr>
              <w:ind w:left="860"/>
              <w:spacing w:after="0"/>
              <w:rPr>
                <w:sz w:val="20"/>
                <w:szCs w:val="20"/>
                <w:color w:val="auto"/>
              </w:rPr>
            </w:pPr>
            <w:r>
              <w:rPr>
                <w:rFonts w:ascii="Arial" w:cs="Arial" w:eastAsia="Arial" w:hAnsi="Arial"/>
                <w:sz w:val="18"/>
                <w:szCs w:val="18"/>
                <w:color w:val="auto"/>
              </w:rPr>
              <w:t>employee director independence and compensation, corporate governance</w:t>
            </w:r>
          </w:p>
        </w:tc>
        <w:tc>
          <w:tcPr>
            <w:tcW w:w="0" w:type="dxa"/>
            <w:vAlign w:val="bottom"/>
          </w:tcPr>
          <w:p>
            <w:pPr>
              <w:spacing w:after="0"/>
              <w:rPr>
                <w:sz w:val="1"/>
                <w:szCs w:val="1"/>
                <w:color w:val="auto"/>
              </w:rPr>
            </w:pPr>
          </w:p>
        </w:tc>
      </w:tr>
      <w:tr>
        <w:trPr>
          <w:trHeight w:val="239"/>
        </w:trPr>
        <w:tc>
          <w:tcPr>
            <w:tcW w:w="1960" w:type="dxa"/>
            <w:vAlign w:val="bottom"/>
            <w:gridSpan w:val="2"/>
          </w:tcPr>
          <w:p>
            <w:pPr>
              <w:spacing w:after="0"/>
              <w:rPr>
                <w:sz w:val="20"/>
                <w:szCs w:val="20"/>
                <w:color w:val="auto"/>
              </w:rPr>
            </w:pPr>
            <w:r>
              <w:rPr>
                <w:rFonts w:ascii="Arial" w:cs="Arial" w:eastAsia="Arial" w:hAnsi="Arial"/>
                <w:sz w:val="18"/>
                <w:szCs w:val="18"/>
                <w:color w:val="auto"/>
              </w:rPr>
              <w:t>Meetings in 2025: 3</w:t>
            </w:r>
          </w:p>
        </w:tc>
        <w:tc>
          <w:tcPr>
            <w:tcW w:w="7060" w:type="dxa"/>
            <w:vAlign w:val="bottom"/>
          </w:tcPr>
          <w:p>
            <w:pPr>
              <w:ind w:left="860"/>
              <w:spacing w:after="0"/>
              <w:rPr>
                <w:sz w:val="20"/>
                <w:szCs w:val="20"/>
                <w:color w:val="auto"/>
              </w:rPr>
            </w:pPr>
            <w:r>
              <w:rPr>
                <w:rFonts w:ascii="Arial" w:cs="Arial" w:eastAsia="Arial" w:hAnsi="Arial"/>
                <w:sz w:val="18"/>
                <w:szCs w:val="18"/>
                <w:color w:val="auto"/>
              </w:rPr>
              <w:t>guidelines, and shareholder engagement on governance matters</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800" w:right="1199" w:hanging="323"/>
        <w:spacing w:after="0" w:line="262" w:lineRule="auto"/>
        <w:tabs>
          <w:tab w:leader="none" w:pos="2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identifies and brings to the attention of the board, as appropriate, current and emerging environmental, social, political, and governance trends and public policy issues that may affect the business operations, performance, or reputation of the company</w:t>
      </w:r>
    </w:p>
    <w:p>
      <w:pPr>
        <w:spacing w:after="0" w:line="14" w:lineRule="exact"/>
        <w:rPr>
          <w:sz w:val="20"/>
          <w:szCs w:val="20"/>
          <w:color w:val="auto"/>
        </w:rPr>
      </w:pPr>
    </w:p>
    <w:p>
      <w:pPr>
        <w:ind w:left="2800" w:right="1599" w:hanging="323"/>
        <w:spacing w:after="0" w:line="287" w:lineRule="auto"/>
        <w:tabs>
          <w:tab w:leader="none" w:pos="2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8"/>
          <w:szCs w:val="18"/>
          <w:color w:val="auto"/>
        </w:rPr>
        <w:t>annually assesses the performance of the board, board committees and board processes, and reviews such findings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531495" cy="4718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D52B1E"/>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-104775</wp:posOffset>
            </wp:positionV>
            <wp:extent cx="27343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ectPr>
          <w:pgSz w:w="11900" w:h="16838" w:orient="portrait"/>
          <w:cols w:equalWidth="0" w:num="1">
            <w:col w:w="10119"/>
          </w:cols>
          <w:pgMar w:left="340" w:top="1331" w:right="1440"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40" w:hanging="153"/>
        <w:spacing w:after="0"/>
        <w:tabs>
          <w:tab w:leader="none" w:pos="240" w:val="left"/>
        </w:tabs>
        <w:numPr>
          <w:ilvl w:val="0"/>
          <w:numId w:val="98"/>
        </w:numPr>
        <w:rPr>
          <w:rFonts w:ascii="Arial" w:cs="Arial" w:eastAsia="Arial" w:hAnsi="Arial"/>
          <w:sz w:val="15"/>
          <w:szCs w:val="15"/>
          <w:color w:val="auto"/>
        </w:rPr>
      </w:pPr>
      <w:r>
        <w:rPr>
          <w:rFonts w:ascii="Arial" w:cs="Arial" w:eastAsia="Arial" w:hAnsi="Arial"/>
          <w:sz w:val="17"/>
          <w:szCs w:val="17"/>
          <w:color w:val="auto"/>
        </w:rPr>
        <w:t>Mr. Alvarez (Chair)</w:t>
      </w:r>
    </w:p>
    <w:p>
      <w:pPr>
        <w:spacing w:after="0" w:line="74" w:lineRule="exact"/>
        <w:rPr>
          <w:rFonts w:ascii="Arial" w:cs="Arial" w:eastAsia="Arial" w:hAnsi="Arial"/>
          <w:sz w:val="15"/>
          <w:szCs w:val="15"/>
          <w:color w:val="auto"/>
        </w:rPr>
      </w:pPr>
    </w:p>
    <w:p>
      <w:pPr>
        <w:ind w:left="240" w:hanging="153"/>
        <w:spacing w:after="0"/>
        <w:tabs>
          <w:tab w:leader="none" w:pos="2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Mr. Fyrwald</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Ms. Johnson</w:t>
      </w:r>
    </w:p>
    <w:p>
      <w:pPr>
        <w:spacing w:after="0" w:line="63" w:lineRule="exact"/>
        <w:rPr>
          <w:rFonts w:ascii="Arial" w:cs="Arial" w:eastAsia="Arial" w:hAnsi="Arial"/>
          <w:sz w:val="16"/>
          <w:szCs w:val="16"/>
          <w:color w:val="auto"/>
        </w:rPr>
      </w:pPr>
    </w:p>
    <w:p>
      <w:pPr>
        <w:ind w:left="240" w:hanging="153"/>
        <w:spacing w:after="0"/>
        <w:tabs>
          <w:tab w:leader="none" w:pos="240" w:val="left"/>
        </w:tabs>
        <w:numPr>
          <w:ilvl w:val="0"/>
          <w:numId w:val="98"/>
        </w:numPr>
        <w:rPr>
          <w:rFonts w:ascii="Arial" w:cs="Arial" w:eastAsia="Arial" w:hAnsi="Arial"/>
          <w:sz w:val="16"/>
          <w:szCs w:val="16"/>
          <w:color w:val="auto"/>
        </w:rPr>
      </w:pPr>
      <w:r>
        <w:rPr>
          <w:rFonts w:ascii="Arial" w:cs="Arial" w:eastAsia="Arial" w:hAnsi="Arial"/>
          <w:sz w:val="18"/>
          <w:szCs w:val="18"/>
          <w:color w:val="auto"/>
        </w:rPr>
        <w:t>Mr. Luciano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in 2025: 8</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60" w:right="1219" w:hanging="330"/>
        <w:spacing w:after="0" w:line="298" w:lineRule="auto"/>
        <w:tabs>
          <w:tab w:leader="none" w:pos="649" w:val="left"/>
        </w:tabs>
        <w:numPr>
          <w:ilvl w:val="0"/>
          <w:numId w:val="99"/>
        </w:numPr>
        <w:rPr>
          <w:rFonts w:ascii="Arial" w:cs="Arial" w:eastAsia="Arial" w:hAnsi="Arial"/>
          <w:sz w:val="15"/>
          <w:szCs w:val="15"/>
          <w:color w:val="auto"/>
        </w:rPr>
      </w:pPr>
      <w:r>
        <w:rPr>
          <w:rFonts w:ascii="Arial" w:cs="Arial" w:eastAsia="Arial" w:hAnsi="Arial"/>
          <w:sz w:val="17"/>
          <w:szCs w:val="17"/>
          <w:color w:val="auto"/>
        </w:rPr>
        <w:t>establishes the compensation of the CEO (in consultation with independent directors and external compensation consultant) and other executive officers</w:t>
      </w:r>
    </w:p>
    <w:p>
      <w:pPr>
        <w:ind w:left="660" w:right="1259" w:hanging="330"/>
        <w:spacing w:after="0" w:line="281" w:lineRule="auto"/>
        <w:tabs>
          <w:tab w:leader="none" w:pos="649" w:val="left"/>
        </w:tabs>
        <w:numPr>
          <w:ilvl w:val="0"/>
          <w:numId w:val="99"/>
        </w:numPr>
        <w:rPr>
          <w:rFonts w:ascii="Arial" w:cs="Arial" w:eastAsia="Arial" w:hAnsi="Arial"/>
          <w:sz w:val="16"/>
          <w:szCs w:val="16"/>
          <w:color w:val="auto"/>
        </w:rPr>
      </w:pPr>
      <w:r>
        <w:rPr>
          <w:rFonts w:ascii="Arial" w:cs="Arial" w:eastAsia="Arial" w:hAnsi="Arial"/>
          <w:sz w:val="18"/>
          <w:szCs w:val="18"/>
          <w:color w:val="auto"/>
        </w:rPr>
        <w:t>oversees global compensation philosophy, human capital management, and inclusion efforts</w:t>
      </w:r>
    </w:p>
    <w:p>
      <w:pPr>
        <w:spacing w:after="0" w:line="1" w:lineRule="exact"/>
        <w:rPr>
          <w:rFonts w:ascii="Arial" w:cs="Arial" w:eastAsia="Arial" w:hAnsi="Arial"/>
          <w:sz w:val="16"/>
          <w:szCs w:val="16"/>
          <w:color w:val="auto"/>
        </w:rPr>
      </w:pPr>
    </w:p>
    <w:p>
      <w:pPr>
        <w:ind w:left="640" w:hanging="310"/>
        <w:spacing w:after="0"/>
        <w:tabs>
          <w:tab w:leader="none" w:pos="640" w:val="left"/>
        </w:tabs>
        <w:numPr>
          <w:ilvl w:val="0"/>
          <w:numId w:val="99"/>
        </w:numPr>
        <w:rPr>
          <w:rFonts w:ascii="Arial" w:cs="Arial" w:eastAsia="Arial" w:hAnsi="Arial"/>
          <w:sz w:val="16"/>
          <w:szCs w:val="16"/>
          <w:color w:val="auto"/>
        </w:rPr>
      </w:pPr>
      <w:r>
        <w:rPr>
          <w:rFonts w:ascii="Arial" w:cs="Arial" w:eastAsia="Arial" w:hAnsi="Arial"/>
          <w:sz w:val="18"/>
          <w:szCs w:val="18"/>
          <w:color w:val="auto"/>
        </w:rPr>
        <w:t>has authority to appoint or replace the compensation consultant</w:t>
      </w:r>
    </w:p>
    <w:p>
      <w:pPr>
        <w:spacing w:after="0" w:line="63" w:lineRule="exact"/>
        <w:rPr>
          <w:rFonts w:ascii="Arial" w:cs="Arial" w:eastAsia="Arial" w:hAnsi="Arial"/>
          <w:sz w:val="16"/>
          <w:szCs w:val="16"/>
          <w:color w:val="auto"/>
        </w:rPr>
      </w:pPr>
    </w:p>
    <w:p>
      <w:pPr>
        <w:ind w:left="660" w:right="1119" w:hanging="330"/>
        <w:spacing w:after="0" w:line="268" w:lineRule="auto"/>
        <w:tabs>
          <w:tab w:leader="none" w:pos="649" w:val="left"/>
        </w:tabs>
        <w:numPr>
          <w:ilvl w:val="0"/>
          <w:numId w:val="99"/>
        </w:numPr>
        <w:rPr>
          <w:rFonts w:ascii="Arial" w:cs="Arial" w:eastAsia="Arial" w:hAnsi="Arial"/>
          <w:sz w:val="16"/>
          <w:szCs w:val="16"/>
          <w:color w:val="auto"/>
        </w:rPr>
      </w:pPr>
      <w:r>
        <w:rPr>
          <w:rFonts w:ascii="Arial" w:cs="Arial" w:eastAsia="Arial" w:hAnsi="Arial"/>
          <w:sz w:val="18"/>
          <w:szCs w:val="18"/>
          <w:color w:val="auto"/>
        </w:rPr>
        <w:t>acts as the oversight committee for the company’s deferred compensation plans, management stock plans, and other management incentive and benefit programs</w:t>
      </w:r>
    </w:p>
    <w:p>
      <w:pPr>
        <w:spacing w:after="0" w:line="8" w:lineRule="exact"/>
        <w:rPr>
          <w:rFonts w:ascii="Arial" w:cs="Arial" w:eastAsia="Arial" w:hAnsi="Arial"/>
          <w:sz w:val="16"/>
          <w:szCs w:val="16"/>
          <w:color w:val="auto"/>
        </w:rPr>
      </w:pPr>
    </w:p>
    <w:p>
      <w:pPr>
        <w:ind w:left="660" w:right="1719" w:hanging="330"/>
        <w:spacing w:after="0" w:line="298" w:lineRule="auto"/>
        <w:tabs>
          <w:tab w:leader="none" w:pos="649" w:val="left"/>
        </w:tabs>
        <w:numPr>
          <w:ilvl w:val="0"/>
          <w:numId w:val="99"/>
        </w:numPr>
        <w:rPr>
          <w:rFonts w:ascii="Arial" w:cs="Arial" w:eastAsia="Arial" w:hAnsi="Arial"/>
          <w:sz w:val="15"/>
          <w:szCs w:val="15"/>
          <w:color w:val="auto"/>
        </w:rPr>
      </w:pPr>
      <w:r>
        <w:rPr>
          <w:rFonts w:ascii="Arial" w:cs="Arial" w:eastAsia="Arial" w:hAnsi="Arial"/>
          <w:sz w:val="17"/>
          <w:szCs w:val="17"/>
          <w:color w:val="auto"/>
        </w:rPr>
        <w:t>reviews succession plans for the CEO and other key senior leadership positions, including a broad review of our succession management</w:t>
      </w:r>
    </w:p>
    <w:p>
      <w:pPr>
        <w:ind w:left="660" w:right="1179" w:hanging="330"/>
        <w:spacing w:after="0" w:line="281" w:lineRule="auto"/>
        <w:tabs>
          <w:tab w:leader="none" w:pos="649" w:val="left"/>
        </w:tabs>
        <w:numPr>
          <w:ilvl w:val="0"/>
          <w:numId w:val="99"/>
        </w:numPr>
        <w:rPr>
          <w:rFonts w:ascii="Arial" w:cs="Arial" w:eastAsia="Arial" w:hAnsi="Arial"/>
          <w:sz w:val="16"/>
          <w:szCs w:val="16"/>
          <w:color w:val="auto"/>
        </w:rPr>
      </w:pPr>
      <w:r>
        <w:rPr>
          <w:rFonts w:ascii="Arial" w:cs="Arial" w:eastAsia="Arial" w:hAnsi="Arial"/>
          <w:sz w:val="18"/>
          <w:szCs w:val="18"/>
          <w:color w:val="auto"/>
        </w:rPr>
        <w:t>advises management and the board regarding other employee compensation and benefits matters</w:t>
      </w:r>
    </w:p>
    <w:p>
      <w:pPr>
        <w:spacing w:after="0" w:line="1" w:lineRule="exact"/>
        <w:rPr>
          <w:rFonts w:ascii="Arial" w:cs="Arial" w:eastAsia="Arial" w:hAnsi="Arial"/>
          <w:sz w:val="16"/>
          <w:szCs w:val="16"/>
          <w:color w:val="auto"/>
        </w:rPr>
      </w:pPr>
    </w:p>
    <w:p>
      <w:pPr>
        <w:ind w:left="660" w:right="1459" w:hanging="330"/>
        <w:spacing w:after="0" w:line="281" w:lineRule="auto"/>
        <w:tabs>
          <w:tab w:leader="none" w:pos="649" w:val="left"/>
        </w:tabs>
        <w:numPr>
          <w:ilvl w:val="0"/>
          <w:numId w:val="99"/>
        </w:numPr>
        <w:rPr>
          <w:rFonts w:ascii="Arial" w:cs="Arial" w:eastAsia="Arial" w:hAnsi="Arial"/>
          <w:sz w:val="16"/>
          <w:szCs w:val="16"/>
          <w:color w:val="auto"/>
        </w:rPr>
      </w:pPr>
      <w:r>
        <w:rPr>
          <w:rFonts w:ascii="Arial" w:cs="Arial" w:eastAsia="Arial" w:hAnsi="Arial"/>
          <w:sz w:val="18"/>
          <w:szCs w:val="18"/>
          <w:color w:val="auto"/>
        </w:rPr>
        <w:t>reviews, monitors, and oversees stock ownership guidelines for executive officers</w:t>
      </w:r>
    </w:p>
    <w:p>
      <w:pPr>
        <w:spacing w:after="0" w:line="1" w:lineRule="exact"/>
        <w:rPr>
          <w:rFonts w:ascii="Arial" w:cs="Arial" w:eastAsia="Arial" w:hAnsi="Arial"/>
          <w:sz w:val="16"/>
          <w:szCs w:val="16"/>
          <w:color w:val="auto"/>
        </w:rPr>
      </w:pPr>
    </w:p>
    <w:p>
      <w:pPr>
        <w:ind w:left="640" w:hanging="310"/>
        <w:spacing w:after="0"/>
        <w:tabs>
          <w:tab w:leader="none" w:pos="640" w:val="left"/>
        </w:tabs>
        <w:numPr>
          <w:ilvl w:val="0"/>
          <w:numId w:val="99"/>
        </w:numPr>
        <w:rPr>
          <w:rFonts w:ascii="Arial" w:cs="Arial" w:eastAsia="Arial" w:hAnsi="Arial"/>
          <w:sz w:val="16"/>
          <w:szCs w:val="16"/>
          <w:color w:val="auto"/>
        </w:rPr>
      </w:pPr>
      <w:r>
        <w:rPr>
          <w:rFonts w:ascii="Arial" w:cs="Arial" w:eastAsia="Arial" w:hAnsi="Arial"/>
          <w:sz w:val="18"/>
          <w:szCs w:val="18"/>
          <w:color w:val="auto"/>
        </w:rPr>
        <w:t>oversees the company’s executive compensation recovery policy</w:t>
      </w:r>
    </w:p>
    <w:p>
      <w:pPr>
        <w:spacing w:after="0" w:line="63" w:lineRule="exact"/>
        <w:rPr>
          <w:rFonts w:ascii="Arial" w:cs="Arial" w:eastAsia="Arial" w:hAnsi="Arial"/>
          <w:sz w:val="16"/>
          <w:szCs w:val="16"/>
          <w:color w:val="auto"/>
        </w:rPr>
      </w:pPr>
    </w:p>
    <w:p>
      <w:pPr>
        <w:ind w:left="660" w:right="1239" w:hanging="330"/>
        <w:spacing w:after="0" w:line="268" w:lineRule="auto"/>
        <w:tabs>
          <w:tab w:leader="none" w:pos="649" w:val="left"/>
        </w:tabs>
        <w:numPr>
          <w:ilvl w:val="0"/>
          <w:numId w:val="99"/>
        </w:numPr>
        <w:rPr>
          <w:rFonts w:ascii="Arial" w:cs="Arial" w:eastAsia="Arial" w:hAnsi="Arial"/>
          <w:sz w:val="16"/>
          <w:szCs w:val="16"/>
          <w:color w:val="auto"/>
        </w:rPr>
      </w:pPr>
      <w:r>
        <w:rPr>
          <w:rFonts w:ascii="Arial" w:cs="Arial" w:eastAsia="Arial" w:hAnsi="Arial"/>
          <w:sz w:val="18"/>
          <w:szCs w:val="18"/>
          <w:color w:val="auto"/>
        </w:rPr>
        <w:t>oversees the company’s engagement with shareholders regarding executive compensation matters, including reviewing and evaluating the results of advisory votes on executive compensation</w:t>
      </w:r>
    </w:p>
    <w:p>
      <w:pPr>
        <w:spacing w:after="0" w:line="200" w:lineRule="exact"/>
        <w:rPr>
          <w:sz w:val="20"/>
          <w:szCs w:val="20"/>
          <w:color w:val="auto"/>
        </w:rPr>
      </w:pPr>
    </w:p>
    <w:p>
      <w:pPr>
        <w:sectPr>
          <w:pgSz w:w="11900" w:h="16838" w:orient="portrait"/>
          <w:cols w:equalWidth="0" w:num="2">
            <w:col w:w="1740" w:space="420"/>
            <w:col w:w="7959"/>
          </w:cols>
          <w:pgMar w:left="340" w:top="13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149225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331" w:right="1440" w:bottom="1440" w:gutter="0" w:footer="0" w:header="0"/>
          <w:type w:val="continuous"/>
        </w:sectPr>
      </w:pPr>
    </w:p>
    <w:bookmarkStart w:id="37" w:name="page38"/>
    <w:bookmarkEnd w:id="37"/>
    <w:p>
      <w:pPr>
        <w:ind w:left="1140"/>
        <w:spacing w:after="0"/>
        <w:rPr>
          <w:sz w:val="20"/>
          <w:szCs w:val="20"/>
          <w:color w:val="auto"/>
        </w:rPr>
      </w:pPr>
      <w:r>
        <w:rPr>
          <w:rFonts w:ascii="Arial" w:cs="Arial" w:eastAsia="Arial" w:hAnsi="Arial"/>
          <w:sz w:val="19"/>
          <w:szCs w:val="19"/>
          <w:b w:val="1"/>
          <w:bCs w:val="1"/>
          <w:color w:val="D52B1E"/>
        </w:rPr>
        <w:drawing>
          <wp:anchor simplePos="0" relativeHeight="251657728" behindDoc="1" locked="0" layoutInCell="0" allowOverlap="1">
            <wp:simplePos x="0" y="0"/>
            <wp:positionH relativeFrom="page">
              <wp:posOffset>208280</wp:posOffset>
            </wp:positionH>
            <wp:positionV relativeFrom="page">
              <wp:posOffset>654685</wp:posOffset>
            </wp:positionV>
            <wp:extent cx="531495" cy="4718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1495" cy="471805"/>
                    </a:xfrm>
                    <a:prstGeom prst="rect">
                      <a:avLst/>
                    </a:prstGeom>
                    <a:noFill/>
                  </pic:spPr>
                </pic:pic>
              </a:graphicData>
            </a:graphic>
          </wp:anchor>
        </w:drawing>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-97155</wp:posOffset>
            </wp:positionV>
            <wp:extent cx="28632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60" w:hanging="153"/>
        <w:spacing w:after="0"/>
        <w:tabs>
          <w:tab w:leader="none" w:pos="26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Dr. Baicker</w:t>
      </w:r>
    </w:p>
    <w:p>
      <w:pPr>
        <w:spacing w:after="0" w:line="63" w:lineRule="exact"/>
        <w:rPr>
          <w:rFonts w:ascii="Arial" w:cs="Arial" w:eastAsia="Arial" w:hAnsi="Arial"/>
          <w:sz w:val="16"/>
          <w:szCs w:val="16"/>
          <w:color w:val="auto"/>
        </w:rPr>
      </w:pPr>
    </w:p>
    <w:p>
      <w:pPr>
        <w:ind w:left="260" w:hanging="153"/>
        <w:spacing w:after="0"/>
        <w:tabs>
          <w:tab w:leader="none" w:pos="26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Dr. Bertozzi</w:t>
      </w:r>
    </w:p>
    <w:p>
      <w:pPr>
        <w:spacing w:after="0" w:line="63" w:lineRule="exact"/>
        <w:rPr>
          <w:rFonts w:ascii="Arial" w:cs="Arial" w:eastAsia="Arial" w:hAnsi="Arial"/>
          <w:sz w:val="16"/>
          <w:szCs w:val="16"/>
          <w:color w:val="auto"/>
        </w:rPr>
      </w:pPr>
    </w:p>
    <w:p>
      <w:pPr>
        <w:ind w:left="260" w:hanging="153"/>
        <w:spacing w:after="0"/>
        <w:tabs>
          <w:tab w:leader="none" w:pos="26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Mr. Fyrwald</w:t>
      </w:r>
    </w:p>
    <w:p>
      <w:pPr>
        <w:spacing w:after="0" w:line="63" w:lineRule="exact"/>
        <w:rPr>
          <w:rFonts w:ascii="Arial" w:cs="Arial" w:eastAsia="Arial" w:hAnsi="Arial"/>
          <w:sz w:val="16"/>
          <w:szCs w:val="16"/>
          <w:color w:val="auto"/>
        </w:rPr>
      </w:pPr>
    </w:p>
    <w:p>
      <w:pPr>
        <w:ind w:left="260" w:hanging="153"/>
        <w:spacing w:after="0"/>
        <w:tabs>
          <w:tab w:leader="none" w:pos="26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Dr. Hedley</w:t>
      </w:r>
    </w:p>
    <w:p>
      <w:pPr>
        <w:spacing w:after="0" w:line="63" w:lineRule="exact"/>
        <w:rPr>
          <w:rFonts w:ascii="Arial" w:cs="Arial" w:eastAsia="Arial" w:hAnsi="Arial"/>
          <w:sz w:val="16"/>
          <w:szCs w:val="16"/>
          <w:color w:val="auto"/>
        </w:rPr>
      </w:pPr>
    </w:p>
    <w:p>
      <w:pPr>
        <w:ind w:left="260" w:hanging="153"/>
        <w:spacing w:after="0"/>
        <w:tabs>
          <w:tab w:leader="none" w:pos="260" w:val="left"/>
        </w:tabs>
        <w:numPr>
          <w:ilvl w:val="0"/>
          <w:numId w:val="100"/>
        </w:numPr>
        <w:rPr>
          <w:rFonts w:ascii="Arial" w:cs="Arial" w:eastAsia="Arial" w:hAnsi="Arial"/>
          <w:sz w:val="15"/>
          <w:szCs w:val="15"/>
          <w:color w:val="auto"/>
        </w:rPr>
      </w:pPr>
      <w:r>
        <w:rPr>
          <w:rFonts w:ascii="Arial" w:cs="Arial" w:eastAsia="Arial" w:hAnsi="Arial"/>
          <w:sz w:val="17"/>
          <w:szCs w:val="17"/>
          <w:color w:val="auto"/>
        </w:rPr>
        <w:t>Dr. Kaelin (Chair)</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Meetings in 2025: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1132205</wp:posOffset>
            </wp:positionV>
            <wp:extent cx="531495" cy="4718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40" w:right="2340" w:hanging="324"/>
        <w:spacing w:after="0" w:line="268" w:lineRule="auto"/>
        <w:tabs>
          <w:tab w:leader="none" w:pos="62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reviews and advises the board regarding the company’s long-term strategic goals and objectives and the quality and direction of the company’s research and development programs</w:t>
      </w:r>
    </w:p>
    <w:p>
      <w:pPr>
        <w:spacing w:after="0" w:line="8" w:lineRule="exact"/>
        <w:rPr>
          <w:rFonts w:ascii="Arial" w:cs="Arial" w:eastAsia="Arial" w:hAnsi="Arial"/>
          <w:sz w:val="16"/>
          <w:szCs w:val="16"/>
          <w:color w:val="auto"/>
        </w:rPr>
      </w:pPr>
    </w:p>
    <w:p>
      <w:pPr>
        <w:ind w:left="640" w:right="2600" w:hanging="324"/>
        <w:spacing w:after="0" w:line="262" w:lineRule="auto"/>
        <w:tabs>
          <w:tab w:leader="none" w:pos="62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reviews and advises the board and management on the company’s major technology positions and strategies relative to emerging technologies, emerging concepts of therapy and health care, and changing market requirements</w:t>
      </w:r>
    </w:p>
    <w:p>
      <w:pPr>
        <w:spacing w:after="0" w:line="14" w:lineRule="exact"/>
        <w:rPr>
          <w:rFonts w:ascii="Arial" w:cs="Arial" w:eastAsia="Arial" w:hAnsi="Arial"/>
          <w:sz w:val="16"/>
          <w:szCs w:val="16"/>
          <w:color w:val="auto"/>
        </w:rPr>
      </w:pPr>
    </w:p>
    <w:p>
      <w:pPr>
        <w:ind w:left="640" w:right="2620" w:hanging="324"/>
        <w:spacing w:after="0" w:line="281" w:lineRule="auto"/>
        <w:tabs>
          <w:tab w:leader="none" w:pos="62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monitors and evaluates developments, technologies, and trends in pharmaceutical research and development (including those related to AI)</w:t>
      </w:r>
    </w:p>
    <w:p>
      <w:pPr>
        <w:spacing w:after="0" w:line="1" w:lineRule="exact"/>
        <w:rPr>
          <w:rFonts w:ascii="Arial" w:cs="Arial" w:eastAsia="Arial" w:hAnsi="Arial"/>
          <w:sz w:val="16"/>
          <w:szCs w:val="16"/>
          <w:color w:val="auto"/>
        </w:rPr>
      </w:pPr>
    </w:p>
    <w:p>
      <w:pPr>
        <w:ind w:left="640" w:right="2200" w:hanging="324"/>
        <w:spacing w:after="0" w:line="281" w:lineRule="auto"/>
        <w:tabs>
          <w:tab w:leader="none" w:pos="629" w:val="left"/>
        </w:tabs>
        <w:numPr>
          <w:ilvl w:val="0"/>
          <w:numId w:val="101"/>
        </w:numPr>
        <w:rPr>
          <w:rFonts w:ascii="Arial" w:cs="Arial" w:eastAsia="Arial" w:hAnsi="Arial"/>
          <w:sz w:val="16"/>
          <w:szCs w:val="16"/>
          <w:color w:val="auto"/>
        </w:rPr>
      </w:pPr>
      <w:r>
        <w:rPr>
          <w:rFonts w:ascii="Arial" w:cs="Arial" w:eastAsia="Arial" w:hAnsi="Arial"/>
          <w:sz w:val="18"/>
          <w:szCs w:val="18"/>
          <w:color w:val="auto"/>
        </w:rPr>
        <w:t>advises the board and management on scientific aspects of major acquisitions and business development transactions</w:t>
      </w:r>
    </w:p>
    <w:p>
      <w:pPr>
        <w:spacing w:after="0" w:line="1" w:lineRule="exact"/>
        <w:rPr>
          <w:rFonts w:ascii="Arial" w:cs="Arial" w:eastAsia="Arial" w:hAnsi="Arial"/>
          <w:sz w:val="16"/>
          <w:szCs w:val="16"/>
          <w:color w:val="auto"/>
        </w:rPr>
      </w:pPr>
    </w:p>
    <w:p>
      <w:pPr>
        <w:ind w:left="620" w:hanging="304"/>
        <w:spacing w:after="0"/>
        <w:tabs>
          <w:tab w:leader="none" w:pos="620" w:val="left"/>
        </w:tabs>
        <w:numPr>
          <w:ilvl w:val="0"/>
          <w:numId w:val="101"/>
        </w:numPr>
        <w:rPr>
          <w:rFonts w:ascii="Arial" w:cs="Arial" w:eastAsia="Arial" w:hAnsi="Arial"/>
          <w:sz w:val="16"/>
          <w:szCs w:val="16"/>
          <w:color w:val="auto"/>
        </w:rPr>
      </w:pPr>
      <w:r>
        <w:rPr>
          <w:rFonts w:ascii="Arial" w:cs="Arial" w:eastAsia="Arial" w:hAnsi="Arial"/>
          <w:sz w:val="18"/>
          <w:szCs w:val="18"/>
          <w:color w:val="auto"/>
        </w:rPr>
        <w:t>regularly reviews the company’s product pipeline</w:t>
      </w:r>
    </w:p>
    <w:p>
      <w:pPr>
        <w:spacing w:after="0" w:line="63" w:lineRule="exact"/>
        <w:rPr>
          <w:rFonts w:ascii="Arial" w:cs="Arial" w:eastAsia="Arial" w:hAnsi="Arial"/>
          <w:sz w:val="16"/>
          <w:szCs w:val="16"/>
          <w:color w:val="auto"/>
        </w:rPr>
      </w:pPr>
    </w:p>
    <w:p>
      <w:pPr>
        <w:ind w:left="640" w:right="2560" w:hanging="324"/>
        <w:spacing w:after="0" w:line="318" w:lineRule="auto"/>
        <w:tabs>
          <w:tab w:leader="none" w:pos="629" w:val="left"/>
        </w:tabs>
        <w:numPr>
          <w:ilvl w:val="0"/>
          <w:numId w:val="101"/>
        </w:numPr>
        <w:rPr>
          <w:rFonts w:ascii="Arial" w:cs="Arial" w:eastAsia="Arial" w:hAnsi="Arial"/>
          <w:sz w:val="15"/>
          <w:szCs w:val="15"/>
          <w:color w:val="auto"/>
        </w:rPr>
      </w:pPr>
      <w:r>
        <w:rPr>
          <w:rFonts w:ascii="Arial" w:cs="Arial" w:eastAsia="Arial" w:hAnsi="Arial"/>
          <w:sz w:val="17"/>
          <w:szCs w:val="17"/>
          <w:color w:val="auto"/>
        </w:rPr>
        <w:t>assists the board with its oversight responsibility for enterprise risk management in areas affecting the company’s research and development</w:t>
      </w:r>
    </w:p>
    <w:p>
      <w:pPr>
        <w:spacing w:after="0" w:line="200" w:lineRule="exact"/>
        <w:rPr>
          <w:sz w:val="20"/>
          <w:szCs w:val="20"/>
          <w:color w:val="auto"/>
        </w:rPr>
      </w:pPr>
    </w:p>
    <w:p>
      <w:pPr>
        <w:sectPr>
          <w:pgSz w:w="11900" w:h="16838" w:orient="portrait"/>
          <w:cols w:equalWidth="0" w:num="2">
            <w:col w:w="1640" w:space="540"/>
            <w:col w:w="9060"/>
          </w:cols>
          <w:pgMar w:left="320" w:top="1331" w:right="339" w:bottom="1440" w:gutter="0" w:footer="0" w:header="0"/>
          <w:type w:val="continuous"/>
        </w:sectPr>
      </w:pPr>
    </w:p>
    <w:p>
      <w:pPr>
        <w:spacing w:after="0" w:line="384" w:lineRule="exact"/>
        <w:rPr>
          <w:sz w:val="20"/>
          <w:szCs w:val="20"/>
          <w:color w:val="auto"/>
        </w:rPr>
      </w:pPr>
    </w:p>
    <w:p>
      <w:pPr>
        <w:ind w:left="1200"/>
        <w:spacing w:after="0"/>
        <w:rPr>
          <w:sz w:val="20"/>
          <w:szCs w:val="20"/>
          <w:color w:val="auto"/>
        </w:rPr>
      </w:pPr>
      <w:r>
        <w:rPr>
          <w:rFonts w:ascii="Arial" w:cs="Arial" w:eastAsia="Arial" w:hAnsi="Arial"/>
          <w:sz w:val="19"/>
          <w:szCs w:val="19"/>
          <w:b w:val="1"/>
          <w:bCs w:val="1"/>
          <w:color w:val="D52B1E"/>
        </w:rPr>
        <w:t>Ethics and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-97155</wp:posOffset>
            </wp:positionV>
            <wp:extent cx="28632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type w:val="continuous"/>
        </w:sect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Members</w:t>
      </w:r>
      <w:r>
        <w:rPr>
          <w:rFonts w:ascii="Arial" w:cs="Arial" w:eastAsia="Arial" w:hAnsi="Arial"/>
          <w:sz w:val="18"/>
          <w:szCs w:val="18"/>
          <w:color w:val="auto"/>
        </w:rPr>
        <w:t>:</w:t>
      </w:r>
    </w:p>
    <w:p>
      <w:pPr>
        <w:spacing w:after="0" w:line="225" w:lineRule="exact"/>
        <w:rPr>
          <w:sz w:val="20"/>
          <w:szCs w:val="20"/>
          <w:color w:val="auto"/>
        </w:rPr>
      </w:pPr>
    </w:p>
    <w:p>
      <w:pPr>
        <w:ind w:left="260" w:hanging="153"/>
        <w:spacing w:after="0"/>
        <w:tabs>
          <w:tab w:leader="none" w:pos="260" w:val="left"/>
        </w:tabs>
        <w:numPr>
          <w:ilvl w:val="0"/>
          <w:numId w:val="102"/>
        </w:numPr>
        <w:rPr>
          <w:rFonts w:ascii="Arial" w:cs="Arial" w:eastAsia="Arial" w:hAnsi="Arial"/>
          <w:sz w:val="15"/>
          <w:szCs w:val="15"/>
          <w:color w:val="auto"/>
        </w:rPr>
      </w:pPr>
      <w:r>
        <w:rPr>
          <w:rFonts w:ascii="Arial" w:cs="Arial" w:eastAsia="Arial" w:hAnsi="Arial"/>
          <w:sz w:val="17"/>
          <w:szCs w:val="17"/>
          <w:color w:val="auto"/>
        </w:rPr>
        <w:t>Dr. Baicker (Chair)</w:t>
      </w:r>
    </w:p>
    <w:p>
      <w:pPr>
        <w:spacing w:after="0" w:line="74" w:lineRule="exact"/>
        <w:rPr>
          <w:rFonts w:ascii="Arial" w:cs="Arial" w:eastAsia="Arial" w:hAnsi="Arial"/>
          <w:sz w:val="15"/>
          <w:szCs w:val="15"/>
          <w:color w:val="auto"/>
        </w:rPr>
      </w:pPr>
    </w:p>
    <w:p>
      <w:pPr>
        <w:ind w:left="260" w:hanging="153"/>
        <w:spacing w:after="0"/>
        <w:tabs>
          <w:tab w:leader="none" w:pos="26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Dr. Bertozzi</w:t>
      </w:r>
    </w:p>
    <w:p>
      <w:pPr>
        <w:spacing w:after="0" w:line="63" w:lineRule="exact"/>
        <w:rPr>
          <w:rFonts w:ascii="Arial" w:cs="Arial" w:eastAsia="Arial" w:hAnsi="Arial"/>
          <w:sz w:val="16"/>
          <w:szCs w:val="16"/>
          <w:color w:val="auto"/>
        </w:rPr>
      </w:pPr>
    </w:p>
    <w:p>
      <w:pPr>
        <w:ind w:left="260" w:hanging="153"/>
        <w:spacing w:after="0"/>
        <w:tabs>
          <w:tab w:leader="none" w:pos="26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Dr. Hedley</w:t>
      </w:r>
    </w:p>
    <w:p>
      <w:pPr>
        <w:spacing w:after="0" w:line="63" w:lineRule="exact"/>
        <w:rPr>
          <w:rFonts w:ascii="Arial" w:cs="Arial" w:eastAsia="Arial" w:hAnsi="Arial"/>
          <w:sz w:val="16"/>
          <w:szCs w:val="16"/>
          <w:color w:val="auto"/>
        </w:rPr>
      </w:pPr>
    </w:p>
    <w:p>
      <w:pPr>
        <w:ind w:left="260" w:hanging="153"/>
        <w:spacing w:after="0"/>
        <w:tabs>
          <w:tab w:leader="none" w:pos="26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Ms. Johnson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Meetings in 2025: 4</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 and areas of risk oversight:</w:t>
      </w:r>
    </w:p>
    <w:p>
      <w:pPr>
        <w:spacing w:after="0" w:line="63" w:lineRule="exact"/>
        <w:rPr>
          <w:sz w:val="20"/>
          <w:szCs w:val="20"/>
          <w:color w:val="auto"/>
        </w:rPr>
      </w:pPr>
    </w:p>
    <w:p>
      <w:pPr>
        <w:ind w:left="640" w:right="2180" w:hanging="324"/>
        <w:spacing w:after="0" w:line="262" w:lineRule="auto"/>
        <w:tabs>
          <w:tab w:leader="none" w:pos="629" w:val="left"/>
        </w:tabs>
        <w:numPr>
          <w:ilvl w:val="0"/>
          <w:numId w:val="103"/>
        </w:numPr>
        <w:rPr>
          <w:rFonts w:ascii="Arial" w:cs="Arial" w:eastAsia="Arial" w:hAnsi="Arial"/>
          <w:sz w:val="16"/>
          <w:szCs w:val="16"/>
          <w:color w:val="auto"/>
        </w:rPr>
      </w:pPr>
      <w:r>
        <w:rPr>
          <w:rFonts w:ascii="Arial" w:cs="Arial" w:eastAsia="Arial" w:hAnsi="Arial"/>
          <w:sz w:val="18"/>
          <w:szCs w:val="18"/>
          <w:color w:val="auto"/>
        </w:rPr>
        <w:t>reviews, identifies and, when appropriate, brings to the attention of the board legal and regulatory trends and issues, and compliance and quality matters that may have an impact on the business operations, financial performance, or reputation of the company</w:t>
      </w:r>
    </w:p>
    <w:p>
      <w:pPr>
        <w:spacing w:after="0" w:line="14" w:lineRule="exact"/>
        <w:rPr>
          <w:rFonts w:ascii="Arial" w:cs="Arial" w:eastAsia="Arial" w:hAnsi="Arial"/>
          <w:sz w:val="16"/>
          <w:szCs w:val="16"/>
          <w:color w:val="auto"/>
        </w:rPr>
      </w:pPr>
    </w:p>
    <w:p>
      <w:pPr>
        <w:ind w:left="640" w:right="2500" w:hanging="324"/>
        <w:spacing w:after="0" w:line="268" w:lineRule="auto"/>
        <w:tabs>
          <w:tab w:leader="none" w:pos="629" w:val="left"/>
        </w:tabs>
        <w:numPr>
          <w:ilvl w:val="0"/>
          <w:numId w:val="103"/>
        </w:numPr>
        <w:rPr>
          <w:rFonts w:ascii="Arial" w:cs="Arial" w:eastAsia="Arial" w:hAnsi="Arial"/>
          <w:sz w:val="16"/>
          <w:szCs w:val="16"/>
          <w:color w:val="auto"/>
        </w:rPr>
      </w:pPr>
      <w:r>
        <w:rPr>
          <w:rFonts w:ascii="Arial" w:cs="Arial" w:eastAsia="Arial" w:hAnsi="Arial"/>
          <w:sz w:val="18"/>
          <w:szCs w:val="18"/>
          <w:color w:val="auto"/>
        </w:rPr>
        <w:t>reviews, monitors, and makes recommendations to the board on corporate policies and practices related to compliance, including those related to employee health and safety</w:t>
      </w:r>
    </w:p>
    <w:p>
      <w:pPr>
        <w:spacing w:after="0" w:line="8" w:lineRule="exact"/>
        <w:rPr>
          <w:rFonts w:ascii="Arial" w:cs="Arial" w:eastAsia="Arial" w:hAnsi="Arial"/>
          <w:sz w:val="16"/>
          <w:szCs w:val="16"/>
          <w:color w:val="auto"/>
        </w:rPr>
      </w:pPr>
    </w:p>
    <w:p>
      <w:pPr>
        <w:jc w:val="both"/>
        <w:ind w:left="640" w:right="2420" w:hanging="324"/>
        <w:spacing w:after="0" w:line="268" w:lineRule="auto"/>
        <w:tabs>
          <w:tab w:leader="none" w:pos="629" w:val="left"/>
        </w:tabs>
        <w:numPr>
          <w:ilvl w:val="0"/>
          <w:numId w:val="103"/>
        </w:numPr>
        <w:rPr>
          <w:rFonts w:ascii="Arial" w:cs="Arial" w:eastAsia="Arial" w:hAnsi="Arial"/>
          <w:sz w:val="16"/>
          <w:szCs w:val="16"/>
          <w:color w:val="auto"/>
        </w:rPr>
      </w:pPr>
      <w:r>
        <w:rPr>
          <w:rFonts w:ascii="Arial" w:cs="Arial" w:eastAsia="Arial" w:hAnsi="Arial"/>
          <w:sz w:val="18"/>
          <w:szCs w:val="18"/>
          <w:color w:val="auto"/>
        </w:rPr>
        <w:t>together with the Audit Committee, assists the board in its oversight of legal and regulatory compliance and oversees the company’s compliance with its code of ethics</w:t>
      </w:r>
    </w:p>
    <w:p>
      <w:pPr>
        <w:spacing w:after="0" w:line="200" w:lineRule="exact"/>
        <w:rPr>
          <w:sz w:val="20"/>
          <w:szCs w:val="20"/>
          <w:color w:val="auto"/>
        </w:rPr>
      </w:pPr>
    </w:p>
    <w:p>
      <w:pPr>
        <w:sectPr>
          <w:pgSz w:w="11900" w:h="16838" w:orient="portrait"/>
          <w:cols w:equalWidth="0" w:num="2">
            <w:col w:w="1740" w:space="440"/>
            <w:col w:w="9060"/>
          </w:cols>
          <w:pgMar w:left="320" w:top="1331" w:right="33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Governance Practices</w:t>
      </w:r>
    </w:p>
    <w:p>
      <w:pPr>
        <w:spacing w:after="0" w:line="6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committed to good corporate governance, which promotes the long-term interests of shareholders and other company stakeholders, builds confidence in our leadership, and strengthens accountability by the board and management.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Oversight</w:t>
      </w:r>
    </w:p>
    <w:p>
      <w:pPr>
        <w:spacing w:after="0" w:line="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board exercises oversight over a broad range of areas. The board’s key responsibilities include the following (certain of which are carried out through the board’s committees):</w:t>
      </w:r>
    </w:p>
    <w:p>
      <w:pPr>
        <w:spacing w:after="0" w:line="117" w:lineRule="exact"/>
        <w:rPr>
          <w:sz w:val="20"/>
          <w:szCs w:val="20"/>
          <w:color w:val="auto"/>
        </w:rPr>
      </w:pPr>
    </w:p>
    <w:p>
      <w:pPr>
        <w:ind w:left="480" w:hanging="310"/>
        <w:spacing w:after="0"/>
        <w:tabs>
          <w:tab w:leader="none" w:pos="48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providing general oversight of the business;</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overseeing major management initiatives, corporate strategy, and capital allocation;</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selecting, compensating, evaluating, and, when necessary, replacing the CEO, and compensating other senior executives;</w:t>
      </w:r>
    </w:p>
    <w:p>
      <w:pPr>
        <w:spacing w:after="0" w:line="171" w:lineRule="exact"/>
        <w:rPr>
          <w:rFonts w:ascii="Arial" w:cs="Arial" w:eastAsia="Arial" w:hAnsi="Arial"/>
          <w:sz w:val="16"/>
          <w:szCs w:val="16"/>
          <w:color w:val="auto"/>
        </w:rPr>
      </w:pPr>
    </w:p>
    <w:p>
      <w:pPr>
        <w:ind w:left="500" w:right="40" w:hanging="330"/>
        <w:spacing w:after="0" w:line="287" w:lineRule="auto"/>
        <w:tabs>
          <w:tab w:leader="none" w:pos="489" w:val="left"/>
        </w:tabs>
        <w:numPr>
          <w:ilvl w:val="0"/>
          <w:numId w:val="104"/>
        </w:numPr>
        <w:rPr>
          <w:rFonts w:ascii="Arial" w:cs="Arial" w:eastAsia="Arial" w:hAnsi="Arial"/>
          <w:sz w:val="16"/>
          <w:szCs w:val="16"/>
          <w:color w:val="auto"/>
        </w:rPr>
      </w:pPr>
      <w:r>
        <w:rPr>
          <w:rFonts w:ascii="Arial" w:cs="Arial" w:eastAsia="Arial" w:hAnsi="Arial"/>
          <w:sz w:val="18"/>
          <w:szCs w:val="18"/>
          <w:color w:val="auto"/>
        </w:rPr>
        <w:t>ensuring that an effective succession plan is in place for all key senior leadership positions and reviewing the company’s broader talent management process, including human capital management strategies, overall corporate culture, and inclusion programs;</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04"/>
        </w:numPr>
        <w:rPr>
          <w:rFonts w:ascii="Arial" w:cs="Arial" w:eastAsia="Arial" w:hAnsi="Arial"/>
          <w:sz w:val="16"/>
          <w:szCs w:val="16"/>
          <w:color w:val="auto"/>
        </w:rPr>
      </w:pPr>
      <w:r>
        <w:rPr>
          <w:rFonts w:ascii="Arial" w:cs="Arial" w:eastAsia="Arial" w:hAnsi="Arial"/>
          <w:sz w:val="18"/>
          <w:szCs w:val="18"/>
          <w:color w:val="auto"/>
        </w:rPr>
        <w:t>overseeing the company’s ethics and compliance program and management of significant business risks;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type w:val="continuous"/>
        </w:sectPr>
      </w:pPr>
    </w:p>
    <w:bookmarkStart w:id="38" w:name="page39"/>
    <w:bookmarkEnd w:id="38"/>
    <w:p>
      <w:pPr>
        <w:ind w:left="480" w:hanging="310"/>
        <w:spacing w:after="0"/>
        <w:tabs>
          <w:tab w:leader="none" w:pos="480" w:val="left"/>
        </w:tabs>
        <w:numPr>
          <w:ilvl w:val="0"/>
          <w:numId w:val="105"/>
        </w:numPr>
        <w:rPr>
          <w:rFonts w:ascii="Arial" w:cs="Arial" w:eastAsia="Arial" w:hAnsi="Arial"/>
          <w:sz w:val="16"/>
          <w:szCs w:val="16"/>
          <w:color w:val="auto"/>
        </w:rPr>
      </w:pPr>
      <w:r>
        <w:rPr>
          <w:rFonts w:ascii="Arial" w:cs="Arial" w:eastAsia="Arial" w:hAnsi="Arial"/>
          <w:sz w:val="18"/>
          <w:szCs w:val="18"/>
          <w:color w:val="auto"/>
        </w:rPr>
        <w:t>selecting, compensating, and evaluating directors;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05"/>
        </w:numPr>
        <w:rPr>
          <w:rFonts w:ascii="Arial" w:cs="Arial" w:eastAsia="Arial" w:hAnsi="Arial"/>
          <w:sz w:val="16"/>
          <w:szCs w:val="16"/>
          <w:color w:val="auto"/>
        </w:rPr>
      </w:pPr>
      <w:r>
        <w:rPr>
          <w:rFonts w:ascii="Arial" w:cs="Arial" w:eastAsia="Arial" w:hAnsi="Arial"/>
          <w:sz w:val="18"/>
          <w:szCs w:val="18"/>
          <w:color w:val="auto"/>
        </w:rPr>
        <w:t>evaluating board processes and performance;</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05"/>
        </w:numPr>
        <w:rPr>
          <w:rFonts w:ascii="Arial" w:cs="Arial" w:eastAsia="Arial" w:hAnsi="Arial"/>
          <w:sz w:val="16"/>
          <w:szCs w:val="16"/>
          <w:color w:val="auto"/>
        </w:rPr>
      </w:pPr>
      <w:r>
        <w:rPr>
          <w:rFonts w:ascii="Arial" w:cs="Arial" w:eastAsia="Arial" w:hAnsi="Arial"/>
          <w:sz w:val="18"/>
          <w:szCs w:val="18"/>
          <w:color w:val="auto"/>
        </w:rPr>
        <w:t>overseeing the company’s enterprise level risks;</w:t>
      </w:r>
    </w:p>
    <w:p>
      <w:pPr>
        <w:spacing w:after="0" w:line="171" w:lineRule="exact"/>
        <w:rPr>
          <w:rFonts w:ascii="Arial" w:cs="Arial" w:eastAsia="Arial" w:hAnsi="Arial"/>
          <w:sz w:val="16"/>
          <w:szCs w:val="16"/>
          <w:color w:val="auto"/>
        </w:rPr>
      </w:pPr>
    </w:p>
    <w:p>
      <w:pPr>
        <w:ind w:left="500" w:right="140" w:hanging="330"/>
        <w:spacing w:after="0" w:line="287" w:lineRule="auto"/>
        <w:tabs>
          <w:tab w:leader="none" w:pos="489" w:val="left"/>
        </w:tabs>
        <w:numPr>
          <w:ilvl w:val="0"/>
          <w:numId w:val="105"/>
        </w:numPr>
        <w:rPr>
          <w:rFonts w:ascii="Arial" w:cs="Arial" w:eastAsia="Arial" w:hAnsi="Arial"/>
          <w:sz w:val="16"/>
          <w:szCs w:val="16"/>
          <w:color w:val="auto"/>
        </w:rPr>
      </w:pPr>
      <w:r>
        <w:rPr>
          <w:rFonts w:ascii="Arial" w:cs="Arial" w:eastAsia="Arial" w:hAnsi="Arial"/>
          <w:sz w:val="18"/>
          <w:szCs w:val="18"/>
          <w:color w:val="auto"/>
        </w:rPr>
        <w:t>overseeing the company’s approach to current and emerging environmental, social, political, and governance trends and public policy issues that may affect the business operations, performance or reputation of the company; and</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05"/>
        </w:numPr>
        <w:rPr>
          <w:rFonts w:ascii="Arial" w:cs="Arial" w:eastAsia="Arial" w:hAnsi="Arial"/>
          <w:sz w:val="16"/>
          <w:szCs w:val="16"/>
          <w:color w:val="auto"/>
        </w:rPr>
      </w:pPr>
      <w:r>
        <w:rPr>
          <w:rFonts w:ascii="Arial" w:cs="Arial" w:eastAsia="Arial" w:hAnsi="Arial"/>
          <w:sz w:val="18"/>
          <w:szCs w:val="18"/>
          <w:color w:val="auto"/>
        </w:rPr>
        <w:t>overseeing the company’s political expenditures and lobbying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79501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95010" cy="8890"/>
                    </a:xfrm>
                    <a:prstGeom prst="rect">
                      <a:avLst/>
                    </a:prstGeom>
                    <a:noFill/>
                  </pic:spPr>
                </pic:pic>
              </a:graphicData>
            </a:graphic>
          </wp:anchor>
        </w:drawing>
      </w:r>
    </w:p>
    <w:p>
      <w:pPr>
        <w:spacing w:after="0" w:line="290"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Key Areas of Oversight by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57950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539750" cy="4883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97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-53340</wp:posOffset>
            </wp:positionV>
            <wp:extent cx="44659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349" w:lineRule="exact"/>
        <w:rPr>
          <w:sz w:val="20"/>
          <w:szCs w:val="20"/>
          <w:color w:val="auto"/>
        </w:rPr>
      </w:pPr>
    </w:p>
    <w:p>
      <w:pPr>
        <w:ind w:right="40" w:firstLine="972"/>
        <w:spacing w:after="0" w:line="257" w:lineRule="auto"/>
        <w:rPr>
          <w:sz w:val="20"/>
          <w:szCs w:val="20"/>
          <w:color w:val="auto"/>
        </w:rPr>
      </w:pPr>
      <w:r>
        <w:rPr>
          <w:rFonts w:ascii="Arial" w:cs="Arial" w:eastAsia="Arial" w:hAnsi="Arial"/>
          <w:sz w:val="18"/>
          <w:szCs w:val="18"/>
          <w:color w:val="auto"/>
        </w:rPr>
        <w:t>The board takes an active role in overseeing the development and execution of the company’s business strategy. Each year, the board and executive management conduct an extended review and discussion of the company’s strategy, goals, external environment, and key risks. Board meetings include discussions of company performance relative to its strategy. The board also reviews strategic focus areas for the company, such as innovation (including AI), information security, cybersecurity, and human capital management. Decisions reached in this session are reevaluated throughout the year, including as the board discusses the company’s financial performance, the performance of our business units, and progress in the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31495" cy="4718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7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-53340</wp:posOffset>
            </wp:positionV>
            <wp:extent cx="42519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1960" cy="8890"/>
                    </a:xfrm>
                    <a:prstGeom prst="rect">
                      <a:avLst/>
                    </a:prstGeom>
                    <a:noFill/>
                  </pic:spPr>
                </pic:pic>
              </a:graphicData>
            </a:graphic>
          </wp:anchor>
        </w:drawing>
      </w:r>
    </w:p>
    <w:p>
      <w:pPr>
        <w:spacing w:after="0" w:line="349" w:lineRule="exact"/>
        <w:rPr>
          <w:sz w:val="20"/>
          <w:szCs w:val="20"/>
          <w:color w:val="auto"/>
        </w:rPr>
      </w:pPr>
    </w:p>
    <w:p>
      <w:pPr>
        <w:ind w:firstLine="972"/>
        <w:spacing w:after="0" w:line="259" w:lineRule="auto"/>
        <w:rPr>
          <w:sz w:val="20"/>
          <w:szCs w:val="20"/>
          <w:color w:val="auto"/>
        </w:rPr>
      </w:pPr>
      <w:r>
        <w:rPr>
          <w:rFonts w:ascii="Arial" w:cs="Arial" w:eastAsia="Arial" w:hAnsi="Arial"/>
          <w:sz w:val="18"/>
          <w:szCs w:val="18"/>
          <w:color w:val="auto"/>
        </w:rPr>
        <w:t>The board, together with its committees, oversees the processes by which the company conducts its business to ensure the company operates in a manner that complies with laws and regulations and reflects the highest standards of integrity. The Ethics and Compliance Committee meets at least four times per year, including periodic private sessions to discuss compliance with the company’s chief ethics and compliance officer, the general auditor, and the leader of global quality. The Ethics and Compliance Committee receives an update on compliance at each committee meeting. On an annual basis, the full board reviews the company’s overall state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531495" cy="4718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7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-53340</wp:posOffset>
            </wp:positionV>
            <wp:extent cx="39090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49" w:lineRule="exact"/>
        <w:rPr>
          <w:sz w:val="20"/>
          <w:szCs w:val="20"/>
          <w:color w:val="auto"/>
        </w:rPr>
      </w:pPr>
    </w:p>
    <w:p>
      <w:pPr>
        <w:ind w:right="100" w:firstLine="972"/>
        <w:spacing w:after="0" w:line="262" w:lineRule="auto"/>
        <w:rPr>
          <w:sz w:val="20"/>
          <w:szCs w:val="20"/>
          <w:color w:val="auto"/>
        </w:rPr>
      </w:pPr>
      <w:r>
        <w:rPr>
          <w:rFonts w:ascii="Arial" w:cs="Arial" w:eastAsia="Arial" w:hAnsi="Arial"/>
          <w:sz w:val="18"/>
          <w:szCs w:val="18"/>
          <w:color w:val="auto"/>
        </w:rPr>
        <w:t xml:space="preserve">Our board, as a whole, is responsible for broad oversight of all existing and emerging enterprise risk (over the short-, mid- and long-term) and of management’s development and execution of mitigation strategies designed to address those risks. In this capacity, the board has designated committees to assist in its oversight of particular key risks as described in </w:t>
      </w:r>
      <w:r>
        <w:rPr>
          <w:rFonts w:ascii="Arial" w:cs="Arial" w:eastAsia="Arial" w:hAnsi="Arial"/>
          <w:sz w:val="18"/>
          <w:szCs w:val="18"/>
          <w:u w:val="single" w:color="auto"/>
          <w:color w:val="0000FF"/>
        </w:rPr>
        <w:t>Board Structure—Committees of the Board</w:t>
      </w:r>
      <w:r>
        <w:rPr>
          <w:rFonts w:ascii="Arial" w:cs="Arial" w:eastAsia="Arial" w:hAnsi="Arial"/>
          <w:sz w:val="18"/>
          <w:szCs w:val="18"/>
          <w:color w:val="auto"/>
        </w:rPr>
        <w:t>. Oversight of additional matters of potential risk not delegated remain the responsibility of the full board.</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board and its committees oversee risk management, the company’s senior management is responsible for identifying, assessing, and mitigating risk on a day-to-day basis. Each committee of our board meets regularly with key management personnel and, as desired by the applicable committee, outside advisors (including outside counsel, consultants, and experts) to oversee risks associated with their respective principal areas of focus. In turn, each committee reports to the board regularly, fostering awareness and communication of significant matters among all directors, and promoting a coordinated and cohesive approach to enterprise risk oversight.</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approach to enterprise level risks is overseen by the Audit Committee. Enterprise level risks are identified and prioritized by management through both top-down and bottom-up processes. Management uses robust internal processes and controls to manage risk. The enterprise level risks are reviewed annually at a full board meeting, and relevant enterprise risks are also addressed in periodic business function reviews and at the annual board and senior management strategy session. Management frequently collaborates throughout the year to keep an open dialogue on emerging risks identified from a variety of internal and external sources.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left="1100"/>
        <w:spacing w:after="0"/>
        <w:rPr>
          <w:sz w:val="20"/>
          <w:szCs w:val="20"/>
          <w:color w:val="auto"/>
        </w:rPr>
      </w:pPr>
      <w:r>
        <w:rPr>
          <w:rFonts w:ascii="Arial" w:cs="Arial" w:eastAsia="Arial" w:hAnsi="Arial"/>
          <w:sz w:val="20"/>
          <w:szCs w:val="20"/>
          <w:b w:val="1"/>
          <w:bCs w:val="1"/>
          <w:color w:val="D52B1E"/>
        </w:rPr>
        <w:drawing>
          <wp:anchor simplePos="0" relativeHeight="251657728" behindDoc="1" locked="0" layoutInCell="0" allowOverlap="1">
            <wp:simplePos x="0" y="0"/>
            <wp:positionH relativeFrom="page">
              <wp:posOffset>208280</wp:posOffset>
            </wp:positionH>
            <wp:positionV relativeFrom="page">
              <wp:posOffset>517525</wp:posOffset>
            </wp:positionV>
            <wp:extent cx="531495" cy="4718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1495" cy="471805"/>
                    </a:xfrm>
                    <a:prstGeom prst="rect">
                      <a:avLst/>
                    </a:prstGeom>
                    <a:noFill/>
                  </pic:spPr>
                </pic:pic>
              </a:graphicData>
            </a:graphic>
          </wp:anchor>
        </w:drawing>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-53340</wp:posOffset>
            </wp:positionV>
            <wp:extent cx="42176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54" w:lineRule="exact"/>
        <w:rPr>
          <w:sz w:val="20"/>
          <w:szCs w:val="20"/>
          <w:color w:val="auto"/>
        </w:rPr>
      </w:pPr>
    </w:p>
    <w:p>
      <w:pPr>
        <w:ind w:right="240" w:firstLine="972"/>
        <w:spacing w:after="0" w:line="300" w:lineRule="auto"/>
        <w:rPr>
          <w:sz w:val="20"/>
          <w:szCs w:val="20"/>
          <w:color w:val="auto"/>
        </w:rPr>
      </w:pPr>
      <w:r>
        <w:rPr>
          <w:rFonts w:ascii="Arial" w:cs="Arial" w:eastAsia="Arial" w:hAnsi="Arial"/>
          <w:sz w:val="19"/>
          <w:szCs w:val="19"/>
          <w:b w:val="1"/>
          <w:bCs w:val="1"/>
          <w:color w:val="auto"/>
        </w:rPr>
        <w:t xml:space="preserve">Corporate Governance Guidelines </w:t>
      </w:r>
      <w:r>
        <w:rPr>
          <w:rFonts w:ascii="Arial" w:cs="Arial" w:eastAsia="Arial" w:hAnsi="Arial"/>
          <w:sz w:val="17"/>
          <w:szCs w:val="17"/>
          <w:color w:val="auto"/>
        </w:rPr>
        <w:t>- The board has adopted corporate governance guidelines that set forth the company’s</w:t>
      </w:r>
      <w:r>
        <w:rPr>
          <w:rFonts w:ascii="Arial" w:cs="Arial" w:eastAsia="Arial" w:hAnsi="Arial"/>
          <w:sz w:val="19"/>
          <w:szCs w:val="19"/>
          <w:b w:val="1"/>
          <w:bCs w:val="1"/>
          <w:color w:val="auto"/>
        </w:rPr>
        <w:t xml:space="preserve"> </w:t>
      </w:r>
      <w:r>
        <w:rPr>
          <w:rFonts w:ascii="Arial" w:cs="Arial" w:eastAsia="Arial" w:hAnsi="Arial"/>
          <w:sz w:val="17"/>
          <w:szCs w:val="17"/>
          <w:color w:val="auto"/>
        </w:rPr>
        <w:t xml:space="preserve">key principles of corporate governance and are available at </w:t>
      </w:r>
      <w:r>
        <w:rPr>
          <w:rFonts w:ascii="Arial" w:cs="Arial" w:eastAsia="Arial" w:hAnsi="Arial"/>
          <w:sz w:val="17"/>
          <w:szCs w:val="17"/>
          <w:color w:val="D52B1E"/>
        </w:rPr>
        <w:t>lilly.com/about/leadership/governance</w:t>
      </w:r>
      <w:r>
        <w:rPr>
          <w:rFonts w:ascii="Arial" w:cs="Arial" w:eastAsia="Arial" w:hAnsi="Arial"/>
          <w:sz w:val="17"/>
          <w:szCs w:val="17"/>
          <w:color w:val="auto"/>
        </w:rPr>
        <w:t>.</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9"/>
          <w:szCs w:val="19"/>
          <w:b w:val="1"/>
          <w:bCs w:val="1"/>
          <w:color w:val="auto"/>
        </w:rPr>
        <w:t xml:space="preserve">Code of Ethics </w:t>
      </w:r>
      <w:r>
        <w:rPr>
          <w:rFonts w:ascii="Arial" w:cs="Arial" w:eastAsia="Arial" w:hAnsi="Arial"/>
          <w:sz w:val="17"/>
          <w:szCs w:val="17"/>
          <w:color w:val="auto"/>
        </w:rPr>
        <w:t>- The board approves the documents that comprise the company’s code of business conduct and ethics. These written</w:t>
      </w:r>
      <w:r>
        <w:rPr>
          <w:rFonts w:ascii="Arial" w:cs="Arial" w:eastAsia="Arial" w:hAnsi="Arial"/>
          <w:sz w:val="19"/>
          <w:szCs w:val="19"/>
          <w:b w:val="1"/>
          <w:bCs w:val="1"/>
          <w:color w:val="auto"/>
        </w:rPr>
        <w:t xml:space="preserve"> </w:t>
      </w:r>
      <w:r>
        <w:rPr>
          <w:rFonts w:ascii="Arial" w:cs="Arial" w:eastAsia="Arial" w:hAnsi="Arial"/>
          <w:sz w:val="17"/>
          <w:szCs w:val="17"/>
          <w:color w:val="auto"/>
        </w:rPr>
        <w:t>standards include:</w:t>
      </w:r>
    </w:p>
    <w:p>
      <w:pPr>
        <w:spacing w:after="0" w:line="114" w:lineRule="exact"/>
        <w:rPr>
          <w:sz w:val="20"/>
          <w:szCs w:val="20"/>
          <w:color w:val="auto"/>
        </w:rPr>
      </w:pPr>
    </w:p>
    <w:p>
      <w:pPr>
        <w:ind w:left="500" w:right="300" w:hanging="242"/>
        <w:spacing w:after="0" w:line="287" w:lineRule="auto"/>
        <w:rPr>
          <w:sz w:val="20"/>
          <w:szCs w:val="20"/>
          <w:color w:val="auto"/>
        </w:rPr>
      </w:pPr>
      <w:r>
        <w:rPr>
          <w:rFonts w:ascii="Arial" w:cs="Arial" w:eastAsia="Arial" w:hAnsi="Arial"/>
          <w:sz w:val="18"/>
          <w:szCs w:val="18"/>
          <w:color w:val="00A1DE"/>
        </w:rPr>
        <w:t>The Red Book</w:t>
      </w:r>
      <w:r>
        <w:rPr>
          <w:rFonts w:ascii="Arial" w:cs="Arial" w:eastAsia="Arial" w:hAnsi="Arial"/>
          <w:sz w:val="18"/>
          <w:szCs w:val="18"/>
          <w:color w:val="000000"/>
        </w:rPr>
        <w:t>: A code of ethical and legal business conduct applicable to all employees worldwide and to our board. The Red Book is</w:t>
      </w:r>
      <w:r>
        <w:rPr>
          <w:rFonts w:ascii="Arial" w:cs="Arial" w:eastAsia="Arial" w:hAnsi="Arial"/>
          <w:sz w:val="18"/>
          <w:szCs w:val="18"/>
          <w:color w:val="00A1DE"/>
        </w:rPr>
        <w:t xml:space="preserve"> </w:t>
      </w:r>
      <w:r>
        <w:rPr>
          <w:rFonts w:ascii="Arial" w:cs="Arial" w:eastAsia="Arial" w:hAnsi="Arial"/>
          <w:sz w:val="18"/>
          <w:szCs w:val="18"/>
          <w:color w:val="000000"/>
        </w:rPr>
        <w:t xml:space="preserve">reviewed and approved by the board and is available at </w:t>
      </w:r>
      <w:r>
        <w:rPr>
          <w:rFonts w:ascii="Arial" w:cs="Arial" w:eastAsia="Arial" w:hAnsi="Arial"/>
          <w:sz w:val="18"/>
          <w:szCs w:val="18"/>
          <w:color w:val="D52B1E"/>
        </w:rPr>
        <w:t>lilly.com/about/impact/operating-ethically-and-responsibly</w:t>
      </w:r>
      <w:r>
        <w:rPr>
          <w:rFonts w:ascii="Arial" w:cs="Arial" w:eastAsia="Arial" w:hAnsi="Arial"/>
          <w:sz w:val="18"/>
          <w:szCs w:val="18"/>
          <w:color w:val="000000"/>
        </w:rPr>
        <w:t>.</w:t>
      </w:r>
    </w:p>
    <w:p>
      <w:pPr>
        <w:spacing w:after="0" w:line="99" w:lineRule="exact"/>
        <w:rPr>
          <w:sz w:val="20"/>
          <w:szCs w:val="20"/>
          <w:color w:val="auto"/>
        </w:rPr>
      </w:pPr>
    </w:p>
    <w:p>
      <w:pPr>
        <w:jc w:val="both"/>
        <w:ind w:left="500" w:right="80" w:hanging="242"/>
        <w:spacing w:after="0" w:line="268" w:lineRule="auto"/>
        <w:rPr>
          <w:sz w:val="20"/>
          <w:szCs w:val="20"/>
          <w:color w:val="auto"/>
        </w:rPr>
      </w:pPr>
      <w:r>
        <w:rPr>
          <w:rFonts w:ascii="Arial" w:cs="Arial" w:eastAsia="Arial" w:hAnsi="Arial"/>
          <w:sz w:val="18"/>
          <w:szCs w:val="18"/>
          <w:color w:val="00A1DE"/>
        </w:rPr>
        <w:t xml:space="preserve">Code of Ethical Conduct for Lilly Financial Management: </w:t>
      </w:r>
      <w:r>
        <w:rPr>
          <w:rFonts w:ascii="Arial" w:cs="Arial" w:eastAsia="Arial" w:hAnsi="Arial"/>
          <w:sz w:val="18"/>
          <w:szCs w:val="18"/>
          <w:color w:val="000000"/>
        </w:rPr>
        <w:t>A supplemental code for our CEO and all members of financial management in</w:t>
      </w:r>
      <w:r>
        <w:rPr>
          <w:rFonts w:ascii="Arial" w:cs="Arial" w:eastAsia="Arial" w:hAnsi="Arial"/>
          <w:sz w:val="18"/>
          <w:szCs w:val="18"/>
          <w:color w:val="00A1DE"/>
        </w:rPr>
        <w:t xml:space="preserve"> </w:t>
      </w:r>
      <w:r>
        <w:rPr>
          <w:rFonts w:ascii="Arial" w:cs="Arial" w:eastAsia="Arial" w:hAnsi="Arial"/>
          <w:sz w:val="18"/>
          <w:szCs w:val="18"/>
          <w:color w:val="000000"/>
        </w:rPr>
        <w:t xml:space="preserve">recognition of their unique responsibilities to ensure proper accounting, financial reporting, internal controls, and financial stewardship, is available at </w:t>
      </w:r>
      <w:r>
        <w:rPr>
          <w:rFonts w:ascii="Arial" w:cs="Arial" w:eastAsia="Arial" w:hAnsi="Arial"/>
          <w:sz w:val="18"/>
          <w:szCs w:val="18"/>
          <w:color w:val="D52B1E"/>
        </w:rPr>
        <w:t>lilly.com/about/impact/operating-ethically-and-responsibly/financial-management-ethical-conduct</w:t>
      </w:r>
      <w:r>
        <w:rPr>
          <w:rFonts w:ascii="Arial" w:cs="Arial" w:eastAsia="Arial" w:hAnsi="Arial"/>
          <w:sz w:val="18"/>
          <w:szCs w:val="18"/>
          <w:color w:val="000000"/>
        </w:rPr>
        <w:t>.</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event of any amendments to, or waivers of, a provision of the code affecting the CEO, chief financial officer, chief 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31495" cy="4718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6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-53340</wp:posOffset>
            </wp:positionV>
            <wp:extent cx="37287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35" w:lineRule="exact"/>
        <w:rPr>
          <w:sz w:val="20"/>
          <w:szCs w:val="20"/>
          <w:color w:val="auto"/>
        </w:rPr>
      </w:pPr>
    </w:p>
    <w:p>
      <w:pPr>
        <w:jc w:val="both"/>
        <w:ind w:right="300" w:firstLine="972"/>
        <w:spacing w:after="0" w:line="262" w:lineRule="auto"/>
        <w:rPr>
          <w:sz w:val="20"/>
          <w:szCs w:val="20"/>
          <w:color w:val="auto"/>
        </w:rPr>
      </w:pPr>
      <w:r>
        <w:rPr>
          <w:rFonts w:ascii="Arial" w:cs="Arial" w:eastAsia="Arial" w:hAnsi="Arial"/>
          <w:sz w:val="18"/>
          <w:szCs w:val="18"/>
          <w:b w:val="1"/>
          <w:bCs w:val="1"/>
          <w:color w:val="auto"/>
        </w:rPr>
        <w:t>Management Succession Planning</w:t>
      </w:r>
      <w:r>
        <w:rPr>
          <w:rFonts w:ascii="Arial" w:cs="Arial" w:eastAsia="Arial" w:hAnsi="Arial"/>
          <w:sz w:val="18"/>
          <w:szCs w:val="18"/>
          <w:color w:val="auto"/>
        </w:rPr>
        <w:t>. Our board recognizes the importance of identifying and developing executive talent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the continuity of effective executive leadership in place both now and in the future. At least annually, the Talent and Compensation Committee, full board, and CEO hold an in-depth review of the company’s succession plans for the CEO and other key senior leadership positions. The independent directors also meet without the CEO to discuss CEO succession planning.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During these reviews, the CEO and directors discuss:</w:t>
      </w:r>
    </w:p>
    <w:p>
      <w:pPr>
        <w:spacing w:after="0" w:line="63" w:lineRule="exact"/>
        <w:rPr>
          <w:sz w:val="20"/>
          <w:szCs w:val="20"/>
          <w:color w:val="auto"/>
        </w:rPr>
      </w:pPr>
    </w:p>
    <w:p>
      <w:pPr>
        <w:ind w:left="480" w:hanging="310"/>
        <w:spacing w:after="0"/>
        <w:tabs>
          <w:tab w:leader="none" w:pos="480" w:val="left"/>
        </w:tabs>
        <w:numPr>
          <w:ilvl w:val="0"/>
          <w:numId w:val="106"/>
        </w:numPr>
        <w:rPr>
          <w:rFonts w:ascii="Arial" w:cs="Arial" w:eastAsia="Arial" w:hAnsi="Arial"/>
          <w:sz w:val="16"/>
          <w:szCs w:val="16"/>
          <w:color w:val="auto"/>
        </w:rPr>
      </w:pPr>
      <w:r>
        <w:rPr>
          <w:rFonts w:ascii="Arial" w:cs="Arial" w:eastAsia="Arial" w:hAnsi="Arial"/>
          <w:sz w:val="18"/>
          <w:szCs w:val="18"/>
          <w:color w:val="auto"/>
        </w:rPr>
        <w:t>future candidates for the CEO and other senior leadership positions;</w:t>
      </w:r>
    </w:p>
    <w:p>
      <w:pPr>
        <w:spacing w:after="0" w:line="63" w:lineRule="exact"/>
        <w:rPr>
          <w:rFonts w:ascii="Arial" w:cs="Arial" w:eastAsia="Arial" w:hAnsi="Arial"/>
          <w:sz w:val="16"/>
          <w:szCs w:val="16"/>
          <w:color w:val="auto"/>
        </w:rPr>
      </w:pPr>
    </w:p>
    <w:p>
      <w:pPr>
        <w:ind w:left="480" w:hanging="310"/>
        <w:spacing w:after="0"/>
        <w:tabs>
          <w:tab w:leader="none" w:pos="480" w:val="left"/>
        </w:tabs>
        <w:numPr>
          <w:ilvl w:val="0"/>
          <w:numId w:val="106"/>
        </w:numPr>
        <w:rPr>
          <w:rFonts w:ascii="Arial" w:cs="Arial" w:eastAsia="Arial" w:hAnsi="Arial"/>
          <w:sz w:val="16"/>
          <w:szCs w:val="16"/>
          <w:color w:val="auto"/>
        </w:rPr>
      </w:pPr>
      <w:r>
        <w:rPr>
          <w:rFonts w:ascii="Arial" w:cs="Arial" w:eastAsia="Arial" w:hAnsi="Arial"/>
          <w:sz w:val="18"/>
          <w:szCs w:val="18"/>
          <w:color w:val="auto"/>
        </w:rPr>
        <w:t>succession timing; and</w:t>
      </w:r>
    </w:p>
    <w:p>
      <w:pPr>
        <w:spacing w:after="0" w:line="63" w:lineRule="exact"/>
        <w:rPr>
          <w:rFonts w:ascii="Arial" w:cs="Arial" w:eastAsia="Arial" w:hAnsi="Arial"/>
          <w:sz w:val="16"/>
          <w:szCs w:val="16"/>
          <w:color w:val="auto"/>
        </w:rPr>
      </w:pPr>
    </w:p>
    <w:p>
      <w:pPr>
        <w:ind w:left="500" w:right="300" w:hanging="330"/>
        <w:spacing w:after="0" w:line="287" w:lineRule="auto"/>
        <w:tabs>
          <w:tab w:leader="none" w:pos="489" w:val="left"/>
        </w:tabs>
        <w:numPr>
          <w:ilvl w:val="0"/>
          <w:numId w:val="106"/>
        </w:numPr>
        <w:rPr>
          <w:rFonts w:ascii="Arial" w:cs="Arial" w:eastAsia="Arial" w:hAnsi="Arial"/>
          <w:sz w:val="16"/>
          <w:szCs w:val="16"/>
          <w:color w:val="auto"/>
        </w:rPr>
      </w:pPr>
      <w:r>
        <w:rPr>
          <w:rFonts w:ascii="Arial" w:cs="Arial" w:eastAsia="Arial" w:hAnsi="Arial"/>
          <w:sz w:val="18"/>
          <w:szCs w:val="18"/>
          <w:color w:val="auto"/>
        </w:rPr>
        <w:t>development plans for potential candidates to cultivate the experiences, skills and capabilities needed to become our future leaders and prepare them for roles with greater responsibility.</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board considers a number of factors such as experience and skills in its review of the senior leadership team to assess which senior leaders possess or can develop the attributes that the board believes are necessary to lead and achieve the company’s goals. To further the board’s familiarity with senior leaders, the board has direct exposure to senior leaders and high-potential employees in both formal and informal settings during the year to allow them to most effectively assess the candidates’ qualifications and capabilities. This exposure takes many forms, including management presentations to the board or its committees, attendance at board meetings and our annual board strategy retreat, and periodic informal meetings and communications. Board members may also engage with potential external candidates as well.</w:t>
      </w:r>
    </w:p>
    <w:p>
      <w:pPr>
        <w:spacing w:after="0" w:line="12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i w:val="1"/>
          <w:iCs w:val="1"/>
          <w:color w:val="auto"/>
        </w:rPr>
        <w:t>Emergency Succession Plan</w:t>
      </w:r>
      <w:r>
        <w:rPr>
          <w:rFonts w:ascii="Arial" w:cs="Arial" w:eastAsia="Arial" w:hAnsi="Arial"/>
          <w:sz w:val="18"/>
          <w:szCs w:val="18"/>
          <w:color w:val="auto"/>
        </w:rPr>
        <w:t>. The independent directors and the CEO maintain a confidential plan for the timely and efficient transfer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CEO’s responsibilities in the event of an emergency or his sudden departure, incapacitation, or death.</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Director Succession Planning</w:t>
      </w:r>
      <w:r>
        <w:rPr>
          <w:rFonts w:ascii="Arial" w:cs="Arial" w:eastAsia="Arial" w:hAnsi="Arial"/>
          <w:sz w:val="18"/>
          <w:szCs w:val="18"/>
          <w:color w:val="auto"/>
        </w:rPr>
        <w:t>. Director succession planning is a priority for our Directors and Corporate Governance Committee. This</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with the lead independent director, guides the director succession planning process, makes nomination recommendations to the board and, with input from the full board, assesses the contributions of directors.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Directors and Corporate Governance Committee regularly reviews the skills, qualifications, tenures, and projected mandatory retirement dates of our directors. They also review the various board refreshment tools that the board has implemented (as more fully discussed on p.</w:t>
      </w:r>
    </w:p>
    <w:p>
      <w:pPr>
        <w:spacing w:after="0"/>
        <w:rPr>
          <w:sz w:val="20"/>
          <w:szCs w:val="20"/>
          <w:color w:val="auto"/>
        </w:rPr>
      </w:pPr>
      <w:r>
        <w:rPr>
          <w:rFonts w:ascii="Arial" w:cs="Arial" w:eastAsia="Arial" w:hAnsi="Arial"/>
          <w:sz w:val="18"/>
          <w:szCs w:val="18"/>
          <w:u w:val="single" w:color="auto"/>
          <w:color w:val="0000FF"/>
        </w:rPr>
        <w:t>9</w:t>
      </w:r>
      <w:r>
        <w:rPr>
          <w:rFonts w:ascii="Arial" w:cs="Arial" w:eastAsia="Arial" w:hAnsi="Arial"/>
          <w:sz w:val="18"/>
          <w:szCs w:val="18"/>
          <w:color w:val="000000"/>
        </w:rPr>
        <w:t>), including the Resignation Policy, Director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4" w:right="359" w:bottom="1440" w:gutter="0" w:footer="0" w:header="0"/>
        </w:sectPr>
      </w:pPr>
    </w:p>
    <w:bookmarkStart w:id="40" w:name="page41"/>
    <w:bookmarkEnd w:id="40"/>
    <w:p>
      <w:pPr>
        <w:ind w:right="600"/>
        <w:spacing w:after="0" w:line="287" w:lineRule="auto"/>
        <w:rPr>
          <w:sz w:val="20"/>
          <w:szCs w:val="20"/>
          <w:color w:val="auto"/>
        </w:rPr>
      </w:pPr>
      <w:r>
        <w:rPr>
          <w:rFonts w:ascii="Arial" w:cs="Arial" w:eastAsia="Arial" w:hAnsi="Arial"/>
          <w:sz w:val="18"/>
          <w:szCs w:val="18"/>
          <w:color w:val="auto"/>
        </w:rPr>
        <w:t>Retirement Policy, Other Board Service Policy, and annual assessment. The board fosters a board refreshment culture that values the importance of ongoing evaluation and the evolution of the board, as necessary, to best suit the company’s evolving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31495" cy="4718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4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-53340</wp:posOffset>
            </wp:positionV>
            <wp:extent cx="41230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349" w:lineRule="exact"/>
        <w:rPr>
          <w:sz w:val="20"/>
          <w:szCs w:val="20"/>
          <w:color w:val="auto"/>
        </w:rPr>
      </w:pPr>
    </w:p>
    <w:p>
      <w:pPr>
        <w:ind w:firstLine="972"/>
        <w:spacing w:after="0" w:line="256" w:lineRule="auto"/>
        <w:rPr>
          <w:sz w:val="20"/>
          <w:szCs w:val="20"/>
          <w:color w:val="auto"/>
        </w:rPr>
      </w:pPr>
      <w:r>
        <w:rPr>
          <w:rFonts w:ascii="Arial" w:cs="Arial" w:eastAsia="Arial" w:hAnsi="Arial"/>
          <w:sz w:val="18"/>
          <w:szCs w:val="18"/>
          <w:color w:val="auto"/>
        </w:rPr>
        <w:t>Our board of directors monitors cybersecurity risks and regularly participates in presentations on cybersecurity and information technology. The Audit Committee is responsible for oversight of our programs, policies, procedures, and risk management activities related to information security, cybersecurity and data protection. The Audit Committee meets regularly with the senior officers directly responsible for cybersecurity, digital information and data privacy to discuss threats, risks, and ongoing efforts to enhance cyber resiliency, as well as changes to the broader cybersecurity landscape. In addition, the Ethics and Compliance Committee supports the Audit Committee and board in oversight of legal and regulatory compliance. In addition to regular presentations, management promptly updates our board of directors regarding significant threats and incidents as they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31495" cy="4718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7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Artificial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-53340</wp:posOffset>
            </wp:positionV>
            <wp:extent cx="37630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335" w:lineRule="exact"/>
        <w:rPr>
          <w:sz w:val="20"/>
          <w:szCs w:val="20"/>
          <w:color w:val="auto"/>
        </w:rPr>
      </w:pPr>
    </w:p>
    <w:p>
      <w:pPr>
        <w:ind w:right="160" w:firstLine="972"/>
        <w:spacing w:after="0" w:line="268" w:lineRule="auto"/>
        <w:rPr>
          <w:sz w:val="20"/>
          <w:szCs w:val="20"/>
          <w:color w:val="auto"/>
        </w:rPr>
      </w:pPr>
      <w:r>
        <w:rPr>
          <w:rFonts w:ascii="Arial" w:cs="Arial" w:eastAsia="Arial" w:hAnsi="Arial"/>
          <w:sz w:val="18"/>
          <w:szCs w:val="18"/>
          <w:color w:val="auto"/>
        </w:rPr>
        <w:t>Our board maintains oversight of and receives regular updates from management on AI, including strategy, risks, development, governance, and ethical innovation approaches. As we deploy AI and other emerging technologies across our operations, our board continues to deepen its understanding of these transformative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31495" cy="4718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6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-53340</wp:posOffset>
            </wp:positionV>
            <wp:extent cx="41402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349" w:lineRule="exact"/>
        <w:rPr>
          <w:sz w:val="20"/>
          <w:szCs w:val="20"/>
          <w:color w:val="auto"/>
        </w:rPr>
      </w:pPr>
    </w:p>
    <w:p>
      <w:pPr>
        <w:ind w:right="60" w:firstLine="972"/>
        <w:spacing w:after="0" w:line="257" w:lineRule="auto"/>
        <w:rPr>
          <w:sz w:val="20"/>
          <w:szCs w:val="20"/>
          <w:color w:val="auto"/>
        </w:rPr>
      </w:pPr>
      <w:r>
        <w:rPr>
          <w:rFonts w:ascii="Arial" w:cs="Arial" w:eastAsia="Arial" w:hAnsi="Arial"/>
          <w:sz w:val="18"/>
          <w:szCs w:val="18"/>
          <w:color w:val="auto"/>
        </w:rPr>
        <w:t>Our approach to sustainability includes board oversight, management accountability, corporate policies and management systems, and stated positions on key topics. Our full board is engaged in strategic sustainability oversight, receives regular updates on these matters, reviews our long-term environmental goals, and significant strategic investments, including those related to our overall sustainability priorities. The Directors and Corporate Governance Committee is also responsible for identifying and bringing to the attention of the board, as appropriate, current and emerging environmental, social, political, and governance trends and public policy issues that may affect our business operations, performance, or reputation.</w:t>
      </w:r>
    </w:p>
    <w:p>
      <w:pPr>
        <w:spacing w:after="0" w:line="1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we have an executive sustainability committee that monitors sustainability strategy, priorities, performance, and disclosure, while a sustainability operations committee that includes senior leaders across many of our business functions provides operational oversight of sustainability initiatives.</w:t>
      </w:r>
    </w:p>
    <w:p>
      <w:pPr>
        <w:spacing w:after="0" w:line="11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Our approach to sustainability efforts incorporates internal and external input to better determine the issues that matter most to our company and stakeholders. We set ambitious, measurable goals that are integrated into our business strategy and operations to directly support Lilly’s purpose.</w:t>
      </w:r>
    </w:p>
    <w:p>
      <w:pPr>
        <w:spacing w:after="0" w:line="117" w:lineRule="exact"/>
        <w:rPr>
          <w:sz w:val="20"/>
          <w:szCs w:val="20"/>
          <w:color w:val="auto"/>
        </w:rPr>
      </w:pPr>
    </w:p>
    <w:p>
      <w:pPr>
        <w:jc w:val="both"/>
        <w:ind w:right="100"/>
        <w:spacing w:after="0" w:line="318" w:lineRule="auto"/>
        <w:rPr>
          <w:sz w:val="20"/>
          <w:szCs w:val="20"/>
          <w:color w:val="auto"/>
        </w:rPr>
      </w:pPr>
      <w:r>
        <w:rPr>
          <w:rFonts w:ascii="Arial" w:cs="Arial" w:eastAsia="Arial" w:hAnsi="Arial"/>
          <w:sz w:val="17"/>
          <w:szCs w:val="17"/>
          <w:color w:val="auto"/>
        </w:rPr>
        <w:t>We are striving to improve access to medicines, improve healthcare for people with limited resources, strengthen communities, and address social issues that impact health, empower an inclusive workforce, minimize our environmental impact, and operate ethically and responsibly.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Sustainability Report provides a central location for information about goals, efforts, and progress on these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31495" cy="5918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1495" cy="5918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Political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-53340</wp:posOffset>
            </wp:positionV>
            <wp:extent cx="39001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60" w:firstLine="972"/>
        <w:spacing w:after="0" w:line="262" w:lineRule="auto"/>
        <w:rPr>
          <w:sz w:val="20"/>
          <w:szCs w:val="20"/>
          <w:color w:val="auto"/>
        </w:rPr>
      </w:pPr>
      <w:r>
        <w:rPr>
          <w:rFonts w:ascii="Arial" w:cs="Arial" w:eastAsia="Arial" w:hAnsi="Arial"/>
          <w:sz w:val="18"/>
          <w:szCs w:val="18"/>
          <w:color w:val="auto"/>
        </w:rPr>
        <w:t>We believe that as a biopharmaceutical company that develops treatments for serious diseases, we are in a position to help promote access to needed medications through engagement with policymakers. Public policy engagement provides a way to offer Lilly’s perspective on the political environment in a manner that supports access to innovative medicines and a way to engage on issues specific to local business environments.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line="256" w:lineRule="auto"/>
        <w:rPr>
          <w:sz w:val="20"/>
          <w:szCs w:val="20"/>
          <w:color w:val="auto"/>
        </w:rPr>
      </w:pPr>
      <w:r>
        <w:rPr>
          <w:rFonts w:ascii="Arial" w:cs="Arial" w:eastAsia="Arial" w:hAnsi="Arial"/>
          <w:sz w:val="18"/>
          <w:szCs w:val="18"/>
          <w:color w:val="auto"/>
        </w:rPr>
        <w:t>Our board exercises governance oversight of our political expenditures and lobbying activities, ensuring our commitment to stewardship of corporate funds and risk minimization with respect to such activities. The Directors and Corporate Governance Committee is responsible for identifying current and emerging environmental, social, political, and governance trends and public policy issues that may affect the business operations, performance, or reputation of the company. In addition, the board receives regular updates at board meetings from management, which include updates on public policy issues and the company’s political corporate activity, as needed. The board also receives semi-annual updates on political engagement, including information on the contributions made by our employee political action committee (LillyPAC) and the company, as well as trade association memberships.</w:t>
      </w:r>
    </w:p>
    <w:p>
      <w:pPr>
        <w:spacing w:after="0" w:line="12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provide information on our website related to direct company contributions and LillyPAC contributions to support candidates for political office, political parties, officials, or committees in the United States, as well as information regarding our trade association memberships and the company’s oversight of these activities. In response to input from our stakeholders, over time we have reviewed and enhanced the information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31495" cy="4718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1495" cy="471805"/>
                    </a:xfrm>
                    <a:prstGeom prst="rect">
                      <a:avLst/>
                    </a:prstGeom>
                    <a:noFill/>
                  </pic:spPr>
                </pic:pic>
              </a:graphicData>
            </a:graphic>
          </wp:anchor>
        </w:drawing>
      </w:r>
    </w:p>
    <w:p>
      <w:pPr>
        <w:spacing w:after="0" w:line="36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D52B1E"/>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-53340</wp:posOffset>
            </wp:positionV>
            <wp:extent cx="33000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49"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board exercises active oversight of our overall human capital strategy, including our talent management process, corporate culture, and inclusion efforts. The board also oversees the work of its committees in developing corporate policies and frameworks designed to attract, retain, engage, and develop a workforce that aligns with our values and mission. The Talent and Compensation Committee advises the board and management on oversight of human capital management, inclusion efforts, and employee compensation and benefits matters, and annually reviews our leadership development and succession planning practices.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also oversees human capital management by regularly engaging with management and facilitating a system of reporting that highlights the importance of inclusion to Lilly. Our board also oversees the activities of our CEO and executive committee in setting expectations for inclusivity in our workforce. Our Chief People Officer has responsibility for all aspects of talent management in the company, which enables building a strong and inclusive culture. Our executive team and board are active in our talent management strategy, fostering a supportive and rewarding workplace.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F3A85"/>
        </w:rPr>
        <w:t>Talent Management Approach</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comprehensive approach to human capital management is grounded in our core values of integrity, excellence, and respect for people, which reflect our commitment to creating a safe, supportive, ethical, and rewarding work environment. We are committed to fairness and nondiscrimination in our employment practices, and we deeply value diverse backgrounds, skills, and global perspectives. To fulfill our purpose, we believe we must look at challenges from multiple viewpoints and understand the varied experiences of the patients who depend on us. In short, we believe that an inclusive culture makes us better. It helps us attract and retain the best people and strengthens our understanding of the patients we serve while fostering a great workplace. At all times, we seek to hire the most qualified candidate for each open position.</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Empowering a global culture of inclusion and belonging also encompasses building a disability-confident workplace that promotes barrier-free experiences and empowers productivity for all employees and customers. Our initiative to increase inclusion for employees with disabilities is grounded in three key pillars: physical accessibility, digital accessibility and attitudinal awareness – covering multiple categories, including learning and development, facilities, and information systems. Accessibility and inclusion are embedded in our strategy.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F3A85"/>
        </w:rPr>
        <w:t>Employee Development</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Recruiting</w:t>
      </w:r>
      <w:r>
        <w:rPr>
          <w:rFonts w:ascii="Arial" w:cs="Arial" w:eastAsia="Arial" w:hAnsi="Arial"/>
          <w:sz w:val="18"/>
          <w:szCs w:val="18"/>
          <w:color w:val="auto"/>
        </w:rPr>
        <w:t>: We believe attracting and retaining the best talent begins with an inclusive recruiting process. Our recruitment strategy focuses</w:t>
      </w:r>
      <w:r>
        <w:rPr>
          <w:rFonts w:ascii="Arial" w:cs="Arial" w:eastAsia="Arial" w:hAnsi="Arial"/>
          <w:sz w:val="18"/>
          <w:szCs w:val="18"/>
          <w:b w:val="1"/>
          <w:bCs w:val="1"/>
          <w:color w:val="auto"/>
        </w:rPr>
        <w:t xml:space="preserve"> </w:t>
      </w:r>
      <w:r>
        <w:rPr>
          <w:rFonts w:ascii="Arial" w:cs="Arial" w:eastAsia="Arial" w:hAnsi="Arial"/>
          <w:sz w:val="18"/>
          <w:szCs w:val="18"/>
          <w:color w:val="auto"/>
        </w:rPr>
        <w:t>on opportunities to reach more qualified candidates across a variety of experiences and backgrounds. We believe that recruiting in this way helps ensure that everyone will have an equal opportunity to be considered for employment at Lilly. Lilly makes hiring decisions in accordance with applicable anti-discrimination laws and regardless of a candidate’s race, gender, or other protected characteristics.</w:t>
      </w:r>
    </w:p>
    <w:p>
      <w:pPr>
        <w:spacing w:after="0" w:line="12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Onboarding and Continuing Education</w:t>
      </w:r>
      <w:r>
        <w:rPr>
          <w:rFonts w:ascii="Arial" w:cs="Arial" w:eastAsia="Arial" w:hAnsi="Arial"/>
          <w:sz w:val="18"/>
          <w:szCs w:val="18"/>
          <w:color w:val="auto"/>
        </w:rPr>
        <w:t>: Beginning with our 6-month new employee onboarding program, we offer training to enable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perform their duties in our highly regulated industry. We also strive to cultivate a culture that promotes ongoing learning by encouraging employees to seek further education and growth experiences, helping them build rewarding careers. We have online programming to facilitate access to</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2" w:name="page43"/>
    <w:bookmarkEnd w:id="42"/>
    <w:p>
      <w:pPr>
        <w:ind w:right="300"/>
        <w:spacing w:after="0" w:line="262" w:lineRule="auto"/>
        <w:rPr>
          <w:sz w:val="20"/>
          <w:szCs w:val="20"/>
          <w:color w:val="auto"/>
        </w:rPr>
      </w:pPr>
      <w:r>
        <w:rPr>
          <w:rFonts w:ascii="Arial" w:cs="Arial" w:eastAsia="Arial" w:hAnsi="Arial"/>
          <w:sz w:val="18"/>
          <w:szCs w:val="18"/>
          <w:color w:val="auto"/>
        </w:rPr>
        <w:t>our learning and development offerings in addition to our in-person programs. Across Lilly, we are continuously working to design learning experiences to be more inclusive and effective. In addition, we have broadened access to development tools, mentorships and coaching resources, implemented an 18-month curriculum for new leaders focused on developing five essential skills, and increased transparency regarding career development and advancement at Lilly.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F3A85"/>
        </w:rPr>
        <w:t>Compensation, Benefits, and Pay Equity</w:t>
      </w:r>
    </w:p>
    <w:p>
      <w:pPr>
        <w:spacing w:after="0" w:line="1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While our rewards programs vary around the world, we take a holistic approach to employee benefits. These may include flexible work arrangements, on-site conveniences, such as cafes, fitness centers, and child development centers, competitive time-off programs, retirement benefits, and health and disability programs that are available to eligible employees when they need support.</w:t>
      </w:r>
    </w:p>
    <w:p>
      <w:pPr>
        <w:sectPr>
          <w:pgSz w:w="11900" w:h="16838" w:orient="portrait"/>
          <w:cols w:equalWidth="0" w:num="1">
            <w:col w:w="11240"/>
          </w:cols>
          <w:pgMar w:left="320" w:top="769" w:right="339" w:bottom="1440" w:gutter="0" w:footer="0" w:header="0"/>
        </w:sectPr>
      </w:pPr>
    </w:p>
    <w:p>
      <w:pPr>
        <w:spacing w:after="0" w:line="171" w:lineRule="exact"/>
        <w:rPr>
          <w:sz w:val="20"/>
          <w:szCs w:val="20"/>
          <w:color w:val="auto"/>
        </w:rPr>
      </w:pPr>
    </w:p>
    <w:p>
      <w:pPr>
        <w:ind w:left="20"/>
        <w:spacing w:after="0" w:line="262" w:lineRule="auto"/>
        <w:rPr>
          <w:sz w:val="20"/>
          <w:szCs w:val="20"/>
          <w:color w:val="auto"/>
        </w:rPr>
      </w:pPr>
      <w:r>
        <w:rPr>
          <w:rFonts w:ascii="Arial" w:cs="Arial" w:eastAsia="Arial" w:hAnsi="Arial"/>
          <w:sz w:val="18"/>
          <w:szCs w:val="18"/>
          <w:color w:val="auto"/>
        </w:rPr>
        <w:t>We are committed to ensuring pay is administered equitably across our workforce. For more than 20 years, we have regularly conducted pay equity studies of our workforce in the United States and have more recently started conducting studies of our workforce outside of the United States. Where appropriate, we have made pay adjustments as warranted and expect to continue to do so moving forward.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F3A85"/>
        </w:rPr>
        <w:t>Employee Health and Safety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780"/>
        <w:spacing w:after="0"/>
        <w:rPr>
          <w:sz w:val="20"/>
          <w:szCs w:val="20"/>
          <w:color w:val="auto"/>
        </w:rPr>
      </w:pPr>
      <w:r>
        <w:rPr>
          <w:rFonts w:ascii="Arial" w:cs="Arial" w:eastAsia="Arial" w:hAnsi="Arial"/>
          <w:sz w:val="32"/>
          <w:szCs w:val="32"/>
          <w:color w:val="D52B1E"/>
        </w:rPr>
        <w:t>20+</w:t>
      </w:r>
    </w:p>
    <w:p>
      <w:pPr>
        <w:spacing w:after="0" w:line="6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Years</w:t>
      </w:r>
    </w:p>
    <w:p>
      <w:pPr>
        <w:spacing w:after="0" w:line="45" w:lineRule="exact"/>
        <w:rPr>
          <w:sz w:val="20"/>
          <w:szCs w:val="20"/>
          <w:color w:val="auto"/>
        </w:rPr>
      </w:pPr>
    </w:p>
    <w:p>
      <w:pPr>
        <w:jc w:val="center"/>
        <w:ind w:right="60"/>
        <w:spacing w:after="0" w:line="266" w:lineRule="auto"/>
        <w:rPr>
          <w:sz w:val="20"/>
          <w:szCs w:val="20"/>
          <w:color w:val="auto"/>
        </w:rPr>
      </w:pPr>
      <w:r>
        <w:rPr>
          <w:rFonts w:ascii="Arial" w:cs="Arial" w:eastAsia="Arial" w:hAnsi="Arial"/>
          <w:sz w:val="18"/>
          <w:szCs w:val="18"/>
          <w:color w:val="auto"/>
        </w:rPr>
        <w:t>of pay equity studies in the U.S.</w:t>
      </w:r>
    </w:p>
    <w:p>
      <w:pPr>
        <w:spacing w:after="0" w:line="616" w:lineRule="exact"/>
        <w:rPr>
          <w:sz w:val="20"/>
          <w:szCs w:val="20"/>
          <w:color w:val="auto"/>
        </w:rPr>
      </w:pPr>
    </w:p>
    <w:p>
      <w:pPr>
        <w:sectPr>
          <w:pgSz w:w="11900" w:h="16838" w:orient="portrait"/>
          <w:cols w:equalWidth="0" w:num="2">
            <w:col w:w="8820" w:space="240"/>
            <w:col w:w="2180"/>
          </w:cols>
          <w:pgMar w:left="320" w:top="769" w:right="339" w:bottom="1440" w:gutter="0" w:footer="0" w:header="0"/>
          <w:type w:val="continuous"/>
        </w:sectPr>
      </w:pPr>
    </w:p>
    <w:p>
      <w:pPr>
        <w:ind w:right="40"/>
        <w:spacing w:after="0" w:line="282" w:lineRule="auto"/>
        <w:rPr>
          <w:sz w:val="20"/>
          <w:szCs w:val="20"/>
          <w:color w:val="auto"/>
        </w:rPr>
      </w:pPr>
      <w:r>
        <w:rPr>
          <w:rFonts w:ascii="Arial" w:cs="Arial" w:eastAsia="Arial" w:hAnsi="Arial"/>
          <w:sz w:val="17"/>
          <w:szCs w:val="17"/>
          <w:color w:val="auto"/>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We believe a holistic approach and dedication to safety helps us be our best as we deliver on our company purpose to improve lives around the world.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Sustainability Report provides additional information about our talent management efforts.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Board Alignment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Conflicts of Interest and Transactions with Related Persons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Conflicts of Interest</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w:t>
      </w:r>
    </w:p>
    <w:p>
      <w:pPr>
        <w:spacing w:after="0" w:line="1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conflict of interest form for this purpose when possible. Each director must disclose his or her service on the board to his or her employer and any other organization with which the director has a relationship of trust and where the relationship with Lilly is relevant. In addition, directors must follow the internal conflict of interest policies and procedures of each such organization.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Review and Approval of Transactions with Related Persons</w:t>
      </w:r>
    </w:p>
    <w:p>
      <w:pPr>
        <w:spacing w:after="0" w:line="5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 board has adopted a written policy and procedures for review, approval, and monitoring of transactions involving the company and related persons (including current executive officers, directors, or director nominees and persons who served in those roles at any time since the beginning of our last fiscal year, greater than five percent shareholders of the company, and immediate family members of such persons). The policy covers any related person transaction that meets the minimum threshold for disclosure in this proxy statement under relevant SEC rules (generally, transactions involving amounts exceeding $120,000 in which a related person has a direct or indirect material interest).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0F3A85"/>
        </w:rPr>
        <w:t>Policy:</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Related person transactions must be preapproved by the Directors and Corporate Governance Committee of the board or another independent body of the board, who will approve the transaction only if the Directors and Corporate Governance Committee or such independent body determines it to be consistent with the interests of the company and its shareholders. In considering the transaction, the Directors and Corporate Governance Committee or such independent body will consider all relevant factors, including:</w:t>
      </w:r>
    </w:p>
    <w:p>
      <w:pPr>
        <w:spacing w:after="0" w:line="122" w:lineRule="exact"/>
        <w:rPr>
          <w:sz w:val="20"/>
          <w:szCs w:val="20"/>
          <w:color w:val="auto"/>
        </w:rPr>
      </w:pPr>
    </w:p>
    <w:p>
      <w:pPr>
        <w:ind w:left="480" w:hanging="310"/>
        <w:spacing w:after="0"/>
        <w:tabs>
          <w:tab w:leader="none" w:pos="480" w:val="left"/>
        </w:tabs>
        <w:numPr>
          <w:ilvl w:val="0"/>
          <w:numId w:val="107"/>
        </w:numPr>
        <w:rPr>
          <w:rFonts w:ascii="Arial" w:cs="Arial" w:eastAsia="Arial" w:hAnsi="Arial"/>
          <w:sz w:val="16"/>
          <w:szCs w:val="16"/>
          <w:color w:val="auto"/>
        </w:rPr>
      </w:pPr>
      <w:r>
        <w:rPr>
          <w:rFonts w:ascii="Arial" w:cs="Arial" w:eastAsia="Arial" w:hAnsi="Arial"/>
          <w:sz w:val="18"/>
          <w:szCs w:val="18"/>
          <w:color w:val="auto"/>
        </w:rPr>
        <w:t>the company’s business rationale for entering into the transaction;</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07"/>
        </w:numPr>
        <w:rPr>
          <w:rFonts w:ascii="Arial" w:cs="Arial" w:eastAsia="Arial" w:hAnsi="Arial"/>
          <w:sz w:val="16"/>
          <w:szCs w:val="16"/>
          <w:color w:val="auto"/>
        </w:rPr>
      </w:pPr>
      <w:r>
        <w:rPr>
          <w:rFonts w:ascii="Arial" w:cs="Arial" w:eastAsia="Arial" w:hAnsi="Arial"/>
          <w:sz w:val="18"/>
          <w:szCs w:val="18"/>
          <w:color w:val="auto"/>
        </w:rPr>
        <w:t>the purpose of, and potential benefits to the company of, the transaction;</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07"/>
        </w:numPr>
        <w:rPr>
          <w:rFonts w:ascii="Arial" w:cs="Arial" w:eastAsia="Arial" w:hAnsi="Arial"/>
          <w:sz w:val="16"/>
          <w:szCs w:val="16"/>
          <w:color w:val="auto"/>
        </w:rPr>
      </w:pPr>
      <w:r>
        <w:rPr>
          <w:rFonts w:ascii="Arial" w:cs="Arial" w:eastAsia="Arial" w:hAnsi="Arial"/>
          <w:sz w:val="18"/>
          <w:szCs w:val="18"/>
          <w:color w:val="auto"/>
        </w:rPr>
        <w:t>the alternatives to entering into a related person transaction;</w:t>
      </w:r>
    </w:p>
    <w:p>
      <w:pPr>
        <w:spacing w:after="0" w:line="171" w:lineRule="exact"/>
        <w:rPr>
          <w:rFonts w:ascii="Arial" w:cs="Arial" w:eastAsia="Arial" w:hAnsi="Arial"/>
          <w:sz w:val="16"/>
          <w:szCs w:val="16"/>
          <w:color w:val="auto"/>
        </w:rPr>
      </w:pPr>
    </w:p>
    <w:p>
      <w:pPr>
        <w:ind w:left="500" w:right="1080" w:hanging="330"/>
        <w:spacing w:after="0" w:line="287" w:lineRule="auto"/>
        <w:tabs>
          <w:tab w:leader="none" w:pos="489" w:val="left"/>
        </w:tabs>
        <w:numPr>
          <w:ilvl w:val="0"/>
          <w:numId w:val="107"/>
        </w:numPr>
        <w:rPr>
          <w:rFonts w:ascii="Arial" w:cs="Arial" w:eastAsia="Arial" w:hAnsi="Arial"/>
          <w:sz w:val="16"/>
          <w:szCs w:val="16"/>
          <w:color w:val="auto"/>
        </w:rPr>
      </w:pPr>
      <w:r>
        <w:rPr>
          <w:rFonts w:ascii="Arial" w:cs="Arial" w:eastAsia="Arial" w:hAnsi="Arial"/>
          <w:sz w:val="18"/>
          <w:szCs w:val="18"/>
          <w:color w:val="auto"/>
        </w:rPr>
        <w:t>whether the transaction is on terms comparable to those available to unrelated third parties, or in the case of employment relationships, to employees generally;</w:t>
      </w:r>
    </w:p>
    <w:p>
      <w:pPr>
        <w:spacing w:after="0" w:line="98" w:lineRule="exact"/>
        <w:rPr>
          <w:rFonts w:ascii="Arial" w:cs="Arial" w:eastAsia="Arial" w:hAnsi="Arial"/>
          <w:sz w:val="16"/>
          <w:szCs w:val="16"/>
          <w:color w:val="auto"/>
        </w:rPr>
      </w:pPr>
    </w:p>
    <w:p>
      <w:pPr>
        <w:ind w:left="500" w:right="80" w:hanging="330"/>
        <w:spacing w:after="0" w:line="287" w:lineRule="auto"/>
        <w:tabs>
          <w:tab w:leader="none" w:pos="489" w:val="left"/>
        </w:tabs>
        <w:numPr>
          <w:ilvl w:val="0"/>
          <w:numId w:val="107"/>
        </w:numPr>
        <w:rPr>
          <w:rFonts w:ascii="Arial" w:cs="Arial" w:eastAsia="Arial" w:hAnsi="Arial"/>
          <w:sz w:val="16"/>
          <w:szCs w:val="16"/>
          <w:color w:val="auto"/>
        </w:rPr>
      </w:pPr>
      <w:r>
        <w:rPr>
          <w:rFonts w:ascii="Arial" w:cs="Arial" w:eastAsia="Arial" w:hAnsi="Arial"/>
          <w:sz w:val="18"/>
          <w:szCs w:val="18"/>
          <w:color w:val="auto"/>
        </w:rPr>
        <w:t>the potential for the transaction to lead to an actual or apparent conflict of interest and any safeguards imposed to prevent such actual or apparent conflicts;</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07"/>
        </w:numPr>
        <w:rPr>
          <w:rFonts w:ascii="Arial" w:cs="Arial" w:eastAsia="Arial" w:hAnsi="Arial"/>
          <w:sz w:val="16"/>
          <w:szCs w:val="16"/>
          <w:color w:val="auto"/>
        </w:rPr>
      </w:pPr>
      <w:r>
        <w:rPr>
          <w:rFonts w:ascii="Arial" w:cs="Arial" w:eastAsia="Arial" w:hAnsi="Arial"/>
          <w:sz w:val="18"/>
          <w:szCs w:val="18"/>
          <w:color w:val="auto"/>
        </w:rPr>
        <w:t>the overall fairness of the transaction to the company;</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07"/>
        </w:numPr>
        <w:rPr>
          <w:rFonts w:ascii="Arial" w:cs="Arial" w:eastAsia="Arial" w:hAnsi="Arial"/>
          <w:sz w:val="16"/>
          <w:szCs w:val="16"/>
          <w:color w:val="auto"/>
        </w:rPr>
      </w:pPr>
      <w:r>
        <w:rPr>
          <w:rFonts w:ascii="Arial" w:cs="Arial" w:eastAsia="Arial" w:hAnsi="Arial"/>
          <w:sz w:val="18"/>
          <w:szCs w:val="18"/>
          <w:color w:val="auto"/>
        </w:rPr>
        <w:t>the approximate dollar value of the amount involved in the transaction, particularly as it relates to the related person;</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07"/>
        </w:numPr>
        <w:rPr>
          <w:rFonts w:ascii="Arial" w:cs="Arial" w:eastAsia="Arial" w:hAnsi="Arial"/>
          <w:sz w:val="16"/>
          <w:szCs w:val="16"/>
          <w:color w:val="auto"/>
        </w:rPr>
      </w:pPr>
      <w:r>
        <w:rPr>
          <w:rFonts w:ascii="Arial" w:cs="Arial" w:eastAsia="Arial" w:hAnsi="Arial"/>
          <w:sz w:val="18"/>
          <w:szCs w:val="18"/>
          <w:color w:val="auto"/>
        </w:rPr>
        <w:t>the related person’s interest in the transaction; and</w:t>
      </w:r>
    </w:p>
    <w:p>
      <w:pPr>
        <w:spacing w:after="0" w:line="171" w:lineRule="exact"/>
        <w:rPr>
          <w:rFonts w:ascii="Arial" w:cs="Arial" w:eastAsia="Arial" w:hAnsi="Arial"/>
          <w:sz w:val="16"/>
          <w:szCs w:val="16"/>
          <w:color w:val="auto"/>
        </w:rPr>
      </w:pPr>
    </w:p>
    <w:p>
      <w:pPr>
        <w:ind w:left="500" w:right="200" w:hanging="330"/>
        <w:spacing w:after="0" w:line="287" w:lineRule="auto"/>
        <w:tabs>
          <w:tab w:leader="none" w:pos="489" w:val="left"/>
        </w:tabs>
        <w:numPr>
          <w:ilvl w:val="0"/>
          <w:numId w:val="107"/>
        </w:numPr>
        <w:rPr>
          <w:rFonts w:ascii="Arial" w:cs="Arial" w:eastAsia="Arial" w:hAnsi="Arial"/>
          <w:sz w:val="16"/>
          <w:szCs w:val="16"/>
          <w:color w:val="auto"/>
        </w:rPr>
      </w:pPr>
      <w:r>
        <w:rPr>
          <w:rFonts w:ascii="Arial" w:cs="Arial" w:eastAsia="Arial" w:hAnsi="Arial"/>
          <w:sz w:val="18"/>
          <w:szCs w:val="18"/>
          <w:color w:val="auto"/>
        </w:rPr>
        <w:t>any other information regarding the transaction or the related person that would be material to the company’s shareholders in light of the circumstances of the particular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F3A85"/>
        </w:rPr>
        <w:t>Procedures:</w:t>
      </w:r>
    </w:p>
    <w:p>
      <w:pPr>
        <w:spacing w:after="0" w:line="171" w:lineRule="exact"/>
        <w:rPr>
          <w:sz w:val="20"/>
          <w:szCs w:val="20"/>
          <w:color w:val="auto"/>
        </w:rPr>
      </w:pPr>
    </w:p>
    <w:p>
      <w:pPr>
        <w:ind w:left="500" w:right="120" w:hanging="330"/>
        <w:spacing w:after="0" w:line="268" w:lineRule="auto"/>
        <w:tabs>
          <w:tab w:leader="none" w:pos="489" w:val="left"/>
        </w:tabs>
        <w:numPr>
          <w:ilvl w:val="0"/>
          <w:numId w:val="108"/>
        </w:numPr>
        <w:rPr>
          <w:rFonts w:ascii="Arial" w:cs="Arial" w:eastAsia="Arial" w:hAnsi="Arial"/>
          <w:sz w:val="16"/>
          <w:szCs w:val="16"/>
          <w:color w:val="auto"/>
        </w:rPr>
      </w:pPr>
      <w:r>
        <w:rPr>
          <w:rFonts w:ascii="Arial" w:cs="Arial" w:eastAsia="Arial" w:hAnsi="Arial"/>
          <w:sz w:val="18"/>
          <w:szCs w:val="18"/>
          <w:color w:val="auto"/>
        </w:rPr>
        <w:t>Before entering into a transaction that may qualify as a related person transaction, the related person (or, in the case of an immediate family member of an executive officer or director, the respective executive officer or director), should promptly notify the chair of the board or the lead independent director, as well as the general counsel.</w:t>
      </w:r>
    </w:p>
    <w:p>
      <w:pPr>
        <w:spacing w:after="0" w:line="116" w:lineRule="exact"/>
        <w:rPr>
          <w:rFonts w:ascii="Arial" w:cs="Arial" w:eastAsia="Arial" w:hAnsi="Arial"/>
          <w:sz w:val="16"/>
          <w:szCs w:val="16"/>
          <w:color w:val="auto"/>
        </w:rPr>
      </w:pPr>
    </w:p>
    <w:p>
      <w:pPr>
        <w:ind w:left="500" w:hanging="330"/>
        <w:spacing w:after="0" w:line="259" w:lineRule="auto"/>
        <w:tabs>
          <w:tab w:leader="none" w:pos="489" w:val="left"/>
        </w:tabs>
        <w:numPr>
          <w:ilvl w:val="0"/>
          <w:numId w:val="108"/>
        </w:numPr>
        <w:rPr>
          <w:rFonts w:ascii="Arial" w:cs="Arial" w:eastAsia="Arial" w:hAnsi="Arial"/>
          <w:sz w:val="16"/>
          <w:szCs w:val="16"/>
          <w:color w:val="auto"/>
        </w:rPr>
      </w:pPr>
      <w:r>
        <w:rPr>
          <w:rFonts w:ascii="Arial" w:cs="Arial" w:eastAsia="Arial" w:hAnsi="Arial"/>
          <w:sz w:val="18"/>
          <w:szCs w:val="18"/>
          <w:color w:val="auto"/>
        </w:rPr>
        <w:t>The chair and lead independent director will decide if the matter should be reviewed by the Directors and Corporate Governance Committee or another independent body, unless one of them is involved in the transaction. In that case, the decision will be made by the person who is not involved in the transaction together with the chair of the Directors and Corporate Governance Committee (unless the chair of the Directors and Corporate Governance Committee is involved in the transaction, in which case the chair of the Audit Committee will be substituted).</w:t>
      </w:r>
    </w:p>
    <w:p>
      <w:pPr>
        <w:spacing w:after="0" w:line="125" w:lineRule="exact"/>
        <w:rPr>
          <w:rFonts w:ascii="Arial" w:cs="Arial" w:eastAsia="Arial" w:hAnsi="Arial"/>
          <w:sz w:val="16"/>
          <w:szCs w:val="16"/>
          <w:color w:val="auto"/>
        </w:rPr>
      </w:pPr>
    </w:p>
    <w:p>
      <w:pPr>
        <w:ind w:left="500" w:right="80" w:hanging="330"/>
        <w:spacing w:after="0" w:line="287" w:lineRule="auto"/>
        <w:tabs>
          <w:tab w:leader="none" w:pos="489" w:val="left"/>
        </w:tabs>
        <w:numPr>
          <w:ilvl w:val="0"/>
          <w:numId w:val="108"/>
        </w:numPr>
        <w:rPr>
          <w:rFonts w:ascii="Arial" w:cs="Arial" w:eastAsia="Arial" w:hAnsi="Arial"/>
          <w:sz w:val="16"/>
          <w:szCs w:val="16"/>
          <w:color w:val="auto"/>
        </w:rPr>
      </w:pPr>
      <w:r>
        <w:rPr>
          <w:rFonts w:ascii="Arial" w:cs="Arial" w:eastAsia="Arial" w:hAnsi="Arial"/>
          <w:sz w:val="18"/>
          <w:szCs w:val="18"/>
          <w:color w:val="auto"/>
        </w:rPr>
        <w:t>If a director or an immediate family member of a director is involved in the transaction, the director will be recused from all discussions and decisions relating to the transaction.</w:t>
      </w:r>
    </w:p>
    <w:p>
      <w:pPr>
        <w:spacing w:after="0" w:line="98" w:lineRule="exact"/>
        <w:rPr>
          <w:rFonts w:ascii="Arial" w:cs="Arial" w:eastAsia="Arial" w:hAnsi="Arial"/>
          <w:sz w:val="16"/>
          <w:szCs w:val="16"/>
          <w:color w:val="auto"/>
        </w:rPr>
      </w:pPr>
    </w:p>
    <w:p>
      <w:pPr>
        <w:ind w:left="500" w:right="100" w:hanging="330"/>
        <w:spacing w:after="0" w:line="268" w:lineRule="auto"/>
        <w:tabs>
          <w:tab w:leader="none" w:pos="489" w:val="left"/>
        </w:tabs>
        <w:numPr>
          <w:ilvl w:val="0"/>
          <w:numId w:val="108"/>
        </w:numPr>
        <w:rPr>
          <w:rFonts w:ascii="Arial" w:cs="Arial" w:eastAsia="Arial" w:hAnsi="Arial"/>
          <w:sz w:val="16"/>
          <w:szCs w:val="16"/>
          <w:color w:val="auto"/>
        </w:rPr>
      </w:pPr>
      <w:r>
        <w:rPr>
          <w:rFonts w:ascii="Arial" w:cs="Arial" w:eastAsia="Arial" w:hAnsi="Arial"/>
          <w:sz w:val="18"/>
          <w:szCs w:val="18"/>
          <w:color w:val="auto"/>
        </w:rPr>
        <w:t>The Directors and Corporate Governance Committee or another independent body may approve the related person transaction only if the Directors and Corporate Governance Committee or such independent body determines in good faith that, under all of the circumstances, the transaction is consistent with the interests of the company and its shareholders.</w:t>
      </w:r>
    </w:p>
    <w:p>
      <w:pPr>
        <w:spacing w:after="0" w:line="116" w:lineRule="exact"/>
        <w:rPr>
          <w:rFonts w:ascii="Arial" w:cs="Arial" w:eastAsia="Arial" w:hAnsi="Arial"/>
          <w:sz w:val="16"/>
          <w:szCs w:val="16"/>
          <w:color w:val="auto"/>
        </w:rPr>
      </w:pPr>
    </w:p>
    <w:p>
      <w:pPr>
        <w:ind w:left="500" w:right="80" w:hanging="330"/>
        <w:spacing w:after="0" w:line="287" w:lineRule="auto"/>
        <w:tabs>
          <w:tab w:leader="none" w:pos="489" w:val="left"/>
        </w:tabs>
        <w:numPr>
          <w:ilvl w:val="0"/>
          <w:numId w:val="108"/>
        </w:numPr>
        <w:rPr>
          <w:rFonts w:ascii="Arial" w:cs="Arial" w:eastAsia="Arial" w:hAnsi="Arial"/>
          <w:sz w:val="16"/>
          <w:szCs w:val="16"/>
          <w:color w:val="auto"/>
        </w:rPr>
      </w:pPr>
      <w:r>
        <w:rPr>
          <w:rFonts w:ascii="Arial" w:cs="Arial" w:eastAsia="Arial" w:hAnsi="Arial"/>
          <w:sz w:val="18"/>
          <w:szCs w:val="18"/>
          <w:color w:val="auto"/>
        </w:rPr>
        <w:t>The Directors and Corporate Governance Committee or the other independent body may set any conditions they consider appropriate for the company or related person when approving a related person transaction.</w:t>
      </w:r>
    </w:p>
    <w:p>
      <w:pPr>
        <w:spacing w:after="0" w:line="98" w:lineRule="exact"/>
        <w:rPr>
          <w:rFonts w:ascii="Arial" w:cs="Arial" w:eastAsia="Arial" w:hAnsi="Arial"/>
          <w:sz w:val="16"/>
          <w:szCs w:val="16"/>
          <w:color w:val="auto"/>
        </w:rPr>
      </w:pPr>
    </w:p>
    <w:p>
      <w:pPr>
        <w:ind w:left="500" w:right="800" w:hanging="330"/>
        <w:spacing w:after="0" w:line="268" w:lineRule="auto"/>
        <w:tabs>
          <w:tab w:leader="none" w:pos="489" w:val="left"/>
        </w:tabs>
        <w:numPr>
          <w:ilvl w:val="0"/>
          <w:numId w:val="108"/>
        </w:numPr>
        <w:rPr>
          <w:rFonts w:ascii="Arial" w:cs="Arial" w:eastAsia="Arial" w:hAnsi="Arial"/>
          <w:sz w:val="16"/>
          <w:szCs w:val="16"/>
          <w:color w:val="auto"/>
        </w:rPr>
      </w:pPr>
      <w:r>
        <w:rPr>
          <w:rFonts w:ascii="Arial" w:cs="Arial" w:eastAsia="Arial" w:hAnsi="Arial"/>
          <w:sz w:val="18"/>
          <w:szCs w:val="18"/>
          <w:color w:val="auto"/>
        </w:rPr>
        <w:t>Approved recurring transactions will be reviewed annually by the Directors and Corporate Governance Committee or another independent body to determine whether the transaction continues to be consistent with the interests of the company and its shareholders.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a related person transaction arises that has not previously been approved or ratified or that needs to be re-reviewed, the related person transaction is presented for review and possible approval or ratification in the manner set forth above, which presentation may be, as appropriate, at the next regularly scheduled meeting of the Directors and Corporate Governance Committee or other applicable independent body.</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In 2025, there were no related party transactions required to be reported pursuant to relevant SEC rules in this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Communication with the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You may send written communications to members of the board, including independent directors, addressed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Lilly Corporate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46285</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Shareholder Engagement on Governance Issues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ensure that a variety of perspectives are thoughtfully considered on key issues, each year the company engages large shareholders and other key constituents to discuss areas of interest or concern related to corporate governance, as well as any specific issues for the coming proxy season. Since our 2025 annual meeting of shareholders, we have spoken with a number of investors on an array of subjects. We appreciate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 and CEO, the lead independent director, our Talent and Compensation Committee, and our Directors and Corporate Governance Committee, and it was a key input into board discussions on corporate governance topics. As a result of these discussions and its own deliberations, the board decided to recommend in favor of management proposals to eliminate the classified board structure and supermajority voting requirements (</w:t>
      </w:r>
      <w:r>
        <w:rPr>
          <w:rFonts w:ascii="Arial" w:cs="Arial" w:eastAsia="Arial" w:hAnsi="Arial"/>
          <w:sz w:val="18"/>
          <w:szCs w:val="18"/>
          <w:u w:val="single" w:color="auto"/>
          <w:color w:val="0000FF"/>
        </w:rPr>
        <w:t>see Items 4 and 5</w:t>
      </w:r>
      <w:r>
        <w:rPr>
          <w:rFonts w:ascii="Arial" w:cs="Arial" w:eastAsia="Arial" w:hAnsi="Arial"/>
          <w:sz w:val="18"/>
          <w:szCs w:val="18"/>
          <w:color w:val="auto"/>
        </w:rPr>
        <w:t>).</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committed to continuing to engage with our investors to ensure that their diverse perspectives on corporate governance and other issues are thoughtfully considered. We will continue to engage with our shareholders on these and other topics to ensure that we continue to demonstrate strong corporate governance and accountability to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Proposals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Shareholder Proposals under Rule 14a-8</w:t>
      </w:r>
    </w:p>
    <w:p>
      <w:pPr>
        <w:spacing w:after="0" w:line="7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Shareholders interested in submitting a proposal considered for inclusion in the proxy statement for the 2027 annual meeting must follow the procedures set forth in Rule 14a-8 under the Exchange Act. Proposals should be addressed to the General Counsel and Secretary and mailed to Lilly Corporate Center, Indianapolis, IN 46285. For convenience, emailed copies may also be sent to </w:t>
      </w:r>
      <w:r>
        <w:rPr>
          <w:rFonts w:ascii="Arial" w:cs="Arial" w:eastAsia="Arial" w:hAnsi="Arial"/>
          <w:sz w:val="18"/>
          <w:szCs w:val="18"/>
          <w:color w:val="D52B1E"/>
        </w:rPr>
        <w:t>shareholderproposals@lilly.com</w:t>
      </w:r>
      <w:r>
        <w:rPr>
          <w:rFonts w:ascii="Arial" w:cs="Arial" w:eastAsia="Arial" w:hAnsi="Arial"/>
          <w:sz w:val="18"/>
          <w:szCs w:val="18"/>
          <w:color w:val="000000"/>
        </w:rPr>
        <w:t>. In general, to be eligible for inclusion in the proxy statement for the 2027 annual meeting, shareholder</w:t>
      </w:r>
      <w:r>
        <w:rPr>
          <w:rFonts w:ascii="Arial" w:cs="Arial" w:eastAsia="Arial" w:hAnsi="Arial"/>
          <w:sz w:val="18"/>
          <w:szCs w:val="18"/>
          <w:color w:val="D52B1E"/>
        </w:rPr>
        <w:t xml:space="preserve"> </w:t>
      </w:r>
      <w:r>
        <w:rPr>
          <w:rFonts w:ascii="Arial" w:cs="Arial" w:eastAsia="Arial" w:hAnsi="Arial"/>
          <w:sz w:val="18"/>
          <w:szCs w:val="18"/>
          <w:color w:val="000000"/>
        </w:rPr>
        <w:t>proposals must be received no later than November 20, 2026.</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Other Shareholder Proposals</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In addition, under section 1.8 of the company’s bylaws, any shareholder of record wishing to propose business (other than pursuant to Rule 14a-8 or related to the nomination of directors) at the 2027 annual meeting of shareholders, must give the company written notice no later than the close of business on November 20, 2026, and no earlier than the close of business on September 21, 2026. However, if the date of the 2027 annual meeting is changed by more than 30 days from May 3, 2027 (the date contemplated for the 2027 annual meeting), a shareholder must give the company written notice no later than the close of business on the later of 120 days in advance of the 2027 annual meeting or 10 days following the date we first publicly announce the date of the 2027 annual meeting. Any such notice must also comply with the timing, disclosure, procedural and other requirements as set forth in the bylaws. A copy of the bylaws is available online at </w:t>
      </w:r>
      <w:r>
        <w:rPr>
          <w:rFonts w:ascii="Arial" w:cs="Arial" w:eastAsia="Arial" w:hAnsi="Arial"/>
          <w:sz w:val="18"/>
          <w:szCs w:val="18"/>
          <w:color w:val="D52B1E"/>
        </w:rPr>
        <w:t>lilly.com/about/leadership/governance</w:t>
      </w:r>
      <w:r>
        <w:rPr>
          <w:rFonts w:ascii="Arial" w:cs="Arial" w:eastAsia="Arial" w:hAnsi="Arial"/>
          <w:sz w:val="18"/>
          <w:szCs w:val="18"/>
          <w:color w:val="000000"/>
        </w:rPr>
        <w:t>.</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5" w:name="page46"/>
    <w:bookmarkEnd w:id="45"/>
    <w:p>
      <w:pPr>
        <w:spacing w:after="0"/>
        <w:rPr>
          <w:sz w:val="20"/>
          <w:szCs w:val="20"/>
          <w:color w:val="auto"/>
        </w:rPr>
      </w:pPr>
      <w:r>
        <w:rPr>
          <w:rFonts w:ascii="Arial" w:cs="Arial" w:eastAsia="Arial" w:hAnsi="Arial"/>
          <w:sz w:val="52"/>
          <w:szCs w:val="52"/>
          <w:b w:val="1"/>
          <w:bCs w:val="1"/>
          <w:color w:val="auto"/>
        </w:rPr>
        <w:t>Ownership of Company Stock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Common Stock Ownership by Directors and Executive Officers</w:t>
      </w:r>
    </w:p>
    <w:p>
      <w:pPr>
        <w:spacing w:after="0" w:line="8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sets forth the number of shares of company common stock beneficially owned by directors, named executive officers, and all directors and executive officers as a group, as of February 25, 2026. On February 25, 2026, there were 944,818,881 shares of the company’s common stock outstanding. None of the stock or stock units owned by any of the listed individuals has been pledged as collateral for a loan or other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106680</wp:posOffset>
            </wp:positionV>
            <wp:extent cx="199707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97075" cy="26035"/>
                    </a:xfrm>
                    <a:prstGeom prst="rect">
                      <a:avLst/>
                    </a:prstGeom>
                    <a:noFill/>
                  </pic:spPr>
                </pic:pic>
              </a:graphicData>
            </a:graphic>
          </wp:anchor>
        </w:drawing>
      </w:r>
    </w:p>
    <w:p>
      <w:pPr>
        <w:spacing w:after="0" w:line="17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576072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Stock Units</w:t>
            </w: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3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Distributable</w:t>
            </w:r>
          </w:p>
        </w:tc>
        <w:tc>
          <w:tcPr>
            <w:tcW w:w="8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Stock Units Not</w:t>
            </w:r>
          </w:p>
        </w:tc>
      </w:tr>
      <w:tr>
        <w:trPr>
          <w:trHeight w:val="216"/>
        </w:trPr>
        <w:tc>
          <w:tcPr>
            <w:tcW w:w="3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Within 60</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Distributable Within</w:t>
            </w:r>
          </w:p>
        </w:tc>
      </w:tr>
      <w:tr>
        <w:trPr>
          <w:trHeight w:val="262"/>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Beneficial Owners</w:t>
            </w:r>
          </w:p>
        </w:tc>
        <w:tc>
          <w:tcPr>
            <w:tcW w:w="1620" w:type="dxa"/>
            <w:vAlign w:val="bottom"/>
            <w:tcBorders>
              <w:bottom w:val="single" w:sz="8" w:color="auto"/>
            </w:tcBorders>
          </w:tcPr>
          <w:p>
            <w:pPr>
              <w:jc w:val="right"/>
              <w:ind w:right="90"/>
              <w:spacing w:after="0" w:line="262" w:lineRule="exact"/>
              <w:rPr>
                <w:sz w:val="20"/>
                <w:szCs w:val="20"/>
                <w:color w:val="auto"/>
              </w:rPr>
            </w:pPr>
            <w:r>
              <w:rPr>
                <w:rFonts w:ascii="Arial" w:cs="Arial" w:eastAsia="Arial" w:hAnsi="Arial"/>
                <w:sz w:val="18"/>
                <w:szCs w:val="18"/>
                <w:b w:val="1"/>
                <w:bCs w:val="1"/>
                <w:color w:val="auto"/>
              </w:rPr>
              <w:t>Shares Owned</w:t>
            </w:r>
            <w:r>
              <w:rPr>
                <w:rFonts w:ascii="Arial" w:cs="Arial" w:eastAsia="Arial" w:hAnsi="Arial"/>
                <w:sz w:val="23"/>
                <w:szCs w:val="23"/>
                <w:b w:val="1"/>
                <w:bCs w:val="1"/>
                <w:color w:val="auto"/>
                <w:vertAlign w:val="superscript"/>
              </w:rPr>
              <w:t>2</w:t>
            </w:r>
          </w:p>
        </w:tc>
        <w:tc>
          <w:tcPr>
            <w:tcW w:w="13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93"/>
              </w:rPr>
              <w:t>Days</w:t>
            </w:r>
            <w:r>
              <w:rPr>
                <w:rFonts w:ascii="Arial" w:cs="Arial" w:eastAsia="Arial" w:hAnsi="Arial"/>
                <w:sz w:val="23"/>
                <w:szCs w:val="23"/>
                <w:b w:val="1"/>
                <w:bCs w:val="1"/>
                <w:color w:val="auto"/>
                <w:w w:val="93"/>
                <w:vertAlign w:val="superscript"/>
              </w:rPr>
              <w:t>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of Class</w:t>
            </w:r>
          </w:p>
        </w:tc>
        <w:tc>
          <w:tcPr>
            <w:tcW w:w="18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96"/>
              </w:rPr>
              <w:t>60 Days</w:t>
            </w:r>
            <w:r>
              <w:rPr>
                <w:rFonts w:ascii="Arial" w:cs="Arial" w:eastAsia="Arial" w:hAnsi="Arial"/>
                <w:sz w:val="23"/>
                <w:szCs w:val="23"/>
                <w:b w:val="1"/>
                <w:bCs w:val="1"/>
                <w:color w:val="auto"/>
                <w:w w:val="96"/>
                <w:vertAlign w:val="superscript"/>
              </w:rPr>
              <w:t>4</w:t>
            </w:r>
          </w:p>
        </w:tc>
      </w:tr>
      <w:tr>
        <w:trPr>
          <w:trHeight w:val="243"/>
        </w:trPr>
        <w:tc>
          <w:tcPr>
            <w:tcW w:w="3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Ralph Alvarez</w:t>
            </w:r>
          </w:p>
        </w:tc>
        <w:tc>
          <w:tcPr>
            <w:tcW w:w="1620" w:type="dxa"/>
            <w:vAlign w:val="bottom"/>
            <w:tcBorders>
              <w:bottom w:val="single" w:sz="8" w:color="F2F2F2"/>
            </w:tcBorders>
            <w:shd w:val="clear" w:color="auto" w:fill="F2F2F2"/>
          </w:tcPr>
          <w:p>
            <w:pPr>
              <w:jc w:val="right"/>
              <w:ind w:right="370"/>
              <w:spacing w:after="0"/>
              <w:rPr>
                <w:sz w:val="20"/>
                <w:szCs w:val="20"/>
                <w:color w:val="auto"/>
              </w:rPr>
            </w:pPr>
            <w:r>
              <w:rPr>
                <w:rFonts w:ascii="Arial" w:cs="Arial" w:eastAsia="Arial" w:hAnsi="Arial"/>
                <w:sz w:val="18"/>
                <w:szCs w:val="18"/>
                <w:color w:val="auto"/>
              </w:rPr>
              <w:t>758</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55,492</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Katherine Baicker, Ph.D.</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23,536</w:t>
            </w:r>
          </w:p>
        </w:tc>
      </w:tr>
      <w:tr>
        <w:trPr>
          <w:trHeight w:val="23"/>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Carolyn Bertozzi, Ph.D.</w:t>
            </w:r>
          </w:p>
        </w:tc>
        <w:tc>
          <w:tcPr>
            <w:tcW w:w="1620" w:type="dxa"/>
            <w:vAlign w:val="bottom"/>
            <w:tcBorders>
              <w:bottom w:val="single" w:sz="8" w:color="F2F2F2"/>
            </w:tcBorders>
            <w:shd w:val="clear" w:color="auto" w:fill="F2F2F2"/>
          </w:tcPr>
          <w:p>
            <w:pPr>
              <w:jc w:val="right"/>
              <w:ind w:right="370"/>
              <w:spacing w:after="0"/>
              <w:rPr>
                <w:sz w:val="20"/>
                <w:szCs w:val="20"/>
                <w:color w:val="auto"/>
              </w:rPr>
            </w:pPr>
            <w:r>
              <w:rPr>
                <w:rFonts w:ascii="Arial" w:cs="Arial" w:eastAsia="Arial" w:hAnsi="Arial"/>
                <w:sz w:val="18"/>
                <w:szCs w:val="18"/>
                <w:color w:val="auto"/>
              </w:rPr>
              <w:t>2,000</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J. Erik Fyrwald</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1,683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73,437</w:t>
            </w:r>
          </w:p>
        </w:tc>
      </w:tr>
      <w:tr>
        <w:trPr>
          <w:trHeight w:val="23"/>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Anat Hakim</w:t>
            </w:r>
          </w:p>
        </w:tc>
        <w:tc>
          <w:tcPr>
            <w:tcW w:w="1620" w:type="dxa"/>
            <w:vAlign w:val="bottom"/>
            <w:tcBorders>
              <w:bottom w:val="single" w:sz="8" w:color="F2F2F2"/>
            </w:tcBorders>
            <w:shd w:val="clear" w:color="auto" w:fill="F2F2F2"/>
          </w:tcPr>
          <w:p>
            <w:pPr>
              <w:jc w:val="right"/>
              <w:ind w:right="370"/>
              <w:spacing w:after="0"/>
              <w:rPr>
                <w:sz w:val="20"/>
                <w:szCs w:val="20"/>
                <w:color w:val="auto"/>
              </w:rPr>
            </w:pPr>
            <w:r>
              <w:rPr>
                <w:rFonts w:ascii="Arial" w:cs="Arial" w:eastAsia="Arial" w:hAnsi="Arial"/>
                <w:sz w:val="18"/>
                <w:szCs w:val="18"/>
                <w:color w:val="auto"/>
              </w:rPr>
              <w:t>55,562</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Mary Lynne Hedley</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346</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2,005</w:t>
            </w:r>
          </w:p>
        </w:tc>
      </w:tr>
      <w:tr>
        <w:trPr>
          <w:trHeight w:val="23"/>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Jamere Jackson</w:t>
            </w:r>
          </w:p>
        </w:tc>
        <w:tc>
          <w:tcPr>
            <w:tcW w:w="1620" w:type="dxa"/>
            <w:vAlign w:val="bottom"/>
            <w:tcBorders>
              <w:bottom w:val="single" w:sz="8" w:color="F2F2F2"/>
            </w:tcBorders>
            <w:shd w:val="clear" w:color="auto" w:fill="F2F2F2"/>
          </w:tcPr>
          <w:p>
            <w:pPr>
              <w:jc w:val="right"/>
              <w:ind w:right="370"/>
              <w:spacing w:after="0"/>
              <w:rPr>
                <w:sz w:val="20"/>
                <w:szCs w:val="20"/>
                <w:color w:val="auto"/>
              </w:rPr>
            </w:pPr>
            <w:r>
              <w:rPr>
                <w:rFonts w:ascii="Arial" w:cs="Arial" w:eastAsia="Arial" w:hAnsi="Arial"/>
                <w:sz w:val="18"/>
                <w:szCs w:val="18"/>
                <w:color w:val="auto"/>
              </w:rPr>
              <w:t>200</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9,449</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Kimberly Johnson</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3,269</w:t>
            </w:r>
          </w:p>
        </w:tc>
      </w:tr>
      <w:tr>
        <w:trPr>
          <w:trHeight w:val="23"/>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William Kaelin, Jr., M.D.</w:t>
            </w:r>
          </w:p>
        </w:tc>
        <w:tc>
          <w:tcPr>
            <w:tcW w:w="1620" w:type="dxa"/>
            <w:vAlign w:val="bottom"/>
            <w:tcBorders>
              <w:bottom w:val="single" w:sz="8" w:color="F2F2F2"/>
            </w:tcBorders>
            <w:shd w:val="clear" w:color="auto" w:fill="F2F2F2"/>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21,867</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Juan Luciano</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16,772</w:t>
            </w:r>
          </w:p>
        </w:tc>
      </w:tr>
      <w:tr>
        <w:trPr>
          <w:trHeight w:val="23"/>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Jonathan Moeller</w:t>
            </w:r>
          </w:p>
        </w:tc>
        <w:tc>
          <w:tcPr>
            <w:tcW w:w="1620" w:type="dxa"/>
            <w:vAlign w:val="bottom"/>
            <w:tcBorders>
              <w:bottom w:val="single" w:sz="8" w:color="F2F2F2"/>
            </w:tcBorders>
            <w:shd w:val="clear" w:color="auto" w:fill="F2F2F2"/>
          </w:tcPr>
          <w:p>
            <w:pPr>
              <w:jc w:val="right"/>
              <w:ind w:right="370"/>
              <w:spacing w:after="0"/>
              <w:rPr>
                <w:sz w:val="20"/>
                <w:szCs w:val="20"/>
                <w:color w:val="auto"/>
              </w:rPr>
            </w:pPr>
            <w:r>
              <w:rPr>
                <w:rFonts w:ascii="Arial" w:cs="Arial" w:eastAsia="Arial" w:hAnsi="Arial"/>
                <w:sz w:val="18"/>
                <w:szCs w:val="18"/>
                <w:color w:val="auto"/>
              </w:rPr>
              <w:t>71</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233</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Lucas Montarce</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16,258</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1,981</w:t>
            </w:r>
          </w:p>
        </w:tc>
      </w:tr>
      <w:tr>
        <w:trPr>
          <w:trHeight w:val="23"/>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440" w:type="dxa"/>
            <w:vAlign w:val="bottom"/>
            <w:shd w:val="clear" w:color="auto" w:fill="F2F2F2"/>
          </w:tcPr>
          <w:p>
            <w:pPr>
              <w:ind w:left="20"/>
              <w:spacing w:after="0"/>
              <w:rPr>
                <w:sz w:val="20"/>
                <w:szCs w:val="20"/>
                <w:color w:val="auto"/>
              </w:rPr>
            </w:pPr>
            <w:r>
              <w:rPr>
                <w:rFonts w:ascii="Arial" w:cs="Arial" w:eastAsia="Arial" w:hAnsi="Arial"/>
                <w:sz w:val="18"/>
                <w:szCs w:val="18"/>
                <w:color w:val="auto"/>
              </w:rPr>
              <w:t>David Ricks</w:t>
            </w:r>
            <w:r>
              <w:rPr>
                <w:rFonts w:ascii="Arial" w:cs="Arial" w:eastAsia="Arial" w:hAnsi="Arial"/>
                <w:sz w:val="23"/>
                <w:szCs w:val="23"/>
                <w:color w:val="auto"/>
                <w:vertAlign w:val="superscript"/>
              </w:rPr>
              <w:t>5</w:t>
            </w:r>
          </w:p>
        </w:tc>
        <w:tc>
          <w:tcPr>
            <w:tcW w:w="1620" w:type="dxa"/>
            <w:vAlign w:val="bottom"/>
            <w:shd w:val="clear" w:color="auto" w:fill="F2F2F2"/>
          </w:tcPr>
          <w:p>
            <w:pPr>
              <w:jc w:val="right"/>
              <w:ind w:right="370"/>
              <w:spacing w:after="0"/>
              <w:rPr>
                <w:sz w:val="20"/>
                <w:szCs w:val="20"/>
                <w:color w:val="auto"/>
              </w:rPr>
            </w:pPr>
            <w:r>
              <w:rPr>
                <w:rFonts w:ascii="Arial" w:cs="Arial" w:eastAsia="Arial" w:hAnsi="Arial"/>
                <w:sz w:val="18"/>
                <w:szCs w:val="18"/>
                <w:color w:val="auto"/>
              </w:rPr>
              <w:t>815,535</w:t>
            </w:r>
          </w:p>
        </w:tc>
        <w:tc>
          <w:tcPr>
            <w:tcW w:w="13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shd w:val="clear" w:color="auto" w:fill="F2F2F2"/>
          </w:tcPr>
          <w:p>
            <w:pPr>
              <w:jc w:val="right"/>
              <w:ind w:right="430"/>
              <w:spacing w:after="0"/>
              <w:rPr>
                <w:sz w:val="20"/>
                <w:szCs w:val="20"/>
                <w:color w:val="auto"/>
              </w:rPr>
            </w:pPr>
            <w:r>
              <w:rPr>
                <w:rFonts w:ascii="Arial" w:cs="Arial" w:eastAsia="Arial" w:hAnsi="Arial"/>
                <w:sz w:val="18"/>
                <w:szCs w:val="18"/>
                <w:color w:val="auto"/>
              </w:rPr>
              <w:t>—</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Daniel Skovronsky, M.D., Ph.D.</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235,688</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3"/>
        </w:trPr>
        <w:tc>
          <w:tcPr>
            <w:tcW w:w="3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Gabrielle Sulzberger</w:t>
            </w:r>
          </w:p>
        </w:tc>
        <w:tc>
          <w:tcPr>
            <w:tcW w:w="1620" w:type="dxa"/>
            <w:vAlign w:val="bottom"/>
            <w:tcBorders>
              <w:bottom w:val="single" w:sz="8" w:color="F2F2F2"/>
            </w:tcBorders>
            <w:shd w:val="clear" w:color="auto" w:fill="F2F2F2"/>
          </w:tcPr>
          <w:p>
            <w:pPr>
              <w:jc w:val="right"/>
              <w:ind w:right="370"/>
              <w:spacing w:after="0"/>
              <w:rPr>
                <w:sz w:val="20"/>
                <w:szCs w:val="20"/>
                <w:color w:val="auto"/>
              </w:rPr>
            </w:pPr>
            <w:r>
              <w:rPr>
                <w:rFonts w:ascii="Arial" w:cs="Arial" w:eastAsia="Arial" w:hAnsi="Arial"/>
                <w:sz w:val="18"/>
                <w:szCs w:val="18"/>
                <w:color w:val="auto"/>
              </w:rPr>
              <w:t>117</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Borders>
              <w:bottom w:val="single" w:sz="8" w:color="F2F2F2"/>
            </w:tcBorders>
            <w:shd w:val="clear" w:color="auto" w:fill="F2F2F2"/>
          </w:tcPr>
          <w:p>
            <w:pPr>
              <w:jc w:val="right"/>
              <w:ind w:right="430"/>
              <w:spacing w:after="0"/>
              <w:rPr>
                <w:sz w:val="20"/>
                <w:szCs w:val="20"/>
                <w:color w:val="auto"/>
              </w:rPr>
            </w:pPr>
            <w:r>
              <w:rPr>
                <w:rFonts w:ascii="Arial" w:cs="Arial" w:eastAsia="Arial" w:hAnsi="Arial"/>
                <w:sz w:val="18"/>
                <w:szCs w:val="18"/>
                <w:color w:val="auto"/>
              </w:rPr>
              <w:t>2,849</w:t>
            </w:r>
          </w:p>
        </w:tc>
      </w:tr>
      <w:tr>
        <w:trPr>
          <w:trHeight w:val="247"/>
        </w:trPr>
        <w:tc>
          <w:tcPr>
            <w:tcW w:w="3440" w:type="dxa"/>
            <w:vAlign w:val="bottom"/>
          </w:tcPr>
          <w:p>
            <w:pPr>
              <w:ind w:left="20"/>
              <w:spacing w:after="0"/>
              <w:rPr>
                <w:sz w:val="20"/>
                <w:szCs w:val="20"/>
                <w:color w:val="auto"/>
              </w:rPr>
            </w:pPr>
            <w:r>
              <w:rPr>
                <w:rFonts w:ascii="Arial" w:cs="Arial" w:eastAsia="Arial" w:hAnsi="Arial"/>
                <w:sz w:val="18"/>
                <w:szCs w:val="18"/>
                <w:color w:val="auto"/>
              </w:rPr>
              <w:t>Jake Van Naarden</w:t>
            </w:r>
          </w:p>
        </w:tc>
        <w:tc>
          <w:tcPr>
            <w:tcW w:w="1620" w:type="dxa"/>
            <w:vAlign w:val="bottom"/>
          </w:tcPr>
          <w:p>
            <w:pPr>
              <w:jc w:val="right"/>
              <w:ind w:right="370"/>
              <w:spacing w:after="0"/>
              <w:rPr>
                <w:sz w:val="20"/>
                <w:szCs w:val="20"/>
                <w:color w:val="auto"/>
              </w:rPr>
            </w:pPr>
            <w:r>
              <w:rPr>
                <w:rFonts w:ascii="Arial" w:cs="Arial" w:eastAsia="Arial" w:hAnsi="Arial"/>
                <w:sz w:val="18"/>
                <w:szCs w:val="18"/>
                <w:color w:val="auto"/>
              </w:rPr>
              <w:t>36,270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80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3"/>
        </w:trPr>
        <w:tc>
          <w:tcPr>
            <w:tcW w:w="3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jc w:val="right"/>
              <w:ind w:right="50"/>
              <w:spacing w:after="0"/>
              <w:rPr>
                <w:sz w:val="20"/>
                <w:szCs w:val="20"/>
                <w:color w:val="auto"/>
              </w:rPr>
            </w:pPr>
            <w:r>
              <w:rPr>
                <w:rFonts w:ascii="Arial" w:cs="Arial" w:eastAsia="Arial" w:hAnsi="Arial"/>
                <w:sz w:val="18"/>
                <w:szCs w:val="18"/>
                <w:b w:val="1"/>
                <w:bCs w:val="1"/>
                <w:color w:val="auto"/>
              </w:rPr>
              <w:t>All directors and current executive</w:t>
            </w:r>
          </w:p>
        </w:tc>
        <w:tc>
          <w:tcPr>
            <w:tcW w:w="1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55"/>
        </w:trPr>
        <w:tc>
          <w:tcPr>
            <w:tcW w:w="3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officers as a group (25 people):</w:t>
            </w:r>
          </w:p>
        </w:tc>
        <w:tc>
          <w:tcPr>
            <w:tcW w:w="1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1,362,076</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w:t>
            </w:r>
          </w:p>
        </w:tc>
        <w:tc>
          <w:tcPr>
            <w:tcW w:w="1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227,279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-316230</wp:posOffset>
            </wp:positionV>
            <wp:extent cx="82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-290830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-273685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-256540</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-239395</wp:posOffset>
            </wp:positionV>
            <wp:extent cx="8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-222250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-205105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-153670</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-136525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-119380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-102235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-85090</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-67945</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-50800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-33655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-16510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-316230</wp:posOffset>
            </wp:positionV>
            <wp:extent cx="88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-290830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-273685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-256540</wp:posOffset>
            </wp:positionV>
            <wp:extent cx="88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-239395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-222250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-205105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-187960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-170815</wp:posOffset>
            </wp:positionV>
            <wp:extent cx="8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-153670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-136525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-119380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-102235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-85090</wp:posOffset>
            </wp:positionV>
            <wp:extent cx="88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-67945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-50800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-33655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-16510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-471170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-453390</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-436245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-419100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-401955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-385445</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-367665</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-350520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-333375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-471170</wp:posOffset>
            </wp:positionV>
            <wp:extent cx="88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-453390</wp:posOffset>
            </wp:positionV>
            <wp:extent cx="88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-436245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-419100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-401955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-385445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-367665</wp:posOffset>
            </wp:positionV>
            <wp:extent cx="88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-350520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-333375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-642620</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-624840</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-607695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-590550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-573405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-556895</wp:posOffset>
            </wp:positionV>
            <wp:extent cx="82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-539115</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-521970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-504825</wp:posOffset>
            </wp:positionV>
            <wp:extent cx="825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-642620</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-624840</wp:posOffset>
            </wp:positionV>
            <wp:extent cx="8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-607695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-590550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-573405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-556895</wp:posOffset>
            </wp:positionV>
            <wp:extent cx="88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-539115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-521970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-504825</wp:posOffset>
            </wp:positionV>
            <wp:extent cx="889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-813435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-796290</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-779145</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-762000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-744855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-727710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-710565</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-693420</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-676275</wp:posOffset>
            </wp:positionV>
            <wp:extent cx="825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-813435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-796290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-779145</wp:posOffset>
            </wp:positionV>
            <wp:extent cx="88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-762000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-744855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-727710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-710565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-693420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-676275</wp:posOffset>
            </wp:positionV>
            <wp:extent cx="889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-984885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-967740</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-950595</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-933450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-916305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-899160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-882015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-864870</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-847725</wp:posOffset>
            </wp:positionV>
            <wp:extent cx="825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-984885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-967740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-950595</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-933450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-916305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-899160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-882015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-864870</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-847725</wp:posOffset>
            </wp:positionV>
            <wp:extent cx="889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-1156335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-1139190</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-1122045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-1104900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-1087755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-1070610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-1053465</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-1036320</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-1019175</wp:posOffset>
            </wp:positionV>
            <wp:extent cx="825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-1156335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-1139190</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-1122045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-1104900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-1087755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-1070610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-1053465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-1036320</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-1019175</wp:posOffset>
            </wp:positionV>
            <wp:extent cx="8890"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-1327785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-1310640</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-1293495</wp:posOffset>
            </wp:positionV>
            <wp:extent cx="82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-1276350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-1259205</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-1242060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-1224915</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-1207770</wp:posOffset>
            </wp:positionV>
            <wp:extent cx="8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-1190625</wp:posOffset>
            </wp:positionV>
            <wp:extent cx="825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-1327785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-1310640</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-1293495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-1276350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-1259205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-1242060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-1224915</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-1207770</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-1190625</wp:posOffset>
            </wp:positionV>
            <wp:extent cx="8890"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-1499235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-1482090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-1464945</wp:posOffset>
            </wp:positionV>
            <wp:extent cx="82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-1447800</wp:posOffset>
            </wp:positionV>
            <wp:extent cx="82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-1430655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-1413510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-1396365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-1379220</wp:posOffset>
            </wp:positionV>
            <wp:extent cx="82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-1362075</wp:posOffset>
            </wp:positionV>
            <wp:extent cx="825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-1499235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-1482090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-1464945</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-1447800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-1430655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-1413510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-1396365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-1379220</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-1362075</wp:posOffset>
            </wp:positionV>
            <wp:extent cx="889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-1670685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-1653540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-1636395</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-1619250</wp:posOffset>
            </wp:positionV>
            <wp:extent cx="82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-1602105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-1584960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-1567815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-1550670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-1533525</wp:posOffset>
            </wp:positionV>
            <wp:extent cx="825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-1670685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-1653540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-1636395</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-1619250</wp:posOffset>
            </wp:positionV>
            <wp:extent cx="8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-1602105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-1584960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-1567815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-1550670</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-1533525</wp:posOffset>
            </wp:positionV>
            <wp:extent cx="889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-1842135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-1824990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-1807845</wp:posOffset>
            </wp:positionV>
            <wp:extent cx="82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-1790700</wp:posOffset>
            </wp:positionV>
            <wp:extent cx="82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-1773555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-1756410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-1739265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-1722120</wp:posOffset>
            </wp:positionV>
            <wp:extent cx="82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-1704975</wp:posOffset>
            </wp:positionV>
            <wp:extent cx="825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-1842135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-1824990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-1807845</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-1790700</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-1773555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-1756410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-1739265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-1722120</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-1704975</wp:posOffset>
            </wp:positionV>
            <wp:extent cx="8890"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-2013585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-1996440</wp:posOffset>
            </wp:positionV>
            <wp:extent cx="82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-1979295</wp:posOffset>
            </wp:positionV>
            <wp:extent cx="82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-1962150</wp:posOffset>
            </wp:positionV>
            <wp:extent cx="82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-1945005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-1927860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-1910715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-1893570</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-1876425</wp:posOffset>
            </wp:positionV>
            <wp:extent cx="825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-2013585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-1996440</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-1979295</wp:posOffset>
            </wp:positionV>
            <wp:extent cx="88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-1962150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-1945005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-1927860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-1910715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-1893570</wp:posOffset>
            </wp:positionV>
            <wp:extent cx="88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-1876425</wp:posOffset>
            </wp:positionV>
            <wp:extent cx="889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-2185035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-2167890</wp:posOffset>
            </wp:positionV>
            <wp:extent cx="82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-2150745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-2133600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-2116455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-2099310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-2082165</wp:posOffset>
            </wp:positionV>
            <wp:extent cx="825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-2065020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-2047875</wp:posOffset>
            </wp:positionV>
            <wp:extent cx="825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-2185035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-2167890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-2150745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-2133600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-2116455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-2099310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-2082165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-2065020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-2047875</wp:posOffset>
            </wp:positionV>
            <wp:extent cx="8890"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-2356485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-2339340</wp:posOffset>
            </wp:positionV>
            <wp:extent cx="82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-2322195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-2305050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-2287905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-2270760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-2253615</wp:posOffset>
            </wp:positionV>
            <wp:extent cx="825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-2236470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-2219325</wp:posOffset>
            </wp:positionV>
            <wp:extent cx="825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-2356485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-2339340</wp:posOffset>
            </wp:positionV>
            <wp:extent cx="88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-2322195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-2305050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-2287905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-2270760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-2253615</wp:posOffset>
            </wp:positionV>
            <wp:extent cx="88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-2236470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-2219325</wp:posOffset>
            </wp:positionV>
            <wp:extent cx="8890"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-2527935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-2510790</wp:posOffset>
            </wp:positionV>
            <wp:extent cx="82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-2493645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-2476500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-2459355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-2442210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-2425065</wp:posOffset>
            </wp:positionV>
            <wp:extent cx="82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-2407920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-2390775</wp:posOffset>
            </wp:positionV>
            <wp:extent cx="825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-2527935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-2510790</wp:posOffset>
            </wp:positionV>
            <wp:extent cx="88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-2493645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-2476500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-2459355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-2442210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-2425065</wp:posOffset>
            </wp:positionV>
            <wp:extent cx="8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-2407920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-2390775</wp:posOffset>
            </wp:positionV>
            <wp:extent cx="8890"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-2699385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-2682240</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-2665095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-2647950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-2630805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-2613660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-2596515</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-2579370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-2562225</wp:posOffset>
            </wp:positionV>
            <wp:extent cx="825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-2699385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-2682240</wp:posOffset>
            </wp:positionV>
            <wp:extent cx="8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-2665095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-2647950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-2630805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-2613660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-2596515</wp:posOffset>
            </wp:positionV>
            <wp:extent cx="8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-2579370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-2562225</wp:posOffset>
            </wp:positionV>
            <wp:extent cx="8890"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-2870835</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-2853690</wp:posOffset>
            </wp:positionV>
            <wp:extent cx="82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-2836545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-2819400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-2802255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-2785110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-2767965</wp:posOffset>
            </wp:positionV>
            <wp:extent cx="82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-2750820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-2733675</wp:posOffset>
            </wp:positionV>
            <wp:extent cx="825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-2870835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-2853690</wp:posOffset>
            </wp:positionV>
            <wp:extent cx="88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-2836545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-2819400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-2802255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-2785110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-2767965</wp:posOffset>
            </wp:positionV>
            <wp:extent cx="88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-2750820</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-2733675</wp:posOffset>
            </wp:positionV>
            <wp:extent cx="8890"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-3068320</wp:posOffset>
            </wp:positionV>
            <wp:extent cx="825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-3042285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-3025140</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-3007995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-2990850</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-2973705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-2956560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-2939415</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-2922270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-2905125</wp:posOffset>
            </wp:positionV>
            <wp:extent cx="825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-3068320</wp:posOffset>
            </wp:positionV>
            <wp:extent cx="889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-3042285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-3025140</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-3007995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-2990850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-2973705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-2956560</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-2939415</wp:posOffset>
            </wp:positionV>
            <wp:extent cx="889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-2922270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-2905125</wp:posOffset>
            </wp:positionV>
            <wp:extent cx="8890"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-3634105</wp:posOffset>
            </wp:positionV>
            <wp:extent cx="82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-3616960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-3599815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-3582670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-3565525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-3548380</wp:posOffset>
            </wp:positionV>
            <wp:extent cx="825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-3531235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-3514090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-3496945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-3479800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-3462655</wp:posOffset>
            </wp:positionV>
            <wp:extent cx="82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-3445510</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-3428365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-3411220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-3394075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-3376930</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-3359785</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-3342640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-3325495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-3308350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-3291205</wp:posOffset>
            </wp:positionV>
            <wp:extent cx="82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-3274060</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-3256915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-3239770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-3222625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-3205480</wp:posOffset>
            </wp:positionV>
            <wp:extent cx="825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-3188335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-3171190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-3154045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-3136900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-3119755</wp:posOffset>
            </wp:positionV>
            <wp:extent cx="825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-3102610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-3085465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-3634105</wp:posOffset>
            </wp:positionV>
            <wp:extent cx="889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-3616960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-3599815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-3582670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-3565525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-3548380</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-3531235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-3514090</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-3496945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-3479800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-3462655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-3445510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-3428365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-3411220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-3394075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-3376930</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-3359785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-3342640</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-3325495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-3308350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-3291205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-3274060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-3256915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-3239770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-3222625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-3205480</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-3188335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-3171190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-3154045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-3136900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-3119755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-3102610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-3085465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Less than 1.0 percent of the outstanding common stock of the company.</w:t>
      </w:r>
    </w:p>
    <w:p>
      <w:pPr>
        <w:spacing w:after="0" w:line="117" w:lineRule="exact"/>
        <w:rPr>
          <w:sz w:val="20"/>
          <w:szCs w:val="20"/>
          <w:color w:val="auto"/>
        </w:rPr>
      </w:pPr>
    </w:p>
    <w:p>
      <w:pPr>
        <w:ind w:left="180" w:right="280" w:hanging="172"/>
        <w:spacing w:after="0" w:line="237" w:lineRule="auto"/>
        <w:tabs>
          <w:tab w:leader="none" w:pos="213"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spacing w:after="0" w:line="86" w:lineRule="exact"/>
        <w:rPr>
          <w:sz w:val="20"/>
          <w:szCs w:val="20"/>
          <w:color w:val="auto"/>
        </w:rPr>
      </w:pPr>
    </w:p>
    <w:p>
      <w:pPr>
        <w:ind w:left="180" w:right="40" w:hanging="172"/>
        <w:spacing w:after="0" w:line="231" w:lineRule="auto"/>
        <w:tabs>
          <w:tab w:leader="none" w:pos="213" w:val="left"/>
        </w:tabs>
        <w:numPr>
          <w:ilvl w:val="0"/>
          <w:numId w:val="110"/>
        </w:numPr>
        <w:rPr>
          <w:rFonts w:ascii="Arial" w:cs="Arial" w:eastAsia="Arial" w:hAnsi="Arial"/>
          <w:sz w:val="23"/>
          <w:szCs w:val="23"/>
          <w:color w:val="auto"/>
          <w:vertAlign w:val="superscript"/>
        </w:rPr>
      </w:pPr>
      <w:r>
        <w:rPr>
          <w:rFonts w:ascii="Arial" w:cs="Arial" w:eastAsia="Arial" w:hAnsi="Arial"/>
          <w:sz w:val="18"/>
          <w:szCs w:val="18"/>
          <w:color w:val="auto"/>
        </w:rPr>
        <w:t>This column includes the number of shares of common stock held directly or indirectly, including the number of 401(k) Plan shares held by the beneficial owners indirectly through the 401(k) Plan.</w:t>
      </w:r>
    </w:p>
    <w:p>
      <w:pPr>
        <w:spacing w:after="0" w:line="61" w:lineRule="exact"/>
        <w:rPr>
          <w:sz w:val="20"/>
          <w:szCs w:val="20"/>
          <w:color w:val="auto"/>
        </w:rPr>
      </w:pPr>
    </w:p>
    <w:p>
      <w:pPr>
        <w:ind w:left="200" w:hanging="192"/>
        <w:spacing w:after="0"/>
        <w:tabs>
          <w:tab w:leader="none" w:pos="200" w:val="left"/>
        </w:tabs>
        <w:numPr>
          <w:ilvl w:val="0"/>
          <w:numId w:val="111"/>
        </w:numPr>
        <w:rPr>
          <w:rFonts w:ascii="Arial" w:cs="Arial" w:eastAsia="Arial" w:hAnsi="Arial"/>
          <w:sz w:val="23"/>
          <w:szCs w:val="23"/>
          <w:color w:val="auto"/>
          <w:vertAlign w:val="superscript"/>
        </w:rPr>
      </w:pPr>
      <w:r>
        <w:rPr>
          <w:rFonts w:ascii="Arial" w:cs="Arial" w:eastAsia="Arial" w:hAnsi="Arial"/>
          <w:sz w:val="18"/>
          <w:szCs w:val="18"/>
          <w:color w:val="auto"/>
        </w:rPr>
        <w:t>This column sets forth restricted stock units that vest within 60 days of February 25, 2026.</w:t>
      </w:r>
    </w:p>
    <w:p>
      <w:pPr>
        <w:spacing w:after="0" w:line="85" w:lineRule="exact"/>
        <w:rPr>
          <w:sz w:val="20"/>
          <w:szCs w:val="20"/>
          <w:color w:val="auto"/>
        </w:rPr>
      </w:pPr>
    </w:p>
    <w:p>
      <w:pPr>
        <w:ind w:left="180" w:right="360" w:hanging="172"/>
        <w:spacing w:after="0" w:line="237" w:lineRule="auto"/>
        <w:tabs>
          <w:tab w:leader="none" w:pos="213" w:val="left"/>
        </w:tabs>
        <w:numPr>
          <w:ilvl w:val="0"/>
          <w:numId w:val="112"/>
        </w:numPr>
        <w:rPr>
          <w:rFonts w:ascii="Arial" w:cs="Arial" w:eastAsia="Arial" w:hAnsi="Arial"/>
          <w:sz w:val="23"/>
          <w:szCs w:val="23"/>
          <w:color w:val="auto"/>
          <w:vertAlign w:val="superscript"/>
        </w:rPr>
      </w:pPr>
      <w:r>
        <w:rPr>
          <w:rFonts w:ascii="Arial" w:cs="Arial" w:eastAsia="Arial" w:hAnsi="Arial"/>
          <w:sz w:val="18"/>
          <w:szCs w:val="18"/>
          <w:color w:val="auto"/>
        </w:rPr>
        <w:t>For the executive officers, this column reflects restricted stock units that will not vest within 60 days of February 25, 2026. For the non-employee directors, this column reflects the number of units representing the right to receive shares of company stock credited to the directors’ accounts in the Lilly Directors’ Deferral Plan.</w:t>
      </w:r>
    </w:p>
    <w:p>
      <w:pPr>
        <w:spacing w:after="0" w:line="86" w:lineRule="exact"/>
        <w:rPr>
          <w:sz w:val="20"/>
          <w:szCs w:val="20"/>
          <w:color w:val="auto"/>
        </w:rPr>
      </w:pPr>
    </w:p>
    <w:p>
      <w:pPr>
        <w:ind w:left="5520" w:right="1500" w:hanging="5512"/>
        <w:spacing w:after="0" w:line="880" w:lineRule="auto"/>
        <w:tabs>
          <w:tab w:leader="none" w:pos="204" w:val="left"/>
        </w:tabs>
        <w:numPr>
          <w:ilvl w:val="0"/>
          <w:numId w:val="113"/>
        </w:numPr>
        <w:rPr>
          <w:rFonts w:ascii="Arial" w:cs="Arial" w:eastAsia="Arial" w:hAnsi="Arial"/>
          <w:sz w:val="23"/>
          <w:szCs w:val="23"/>
          <w:color w:val="auto"/>
          <w:vertAlign w:val="superscript"/>
        </w:rPr>
      </w:pPr>
      <w:r>
        <w:rPr>
          <w:rFonts w:ascii="Arial" w:cs="Arial" w:eastAsia="Arial" w:hAnsi="Arial"/>
          <w:sz w:val="18"/>
          <w:szCs w:val="18"/>
          <w:color w:val="auto"/>
        </w:rPr>
        <w:t>The shares shown for Mr. Ricks include 106,693 shares that are owned by a family foundation for which he is a director.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-377825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5" w:right="35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Insider Trading Policy</w:t>
      </w:r>
    </w:p>
    <w:p>
      <w:pPr>
        <w:spacing w:after="0" w:line="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Lilly has adopted an insider trading policy governing the purchase, sale, and/or other dispositions of its securities by directors, officers and employees, and has implemented processes with respect to the company that are reasonably designed to promote compliance with securities laws, rules, and regulations, and New York Stock Exchange listing standards. The full text of Lilly’s insider trading policy was filed as Exhibit 19 to the company's Annual Report on Form 10-K for the year ended December 31, 2025.</w:t>
      </w: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Common Stock Ownership of Certain Beneficial Holders</w:t>
      </w:r>
    </w:p>
    <w:p>
      <w:pPr>
        <w:spacing w:after="0" w:line="8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sets forth the number of shares of company common stock beneficially owned as of December 31, 2025, unless otherwise indicated, by each person known to the company to beneficially own more than five percent of the outstanding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40893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Number of Shares</w:t>
            </w:r>
          </w:p>
        </w:tc>
        <w:tc>
          <w:tcPr>
            <w:tcW w:w="20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Percent of Class</w:t>
            </w:r>
            <w:r>
              <w:rPr>
                <w:rFonts w:ascii="Arial" w:cs="Arial" w:eastAsia="Arial" w:hAnsi="Arial"/>
                <w:sz w:val="23"/>
                <w:szCs w:val="23"/>
                <w:b w:val="1"/>
                <w:bCs w:val="1"/>
                <w:color w:val="auto"/>
                <w:vertAlign w:val="superscript"/>
              </w:rPr>
              <w:t>*</w:t>
            </w:r>
          </w:p>
        </w:tc>
        <w:tc>
          <w:tcPr>
            <w:tcW w:w="0" w:type="dxa"/>
            <w:vAlign w:val="bottom"/>
          </w:tcPr>
          <w:p>
            <w:pPr>
              <w:spacing w:after="0"/>
              <w:rPr>
                <w:sz w:val="1"/>
                <w:szCs w:val="1"/>
                <w:color w:val="auto"/>
              </w:rPr>
            </w:pPr>
          </w:p>
        </w:tc>
      </w:tr>
      <w:tr>
        <w:trPr>
          <w:trHeight w:val="314"/>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Name and Address</w:t>
            </w:r>
          </w:p>
        </w:tc>
        <w:tc>
          <w:tcPr>
            <w:tcW w:w="720" w:type="dxa"/>
            <w:vAlign w:val="bottom"/>
          </w:tcPr>
          <w:p>
            <w:pPr>
              <w:spacing w:after="0"/>
              <w:rPr>
                <w:sz w:val="24"/>
                <w:szCs w:val="24"/>
                <w:color w:val="auto"/>
              </w:rPr>
            </w:pPr>
          </w:p>
        </w:tc>
        <w:tc>
          <w:tcPr>
            <w:tcW w:w="2140" w:type="dxa"/>
            <w:vAlign w:val="bottom"/>
          </w:tcPr>
          <w:p>
            <w:pPr>
              <w:jc w:val="center"/>
              <w:ind w:right="30"/>
              <w:spacing w:after="0"/>
              <w:rPr>
                <w:sz w:val="20"/>
                <w:szCs w:val="20"/>
                <w:color w:val="auto"/>
              </w:rPr>
            </w:pPr>
            <w:r>
              <w:rPr>
                <w:rFonts w:ascii="Arial" w:cs="Arial" w:eastAsia="Arial" w:hAnsi="Arial"/>
                <w:sz w:val="18"/>
                <w:szCs w:val="18"/>
                <w:b w:val="1"/>
                <w:bCs w:val="1"/>
                <w:color w:val="auto"/>
              </w:rPr>
              <w:t>Beneficially Owned</w:t>
            </w:r>
          </w:p>
        </w:tc>
        <w:tc>
          <w:tcPr>
            <w:tcW w:w="2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Lilly Endowment Inc. (the Endowment)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1</w:t>
            </w:r>
          </w:p>
        </w:tc>
        <w:tc>
          <w:tcPr>
            <w:tcW w:w="214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92,190,516</w:t>
            </w:r>
          </w:p>
        </w:tc>
        <w:tc>
          <w:tcPr>
            <w:tcW w:w="2080" w:type="dxa"/>
            <w:vAlign w:val="bottom"/>
            <w:vMerge w:val="restart"/>
          </w:tcPr>
          <w:p>
            <w:pPr>
              <w:jc w:val="right"/>
              <w:ind w:right="6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90"/>
        </w:trPr>
        <w:tc>
          <w:tcPr>
            <w:tcW w:w="3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5408930" cy="45466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408930" cy="4546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2801 North Meridian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Indianapolis, IN 46208</w:t>
      </w:r>
    </w:p>
    <w:p>
      <w:pPr>
        <w:sectPr>
          <w:pgSz w:w="11900" w:h="16838" w:orient="portrait"/>
          <w:cols w:equalWidth="0" w:num="1">
            <w:col w:w="11220"/>
          </w:cols>
          <w:pgMar w:left="320" w:top="989" w:right="35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Vanguard Group</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Vanguard Blvd.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Malvern, PA 19355</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BlackRock,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 East 52nd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New York, NY 10055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-81915</wp:posOffset>
            </wp:positionV>
            <wp:extent cx="5408930" cy="44577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40893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2540" w:val="left"/>
        </w:tabs>
        <w:rPr>
          <w:sz w:val="20"/>
          <w:szCs w:val="20"/>
          <w:color w:val="auto"/>
        </w:rPr>
      </w:pPr>
      <w:r>
        <w:rPr>
          <w:rFonts w:ascii="Arial" w:cs="Arial" w:eastAsia="Arial" w:hAnsi="Arial"/>
          <w:sz w:val="17"/>
          <w:szCs w:val="17"/>
          <w:color w:val="auto"/>
        </w:rPr>
        <w:t>80,952,595</w:t>
      </w:r>
      <w:r>
        <w:rPr>
          <w:sz w:val="20"/>
          <w:szCs w:val="20"/>
          <w:color w:val="auto"/>
        </w:rPr>
        <w:tab/>
      </w:r>
      <w:r>
        <w:rPr>
          <w:rFonts w:ascii="Arial" w:cs="Arial" w:eastAsia="Arial" w:hAnsi="Arial"/>
          <w:sz w:val="17"/>
          <w:szCs w:val="17"/>
          <w:color w:val="auto"/>
        </w:rPr>
        <w:t>8.6%</w:t>
      </w:r>
    </w:p>
    <w:p>
      <w:pPr>
        <w:spacing w:after="0" w:line="200" w:lineRule="exact"/>
        <w:rPr>
          <w:sz w:val="20"/>
          <w:szCs w:val="20"/>
          <w:color w:val="auto"/>
        </w:rPr>
      </w:pPr>
    </w:p>
    <w:p>
      <w:pPr>
        <w:spacing w:after="0" w:line="307" w:lineRule="exact"/>
        <w:rPr>
          <w:sz w:val="20"/>
          <w:szCs w:val="20"/>
          <w:color w:val="auto"/>
        </w:rPr>
      </w:pPr>
    </w:p>
    <w:p>
      <w:pPr>
        <w:spacing w:after="0"/>
        <w:tabs>
          <w:tab w:leader="none" w:pos="2540" w:val="left"/>
        </w:tabs>
        <w:rPr>
          <w:sz w:val="20"/>
          <w:szCs w:val="20"/>
          <w:color w:val="auto"/>
        </w:rPr>
      </w:pPr>
      <w:r>
        <w:rPr>
          <w:rFonts w:ascii="Arial" w:cs="Arial" w:eastAsia="Arial" w:hAnsi="Arial"/>
          <w:sz w:val="17"/>
          <w:szCs w:val="17"/>
          <w:color w:val="auto"/>
        </w:rPr>
        <w:t>64,376,027</w:t>
      </w:r>
      <w:r>
        <w:rPr>
          <w:sz w:val="20"/>
          <w:szCs w:val="20"/>
          <w:color w:val="auto"/>
        </w:rPr>
        <w:tab/>
      </w:r>
      <w:r>
        <w:rPr>
          <w:rFonts w:ascii="Arial" w:cs="Arial" w:eastAsia="Arial" w:hAnsi="Arial"/>
          <w:sz w:val="17"/>
          <w:szCs w:val="17"/>
          <w:color w:val="auto"/>
        </w:rPr>
        <w:t>6.8%</w:t>
      </w:r>
    </w:p>
    <w:p>
      <w:pPr>
        <w:spacing w:after="0" w:line="491" w:lineRule="exact"/>
        <w:rPr>
          <w:sz w:val="20"/>
          <w:szCs w:val="20"/>
          <w:color w:val="auto"/>
        </w:rPr>
      </w:pPr>
    </w:p>
    <w:p>
      <w:pPr>
        <w:sectPr>
          <w:pgSz w:w="11900" w:h="16838" w:orient="portrait"/>
          <w:cols w:equalWidth="0" w:num="3">
            <w:col w:w="3320" w:space="720"/>
            <w:col w:w="100" w:space="720"/>
            <w:col w:w="6360"/>
          </w:cols>
          <w:pgMar w:left="320" w:top="989" w:right="359" w:bottom="1440" w:gutter="0" w:footer="0" w:header="0"/>
          <w:type w:val="continuous"/>
        </w:sectPr>
      </w:pPr>
    </w:p>
    <w:tbl>
      <w:tblPr>
        <w:tblLayout w:type="fixed"/>
        <w:tblInd w:w="20" w:type="dxa"/>
        <w:tblCellMar>
          <w:top w:w="0" w:type="dxa"/>
          <w:left w:w="0" w:type="dxa"/>
          <w:bottom w:w="0" w:type="dxa"/>
          <w:right w:w="0" w:type="dxa"/>
        </w:tblCellMar>
      </w:tblPr>
      <w:tr>
        <w:trPr>
          <w:trHeight w:val="152"/>
        </w:trPr>
        <w:tc>
          <w:tcPr>
            <w:tcW w:w="3620" w:type="dxa"/>
            <w:vAlign w:val="bottom"/>
            <w:vMerge w:val="restart"/>
          </w:tcPr>
          <w:p>
            <w:pPr>
              <w:spacing w:after="0"/>
              <w:rPr>
                <w:sz w:val="20"/>
                <w:szCs w:val="20"/>
                <w:color w:val="auto"/>
              </w:rPr>
            </w:pPr>
            <w:r>
              <w:rPr>
                <w:rFonts w:ascii="Arial" w:cs="Arial" w:eastAsia="Arial" w:hAnsi="Arial"/>
                <w:sz w:val="18"/>
                <w:szCs w:val="18"/>
                <w:color w:val="auto"/>
              </w:rPr>
              <w:t>The PNC Financial Services Group, Inc.</w:t>
            </w:r>
          </w:p>
        </w:tc>
        <w:tc>
          <w:tcPr>
            <w:tcW w:w="840" w:type="dxa"/>
            <w:vAlign w:val="bottom"/>
          </w:tcPr>
          <w:p>
            <w:pPr>
              <w:jc w:val="right"/>
              <w:ind w:right="302"/>
              <w:spacing w:after="0"/>
              <w:rPr>
                <w:sz w:val="20"/>
                <w:szCs w:val="20"/>
                <w:color w:val="auto"/>
              </w:rPr>
            </w:pPr>
            <w:r>
              <w:rPr>
                <w:rFonts w:ascii="Arial" w:cs="Arial" w:eastAsia="Arial" w:hAnsi="Arial"/>
                <w:sz w:val="12"/>
                <w:szCs w:val="12"/>
                <w:color w:val="auto"/>
              </w:rPr>
              <w:t>4</w:t>
            </w:r>
          </w:p>
        </w:tc>
        <w:tc>
          <w:tcPr>
            <w:tcW w:w="2100" w:type="dxa"/>
            <w:vAlign w:val="bottom"/>
            <w:vMerge w:val="restart"/>
          </w:tcPr>
          <w:p>
            <w:pPr>
              <w:jc w:val="right"/>
              <w:ind w:right="730"/>
              <w:spacing w:after="0"/>
              <w:rPr>
                <w:sz w:val="20"/>
                <w:szCs w:val="20"/>
                <w:color w:val="auto"/>
              </w:rPr>
            </w:pPr>
            <w:r>
              <w:rPr>
                <w:rFonts w:ascii="Arial" w:cs="Arial" w:eastAsia="Arial" w:hAnsi="Arial"/>
                <w:sz w:val="18"/>
                <w:szCs w:val="18"/>
                <w:color w:val="auto"/>
              </w:rPr>
              <w:t>51,153,837</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98"/>
        </w:trPr>
        <w:tc>
          <w:tcPr>
            <w:tcW w:w="36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300 Fifth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Pittsburgh, PA 15222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40893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Percent of class is calculated based on the shares of our common stock outstanding as of February 25, 2026.</w:t>
      </w:r>
    </w:p>
    <w:p>
      <w:pPr>
        <w:spacing w:after="0" w:line="117" w:lineRule="exact"/>
        <w:rPr>
          <w:sz w:val="20"/>
          <w:szCs w:val="20"/>
          <w:color w:val="auto"/>
        </w:rPr>
      </w:pPr>
    </w:p>
    <w:p>
      <w:pPr>
        <w:ind w:left="180" w:right="200" w:hanging="172"/>
        <w:spacing w:after="0" w:line="231" w:lineRule="auto"/>
        <w:tabs>
          <w:tab w:leader="none" w:pos="213" w:val="left"/>
        </w:tabs>
        <w:numPr>
          <w:ilvl w:val="0"/>
          <w:numId w:val="114"/>
        </w:numPr>
        <w:rPr>
          <w:rFonts w:ascii="Arial" w:cs="Arial" w:eastAsia="Arial" w:hAnsi="Arial"/>
          <w:sz w:val="23"/>
          <w:szCs w:val="23"/>
          <w:color w:val="auto"/>
          <w:vertAlign w:val="superscript"/>
        </w:rPr>
      </w:pPr>
      <w:r>
        <w:rPr>
          <w:rFonts w:ascii="Arial" w:cs="Arial" w:eastAsia="Arial" w:hAnsi="Arial"/>
          <w:sz w:val="18"/>
          <w:szCs w:val="18"/>
          <w:color w:val="auto"/>
        </w:rPr>
        <w:t>Based on information provided to Lilly by the Endowment as of December 31, 2025, and a Schedule 13G/A filed by the Endowment with the SEC on January 23, 2026, the Endowment has sole voting and sole dispositive power with respect to all of its shares.</w:t>
      </w:r>
    </w:p>
    <w:p>
      <w:pPr>
        <w:spacing w:after="0" w:line="86" w:lineRule="exact"/>
        <w:rPr>
          <w:sz w:val="20"/>
          <w:szCs w:val="20"/>
          <w:color w:val="auto"/>
        </w:rPr>
      </w:pPr>
    </w:p>
    <w:p>
      <w:pPr>
        <w:jc w:val="both"/>
        <w:ind w:left="180" w:right="20" w:hanging="172"/>
        <w:spacing w:after="0" w:line="237" w:lineRule="auto"/>
        <w:tabs>
          <w:tab w:leader="none" w:pos="213"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Based solely on the Schedule 13G/A filed with the SEC on October 30, 2025, reporting beneficial ownership as of September 30, 2025, by The Vanguard Group, it has shared voting power with respect to 4,843,238 of its shares, sole dispositive power with respect to 73,223,987 of its shares, and shared dispositive power with respect to 7,728,608 of its shares.</w:t>
      </w:r>
    </w:p>
    <w:p>
      <w:pPr>
        <w:spacing w:after="0" w:line="86" w:lineRule="exact"/>
        <w:rPr>
          <w:sz w:val="20"/>
          <w:szCs w:val="20"/>
          <w:color w:val="auto"/>
        </w:rPr>
      </w:pPr>
    </w:p>
    <w:p>
      <w:pPr>
        <w:jc w:val="both"/>
        <w:ind w:left="180" w:right="80" w:hanging="172"/>
        <w:spacing w:after="0" w:line="237" w:lineRule="auto"/>
        <w:tabs>
          <w:tab w:leader="none" w:pos="213"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Based solely on the Schedule 13G/A filed with the SEC on January 29, 2024, reporting beneficial ownership as of December 31, 2023, by BlackRock, Inc., it has sole voting power with respect to 58,375,051 of its shares and sole dispositive power with respect to 64,376,027 of its shares.</w:t>
      </w:r>
    </w:p>
    <w:p>
      <w:pPr>
        <w:spacing w:after="0" w:line="86" w:lineRule="exact"/>
        <w:rPr>
          <w:sz w:val="20"/>
          <w:szCs w:val="20"/>
          <w:color w:val="auto"/>
        </w:rPr>
      </w:pPr>
    </w:p>
    <w:p>
      <w:pPr>
        <w:ind w:left="180" w:hanging="172"/>
        <w:spacing w:after="0" w:line="245" w:lineRule="auto"/>
        <w:tabs>
          <w:tab w:leader="none" w:pos="213" w:val="left"/>
        </w:tabs>
        <w:numPr>
          <w:ilvl w:val="0"/>
          <w:numId w:val="117"/>
        </w:numPr>
        <w:rPr>
          <w:rFonts w:ascii="Arial" w:cs="Arial" w:eastAsia="Arial" w:hAnsi="Arial"/>
          <w:sz w:val="23"/>
          <w:szCs w:val="23"/>
          <w:color w:val="auto"/>
          <w:vertAlign w:val="superscript"/>
        </w:rPr>
      </w:pPr>
      <w:r>
        <w:rPr>
          <w:rFonts w:ascii="Arial" w:cs="Arial" w:eastAsia="Arial" w:hAnsi="Arial"/>
          <w:sz w:val="18"/>
          <w:szCs w:val="18"/>
          <w:color w:val="auto"/>
        </w:rPr>
        <w:t>Based solely on the Schedule 13G/A filed with the SEC on February 7, 2025, by The PNC Financial Services Group, Inc.; PNC Bank, National Association; PNC Delaware Trust Company; PNC Ohio Trust Company; and PNC Investments LLC (collectively, PNC), PNC beneficially owns 51,153,837 shares in total. PNC has sole voting power with respect to 1,128,657 of its shares and shared voting power with respect to 50,004,717 of its shares. PNC has sole dispositive power with respect to 881,684 of its shares and shared dispositive power with respect to 50,229,518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pacing w:after="0" w:line="34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Delinquent Section 16(a) Reports</w:t>
      </w:r>
    </w:p>
    <w:p>
      <w:pPr>
        <w:spacing w:after="0" w:line="7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a registered class of our equity securities to file reports of ownership of, and transactions in, our equity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47" w:name="page48"/>
    <w:bookmarkEnd w:id="47"/>
    <w:p>
      <w:pPr>
        <w:ind w:right="420"/>
        <w:spacing w:after="0" w:line="287" w:lineRule="auto"/>
        <w:rPr>
          <w:sz w:val="20"/>
          <w:szCs w:val="20"/>
          <w:color w:val="auto"/>
        </w:rPr>
      </w:pPr>
      <w:r>
        <w:rPr>
          <w:rFonts w:ascii="Arial" w:cs="Arial" w:eastAsia="Arial" w:hAnsi="Arial"/>
          <w:sz w:val="18"/>
          <w:szCs w:val="18"/>
          <w:color w:val="auto"/>
        </w:rPr>
        <w:t>securities with the SEC. Based on a review of the copies of these reports, and on written representations from our reporting persons, we believe that all such reports were timely filed.</w:t>
      </w:r>
    </w:p>
    <w:p>
      <w:pPr>
        <w:spacing w:after="0" w:line="77"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Compensation</w:t>
      </w:r>
    </w:p>
    <w:p>
      <w:pPr>
        <w:spacing w:after="0" w:line="200" w:lineRule="exact"/>
        <w:rPr>
          <w:sz w:val="20"/>
          <w:szCs w:val="20"/>
          <w:color w:val="auto"/>
        </w:rPr>
      </w:pPr>
    </w:p>
    <w:p>
      <w:pPr>
        <w:spacing w:after="0" w:line="211" w:lineRule="exact"/>
        <w:rPr>
          <w:sz w:val="20"/>
          <w:szCs w:val="20"/>
          <w:color w:val="auto"/>
        </w:rPr>
      </w:pPr>
    </w:p>
    <w:p>
      <w:pPr>
        <w:ind w:right="1200"/>
        <w:spacing w:after="0" w:line="276" w:lineRule="auto"/>
        <w:rPr>
          <w:sz w:val="20"/>
          <w:szCs w:val="20"/>
          <w:color w:val="auto"/>
        </w:rPr>
      </w:pPr>
      <w:r>
        <w:rPr>
          <w:rFonts w:ascii="Arial" w:cs="Arial" w:eastAsia="Arial" w:hAnsi="Arial"/>
          <w:sz w:val="32"/>
          <w:szCs w:val="32"/>
          <w:b w:val="1"/>
          <w:bCs w:val="1"/>
          <w:color w:val="D52B1E"/>
        </w:rPr>
        <w:t>Item 2. Advisory Vote on Compensation Paid to Named Executive Officers</w:t>
      </w:r>
    </w:p>
    <w:p>
      <w:pPr>
        <w:spacing w:after="0" w:line="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Section 14A of the Exchange Act provides the company’s shareholders with the opportunity to approve, on an advisory basis, the compensation of the company’s named executive officers as disclosed in this proxy statement. Our compensation philosophy is designed to attract, engage, and retain highly talented individuals from a variety of backgrounds and motivate them to create long-term shareholder value by achieving top-tier corporate performance while embracing the company’s core values of integrity, excellence, and respect for people.</w:t>
      </w:r>
    </w:p>
    <w:p>
      <w:pPr>
        <w:spacing w:after="0" w:line="12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Talent and Compensation Committee and the board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request shareholder approval, on an advisory basis, of the compensation of the company’s named executive officers as disclosed in this proxy statement. As an advisory vote, this proposal is not binding on the company. However, the Talent and Compensation Committee values input from shareholders and will consider the outcome of the vote when making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760720" cy="8661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760720" cy="866140"/>
                    </a:xfrm>
                    <a:prstGeom prst="rect">
                      <a:avLst/>
                    </a:prstGeom>
                    <a:noFill/>
                  </pic:spPr>
                </pic:pic>
              </a:graphicData>
            </a:graphic>
          </wp:anchor>
        </w:drawing>
      </w:r>
    </w:p>
    <w:p>
      <w:pPr>
        <w:spacing w:after="0" w:line="227"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200"/>
        <w:spacing w:after="0" w:line="273"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on an advisory basis, of the compensation paid to the named executive officers, as disclosed pursuant to Item 402 of Regulation S-K, including the CD&amp;A, the compensation tables, and related narratives provided below in this proxy statement.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Talent and Compensation Committee Matters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Independent Consultant in Assessing Executive Compensation</w:t>
      </w:r>
    </w:p>
    <w:p>
      <w:pPr>
        <w:spacing w:after="0" w:line="5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Talent and Compensation Committee has retained Frederic W. Cook &amp; Co., Inc. (FW Cook) as its independent compensation consultant. FW Cook reports directly to the Talent and Compensation Committee, and it is not permitted to have any business or personal relationship with management or members of the Talent and Compensation Committee. FW Cook’s responsibilities are to:</w:t>
      </w:r>
    </w:p>
    <w:p>
      <w:pPr>
        <w:spacing w:after="0" w:line="117" w:lineRule="exact"/>
        <w:rPr>
          <w:sz w:val="20"/>
          <w:szCs w:val="20"/>
          <w:color w:val="auto"/>
        </w:rPr>
      </w:pPr>
    </w:p>
    <w:p>
      <w:pPr>
        <w:ind w:left="500" w:right="900" w:hanging="330"/>
        <w:spacing w:after="0" w:line="287" w:lineRule="auto"/>
        <w:tabs>
          <w:tab w:leader="none" w:pos="489" w:val="left"/>
        </w:tabs>
        <w:numPr>
          <w:ilvl w:val="0"/>
          <w:numId w:val="118"/>
        </w:numPr>
        <w:rPr>
          <w:rFonts w:ascii="Arial" w:cs="Arial" w:eastAsia="Arial" w:hAnsi="Arial"/>
          <w:sz w:val="16"/>
          <w:szCs w:val="16"/>
          <w:color w:val="auto"/>
        </w:rPr>
      </w:pPr>
      <w:r>
        <w:rPr>
          <w:rFonts w:ascii="Arial" w:cs="Arial" w:eastAsia="Arial" w:hAnsi="Arial"/>
          <w:sz w:val="18"/>
          <w:szCs w:val="18"/>
          <w:color w:val="auto"/>
        </w:rPr>
        <w:t>review the company’s total compensation philosophy, peer group, and target competitive positioning for reasonableness and appropriateness;</w:t>
      </w:r>
    </w:p>
    <w:p>
      <w:pPr>
        <w:spacing w:after="0" w:line="98" w:lineRule="exact"/>
        <w:rPr>
          <w:rFonts w:ascii="Arial" w:cs="Arial" w:eastAsia="Arial" w:hAnsi="Arial"/>
          <w:sz w:val="16"/>
          <w:szCs w:val="16"/>
          <w:color w:val="auto"/>
        </w:rPr>
      </w:pPr>
    </w:p>
    <w:p>
      <w:pPr>
        <w:ind w:left="500" w:right="800" w:hanging="330"/>
        <w:spacing w:after="0" w:line="287" w:lineRule="auto"/>
        <w:tabs>
          <w:tab w:leader="none" w:pos="489" w:val="left"/>
        </w:tabs>
        <w:numPr>
          <w:ilvl w:val="0"/>
          <w:numId w:val="118"/>
        </w:numPr>
        <w:rPr>
          <w:rFonts w:ascii="Arial" w:cs="Arial" w:eastAsia="Arial" w:hAnsi="Arial"/>
          <w:sz w:val="16"/>
          <w:szCs w:val="16"/>
          <w:color w:val="auto"/>
        </w:rPr>
      </w:pPr>
      <w:r>
        <w:rPr>
          <w:rFonts w:ascii="Arial" w:cs="Arial" w:eastAsia="Arial" w:hAnsi="Arial"/>
          <w:sz w:val="18"/>
          <w:szCs w:val="18"/>
          <w:color w:val="auto"/>
        </w:rPr>
        <w:t>review the company’s executive compensation program and advise the Talent and Compensation Committee of evolving best practices;</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18"/>
        </w:numPr>
        <w:rPr>
          <w:rFonts w:ascii="Arial" w:cs="Arial" w:eastAsia="Arial" w:hAnsi="Arial"/>
          <w:sz w:val="16"/>
          <w:szCs w:val="16"/>
          <w:color w:val="auto"/>
        </w:rPr>
      </w:pPr>
      <w:r>
        <w:rPr>
          <w:rFonts w:ascii="Arial" w:cs="Arial" w:eastAsia="Arial" w:hAnsi="Arial"/>
          <w:sz w:val="18"/>
          <w:szCs w:val="18"/>
          <w:color w:val="auto"/>
        </w:rPr>
        <w:t>provide independent analyses and recommendations to the Talent and Compensation Committee on the CEO’s pay;</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8"/>
        </w:numPr>
        <w:rPr>
          <w:rFonts w:ascii="Arial" w:cs="Arial" w:eastAsia="Arial" w:hAnsi="Arial"/>
          <w:sz w:val="16"/>
          <w:szCs w:val="16"/>
          <w:color w:val="auto"/>
        </w:rPr>
      </w:pPr>
      <w:r>
        <w:rPr>
          <w:rFonts w:ascii="Arial" w:cs="Arial" w:eastAsia="Arial" w:hAnsi="Arial"/>
          <w:sz w:val="18"/>
          <w:szCs w:val="18"/>
          <w:color w:val="auto"/>
        </w:rPr>
        <w:t>review the CD&amp;A and related tables for the proxy statement;</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8"/>
        </w:numPr>
        <w:rPr>
          <w:rFonts w:ascii="Arial" w:cs="Arial" w:eastAsia="Arial" w:hAnsi="Arial"/>
          <w:sz w:val="16"/>
          <w:szCs w:val="16"/>
          <w:color w:val="auto"/>
        </w:rPr>
      </w:pPr>
      <w:r>
        <w:rPr>
          <w:rFonts w:ascii="Arial" w:cs="Arial" w:eastAsia="Arial" w:hAnsi="Arial"/>
          <w:sz w:val="18"/>
          <w:szCs w:val="18"/>
          <w:color w:val="auto"/>
        </w:rPr>
        <w:t>proactively advise the Talent and Compensation Committee on best practices for board governance of executive compensation; and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8"/>
        </w:numPr>
        <w:rPr>
          <w:rFonts w:ascii="Arial" w:cs="Arial" w:eastAsia="Arial" w:hAnsi="Arial"/>
          <w:sz w:val="16"/>
          <w:szCs w:val="16"/>
          <w:color w:val="auto"/>
        </w:rPr>
      </w:pPr>
      <w:r>
        <w:rPr>
          <w:rFonts w:ascii="Arial" w:cs="Arial" w:eastAsia="Arial" w:hAnsi="Arial"/>
          <w:sz w:val="18"/>
          <w:szCs w:val="18"/>
          <w:color w:val="auto"/>
        </w:rPr>
        <w:t>undertake special projects at the request of the Talent and Compensation Committee or its chair.</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ind w:right="640"/>
        <w:spacing w:after="0" w:line="287" w:lineRule="auto"/>
        <w:rPr>
          <w:sz w:val="20"/>
          <w:szCs w:val="20"/>
          <w:color w:val="auto"/>
        </w:rPr>
      </w:pPr>
      <w:r>
        <w:rPr>
          <w:rFonts w:ascii="Arial" w:cs="Arial" w:eastAsia="Arial" w:hAnsi="Arial"/>
          <w:sz w:val="18"/>
          <w:szCs w:val="18"/>
          <w:color w:val="auto"/>
        </w:rPr>
        <w:t>FW Cook interacts directly with members of company management only on matters under the Talent and Compensation Committee’s oversight and with the knowledge and approval of the Talent and Compensation Committee chair.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Executive Officers and Management in Assessing Executive Compensation</w:t>
      </w:r>
    </w:p>
    <w:p>
      <w:pPr>
        <w:spacing w:after="0" w:line="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With the oversight of the CEO and the Chief People Officer, the company’s global compensation group formulates recommendations on compensation philosophy, plan design, and compensation for executive officers (other than the CEO, as noted below). The CEO provides the Talent and Compensation Committee with a performance assessment and compensation recommendation for each of the other executive officers. The Talent and Compensation Committee considers those recommendations with the assistance of its independent compensation consultant FW Cook. The CEO and the Chief People Officer attend Talent and Compensation Committee meetings; however, they are not present for executive sessions or any discussion of their own compensation. Only non-employee directors and the Talent and Compensation Committee’s consultant attend executive sessions.</w:t>
      </w:r>
    </w:p>
    <w:p>
      <w:pPr>
        <w:spacing w:after="0" w:line="129" w:lineRule="exact"/>
        <w:rPr>
          <w:sz w:val="20"/>
          <w:szCs w:val="20"/>
          <w:color w:val="auto"/>
        </w:rPr>
      </w:pPr>
    </w:p>
    <w:p>
      <w:pPr>
        <w:ind w:right="1280"/>
        <w:spacing w:after="0" w:line="287" w:lineRule="auto"/>
        <w:rPr>
          <w:sz w:val="20"/>
          <w:szCs w:val="20"/>
          <w:color w:val="auto"/>
        </w:rPr>
      </w:pPr>
      <w:r>
        <w:rPr>
          <w:rFonts w:ascii="Arial" w:cs="Arial" w:eastAsia="Arial" w:hAnsi="Arial"/>
          <w:sz w:val="18"/>
          <w:szCs w:val="18"/>
          <w:color w:val="auto"/>
        </w:rPr>
        <w:t>The CEO does not participate in the formulation or discussion of his pay recommendations. He has no prior knowledge of the recommendations that FW Cook makes to the Talent and Compensation Committee.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Assessment Process</w:t>
      </w:r>
    </w:p>
    <w:p>
      <w:pPr>
        <w:spacing w:after="0" w:line="54"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In 2025, with consultation from the independent compensation consultant, the Talent and Compensation Committee reviewed the company’s compensation policies and practices and concluded that the programs and practices are unlikely to have a material adverse effect on the company. The Talent and Compensation Committee noted numerous policy and design features of the company’s compensation programs and governance structure that reduce the likelihood of inappropriate or excessive risk-taking, including, but not limited to:</w:t>
      </w:r>
    </w:p>
    <w:p>
      <w:pPr>
        <w:spacing w:after="0" w:line="107" w:lineRule="exact"/>
        <w:rPr>
          <w:sz w:val="20"/>
          <w:szCs w:val="20"/>
          <w:color w:val="auto"/>
        </w:rPr>
      </w:pPr>
    </w:p>
    <w:p>
      <w:pPr>
        <w:ind w:left="480" w:hanging="310"/>
        <w:spacing w:after="0"/>
        <w:tabs>
          <w:tab w:leader="none" w:pos="480" w:val="left"/>
        </w:tabs>
        <w:numPr>
          <w:ilvl w:val="0"/>
          <w:numId w:val="119"/>
        </w:numPr>
        <w:rPr>
          <w:rFonts w:ascii="Arial" w:cs="Arial" w:eastAsia="Arial" w:hAnsi="Arial"/>
          <w:sz w:val="16"/>
          <w:szCs w:val="16"/>
          <w:color w:val="auto"/>
        </w:rPr>
      </w:pPr>
      <w:r>
        <w:rPr>
          <w:rFonts w:ascii="Arial" w:cs="Arial" w:eastAsia="Arial" w:hAnsi="Arial"/>
          <w:sz w:val="18"/>
          <w:szCs w:val="18"/>
          <w:color w:val="auto"/>
        </w:rPr>
        <w:t>Only independent directors serve on the Talent and Compensation Committee.</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9"/>
        </w:numPr>
        <w:rPr>
          <w:rFonts w:ascii="Arial" w:cs="Arial" w:eastAsia="Arial" w:hAnsi="Arial"/>
          <w:sz w:val="16"/>
          <w:szCs w:val="16"/>
          <w:color w:val="auto"/>
        </w:rPr>
      </w:pPr>
      <w:r>
        <w:rPr>
          <w:rFonts w:ascii="Arial" w:cs="Arial" w:eastAsia="Arial" w:hAnsi="Arial"/>
          <w:sz w:val="18"/>
          <w:szCs w:val="18"/>
          <w:color w:val="auto"/>
        </w:rPr>
        <w:t>The Talent and Compensation Committee engages its own independent compensation consultant.</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9"/>
        </w:numPr>
        <w:rPr>
          <w:rFonts w:ascii="Arial" w:cs="Arial" w:eastAsia="Arial" w:hAnsi="Arial"/>
          <w:sz w:val="16"/>
          <w:szCs w:val="16"/>
          <w:color w:val="auto"/>
        </w:rPr>
      </w:pPr>
      <w:r>
        <w:rPr>
          <w:rFonts w:ascii="Arial" w:cs="Arial" w:eastAsia="Arial" w:hAnsi="Arial"/>
          <w:sz w:val="18"/>
          <w:szCs w:val="18"/>
          <w:color w:val="auto"/>
        </w:rPr>
        <w:t>The Talent and Compensation Committee has downward discretion to lower compensation plan payouts.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9"/>
        </w:numPr>
        <w:rPr>
          <w:rFonts w:ascii="Arial" w:cs="Arial" w:eastAsia="Arial" w:hAnsi="Arial"/>
          <w:sz w:val="16"/>
          <w:szCs w:val="16"/>
          <w:color w:val="auto"/>
        </w:rPr>
      </w:pPr>
      <w:r>
        <w:rPr>
          <w:rFonts w:ascii="Arial" w:cs="Arial" w:eastAsia="Arial" w:hAnsi="Arial"/>
          <w:sz w:val="18"/>
          <w:szCs w:val="18"/>
          <w:color w:val="auto"/>
        </w:rPr>
        <w:t>The Talent and Compensation Committee approves all adjustments to financial results that affect compensation calculations.</w:t>
      </w:r>
    </w:p>
    <w:p>
      <w:pPr>
        <w:spacing w:after="0" w:line="171" w:lineRule="exact"/>
        <w:rPr>
          <w:rFonts w:ascii="Arial" w:cs="Arial" w:eastAsia="Arial" w:hAnsi="Arial"/>
          <w:sz w:val="16"/>
          <w:szCs w:val="16"/>
          <w:color w:val="auto"/>
        </w:rPr>
      </w:pPr>
    </w:p>
    <w:p>
      <w:pPr>
        <w:ind w:left="500" w:right="100" w:hanging="330"/>
        <w:spacing w:after="0" w:line="287" w:lineRule="auto"/>
        <w:tabs>
          <w:tab w:leader="none" w:pos="489" w:val="left"/>
        </w:tabs>
        <w:numPr>
          <w:ilvl w:val="0"/>
          <w:numId w:val="119"/>
        </w:numPr>
        <w:rPr>
          <w:rFonts w:ascii="Arial" w:cs="Arial" w:eastAsia="Arial" w:hAnsi="Arial"/>
          <w:sz w:val="16"/>
          <w:szCs w:val="16"/>
          <w:color w:val="auto"/>
        </w:rPr>
      </w:pPr>
      <w:r>
        <w:rPr>
          <w:rFonts w:ascii="Arial" w:cs="Arial" w:eastAsia="Arial" w:hAnsi="Arial"/>
          <w:sz w:val="18"/>
          <w:szCs w:val="18"/>
          <w:color w:val="auto"/>
        </w:rPr>
        <w:t>Different measures and metrics are used across multiple incentive plans that appropriately balance cash/stock, fixed/variable pay, and short-term/long-term incentives.</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19"/>
        </w:numPr>
        <w:rPr>
          <w:rFonts w:ascii="Arial" w:cs="Arial" w:eastAsia="Arial" w:hAnsi="Arial"/>
          <w:sz w:val="16"/>
          <w:szCs w:val="16"/>
          <w:color w:val="auto"/>
        </w:rPr>
      </w:pPr>
      <w:r>
        <w:rPr>
          <w:rFonts w:ascii="Arial" w:cs="Arial" w:eastAsia="Arial" w:hAnsi="Arial"/>
          <w:sz w:val="18"/>
          <w:szCs w:val="18"/>
          <w:color w:val="auto"/>
        </w:rPr>
        <w:t>Incentive plans have predetermined maximum payouts.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19"/>
        </w:numPr>
        <w:rPr>
          <w:rFonts w:ascii="Arial" w:cs="Arial" w:eastAsia="Arial" w:hAnsi="Arial"/>
          <w:sz w:val="16"/>
          <w:szCs w:val="16"/>
          <w:color w:val="auto"/>
        </w:rPr>
      </w:pPr>
      <w:r>
        <w:rPr>
          <w:rFonts w:ascii="Arial" w:cs="Arial" w:eastAsia="Arial" w:hAnsi="Arial"/>
          <w:sz w:val="18"/>
          <w:szCs w:val="18"/>
          <w:color w:val="auto"/>
        </w:rPr>
        <w:t>Performance objectives are challenging but achievable.</w:t>
      </w:r>
    </w:p>
    <w:p>
      <w:pPr>
        <w:spacing w:after="0" w:line="171" w:lineRule="exact"/>
        <w:rPr>
          <w:rFonts w:ascii="Arial" w:cs="Arial" w:eastAsia="Arial" w:hAnsi="Arial"/>
          <w:sz w:val="16"/>
          <w:szCs w:val="16"/>
          <w:color w:val="auto"/>
        </w:rPr>
      </w:pPr>
    </w:p>
    <w:p>
      <w:pPr>
        <w:ind w:left="500" w:right="200" w:hanging="330"/>
        <w:spacing w:after="0" w:line="287" w:lineRule="auto"/>
        <w:tabs>
          <w:tab w:leader="none" w:pos="489" w:val="left"/>
        </w:tabs>
        <w:numPr>
          <w:ilvl w:val="0"/>
          <w:numId w:val="119"/>
        </w:numPr>
        <w:rPr>
          <w:rFonts w:ascii="Arial" w:cs="Arial" w:eastAsia="Arial" w:hAnsi="Arial"/>
          <w:sz w:val="16"/>
          <w:szCs w:val="16"/>
          <w:color w:val="auto"/>
        </w:rPr>
      </w:pPr>
      <w:r>
        <w:rPr>
          <w:rFonts w:ascii="Arial" w:cs="Arial" w:eastAsia="Arial" w:hAnsi="Arial"/>
          <w:sz w:val="18"/>
          <w:szCs w:val="18"/>
          <w:color w:val="auto"/>
        </w:rPr>
        <w:t>Programs with operational metrics have a continuum of payout multiples based upon achievement of performance milestones, rather than “cliffs” that might encourage suboptimal or improper behavior.</w:t>
      </w:r>
    </w:p>
    <w:p>
      <w:pPr>
        <w:spacing w:after="0" w:line="98" w:lineRule="exact"/>
        <w:rPr>
          <w:rFonts w:ascii="Arial" w:cs="Arial" w:eastAsia="Arial" w:hAnsi="Arial"/>
          <w:sz w:val="16"/>
          <w:szCs w:val="16"/>
          <w:color w:val="auto"/>
        </w:rPr>
      </w:pPr>
    </w:p>
    <w:p>
      <w:pPr>
        <w:ind w:left="500" w:right="780" w:hanging="330"/>
        <w:spacing w:after="0" w:line="287" w:lineRule="auto"/>
        <w:tabs>
          <w:tab w:leader="none" w:pos="489" w:val="left"/>
        </w:tabs>
        <w:numPr>
          <w:ilvl w:val="0"/>
          <w:numId w:val="119"/>
        </w:numPr>
        <w:rPr>
          <w:rFonts w:ascii="Arial" w:cs="Arial" w:eastAsia="Arial" w:hAnsi="Arial"/>
          <w:sz w:val="16"/>
          <w:szCs w:val="16"/>
          <w:color w:val="auto"/>
        </w:rPr>
      </w:pPr>
      <w:r>
        <w:rPr>
          <w:rFonts w:ascii="Arial" w:cs="Arial" w:eastAsia="Arial" w:hAnsi="Arial"/>
          <w:sz w:val="18"/>
          <w:szCs w:val="18"/>
          <w:color w:val="auto"/>
        </w:rPr>
        <w:t>A compensation recovery policy is in place that complies with applicable NYSE listing standards, and additionally provides for discretionary recoupment in the event of misconduct.</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19"/>
        </w:numPr>
        <w:rPr>
          <w:rFonts w:ascii="Arial" w:cs="Arial" w:eastAsia="Arial" w:hAnsi="Arial"/>
          <w:sz w:val="16"/>
          <w:szCs w:val="16"/>
          <w:color w:val="auto"/>
        </w:rPr>
      </w:pPr>
      <w:r>
        <w:rPr>
          <w:rFonts w:ascii="Arial" w:cs="Arial" w:eastAsia="Arial" w:hAnsi="Arial"/>
          <w:sz w:val="18"/>
          <w:szCs w:val="18"/>
          <w:color w:val="auto"/>
        </w:rPr>
        <w:t>Meaningful share ownership and retention requirements are in place for all members of senior management and the board.</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Talent and Compensation Committee Report</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Talent and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Talent and Compensation Committee has reviewed and discussed the CD&amp;A with management. Based on this discussion, the Talent and Compensation Committee recommended to the board that the CD&amp;A be included in this proxy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9" w:name="page50"/>
    <w:bookmarkEnd w:id="49"/>
    <w:p>
      <w:pPr>
        <w:ind w:right="140"/>
        <w:spacing w:after="0" w:line="287" w:lineRule="auto"/>
        <w:rPr>
          <w:sz w:val="20"/>
          <w:szCs w:val="20"/>
          <w:color w:val="auto"/>
        </w:rPr>
      </w:pPr>
      <w:r>
        <w:rPr>
          <w:rFonts w:ascii="Arial" w:cs="Arial" w:eastAsia="Arial" w:hAnsi="Arial"/>
          <w:sz w:val="18"/>
          <w:szCs w:val="18"/>
          <w:color w:val="auto"/>
        </w:rPr>
        <w:t>statement and incorporated by reference into the company’s Annual Report on Form 10-K for the fiscal year ended December 31, 2025, for filing with the SEC.</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Talent and Compensation Committee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Ralph Alvarez,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 Erik Fyrwald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Kimberly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Juan Luciano</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Talent and Compensation Committee Interlocks and Insider Participation</w:t>
      </w:r>
    </w:p>
    <w:p>
      <w:pPr>
        <w:spacing w:after="0" w:line="1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During the year ended December 31, 2025, Mr. Alvarez, Mr. Fyrwald, Ms. Johnson, and Mr. Luciano served on the Talent and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 of the Talent and Compensation Committee members:</w:t>
      </w:r>
    </w:p>
    <w:p>
      <w:pPr>
        <w:spacing w:after="0" w:line="63" w:lineRule="exact"/>
        <w:rPr>
          <w:sz w:val="20"/>
          <w:szCs w:val="20"/>
          <w:color w:val="auto"/>
        </w:rPr>
      </w:pPr>
    </w:p>
    <w:p>
      <w:pPr>
        <w:ind w:left="480" w:hanging="310"/>
        <w:spacing w:after="0"/>
        <w:tabs>
          <w:tab w:leader="none" w:pos="480" w:val="left"/>
        </w:tabs>
        <w:numPr>
          <w:ilvl w:val="0"/>
          <w:numId w:val="120"/>
        </w:numPr>
        <w:rPr>
          <w:rFonts w:ascii="Arial" w:cs="Arial" w:eastAsia="Arial" w:hAnsi="Arial"/>
          <w:sz w:val="16"/>
          <w:szCs w:val="16"/>
          <w:color w:val="auto"/>
        </w:rPr>
      </w:pPr>
      <w:r>
        <w:rPr>
          <w:rFonts w:ascii="Arial" w:cs="Arial" w:eastAsia="Arial" w:hAnsi="Arial"/>
          <w:sz w:val="18"/>
          <w:szCs w:val="18"/>
          <w:color w:val="auto"/>
        </w:rPr>
        <w:t>has ever been an officer or employee of the company,</w:t>
      </w:r>
    </w:p>
    <w:p>
      <w:pPr>
        <w:spacing w:after="0" w:line="63" w:lineRule="exact"/>
        <w:rPr>
          <w:rFonts w:ascii="Arial" w:cs="Arial" w:eastAsia="Arial" w:hAnsi="Arial"/>
          <w:sz w:val="16"/>
          <w:szCs w:val="16"/>
          <w:color w:val="auto"/>
        </w:rPr>
      </w:pPr>
    </w:p>
    <w:p>
      <w:pPr>
        <w:jc w:val="both"/>
        <w:ind w:left="500" w:right="80" w:hanging="330"/>
        <w:spacing w:after="0" w:line="266" w:lineRule="auto"/>
        <w:tabs>
          <w:tab w:leader="none" w:pos="489" w:val="left"/>
        </w:tabs>
        <w:numPr>
          <w:ilvl w:val="0"/>
          <w:numId w:val="120"/>
        </w:numPr>
        <w:rPr>
          <w:rFonts w:ascii="Arial" w:cs="Arial" w:eastAsia="Arial" w:hAnsi="Arial"/>
          <w:sz w:val="16"/>
          <w:szCs w:val="16"/>
          <w:color w:val="auto"/>
        </w:rPr>
      </w:pPr>
      <w:r>
        <w:rPr>
          <w:rFonts w:ascii="Arial" w:cs="Arial" w:eastAsia="Arial" w:hAnsi="Arial"/>
          <w:sz w:val="18"/>
          <w:szCs w:val="18"/>
          <w:color w:val="auto"/>
        </w:rPr>
        <w:t>is or has been a participant in a related person transaction with the company (see “</w:t>
      </w:r>
      <w:r>
        <w:rPr>
          <w:rFonts w:ascii="Arial" w:cs="Arial" w:eastAsia="Arial" w:hAnsi="Arial"/>
          <w:sz w:val="18"/>
          <w:szCs w:val="18"/>
          <w:u w:val="single" w:color="auto"/>
          <w:color w:val="0000FF"/>
        </w:rPr>
        <w:t>Governance—How We Operate an Effective Board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—Board Alignment—Conflicts of Interest and Transactions with Related Persons—Review and Approval of Transactions with Related Persons</w:t>
      </w:r>
      <w:r>
        <w:rPr>
          <w:rFonts w:ascii="Arial" w:cs="Arial" w:eastAsia="Arial" w:hAnsi="Arial"/>
          <w:sz w:val="18"/>
          <w:szCs w:val="18"/>
          <w:color w:val="000000"/>
        </w:rPr>
        <w:t>” for a description of our policy on related person transactions), or</w:t>
      </w:r>
    </w:p>
    <w:p>
      <w:pPr>
        <w:ind w:left="480" w:hanging="310"/>
        <w:spacing w:after="0"/>
        <w:tabs>
          <w:tab w:leader="none" w:pos="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has any other interlocking relationships requiring disclosure under applicable Securities and Exchange Commission (SEC) rules.</w:t>
      </w:r>
    </w:p>
    <w:p>
      <w:pPr>
        <w:spacing w:after="0" w:line="376"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Compensation Discussion and Analysis</w:t>
      </w:r>
    </w:p>
    <w:p>
      <w:pPr>
        <w:spacing w:after="0" w:line="8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Compensation Discussion and Analysis (CD&amp;A) outlines our executive compensation philosophy, as well as the processes and considerations employed by the Talent and Compensation Committee (the Committee) in determining executive compensation, and how our pay-for-performance culture links incentive payouts to company results.</w:t>
      </w:r>
    </w:p>
    <w:p>
      <w:pPr>
        <w:spacing w:after="0" w:line="11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CD&amp;A provides compensation information for our named executive officers (NEOs) for 2025, including Chief Executive Officer, David Ricks; Chief Financial Officer, Lucas Montarce; and our next three most highly compensated executive officers: Daniel Skovronsky, Anat Hakim, and Jake Van Naarden.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section introduces each NEO and highlights 2025 performance achievements that contributed to the incentive payouts detailed in the “</w:t>
      </w:r>
      <w:r>
        <w:rPr>
          <w:rFonts w:ascii="Arial" w:cs="Arial" w:eastAsia="Arial" w:hAnsi="Arial"/>
          <w:sz w:val="18"/>
          <w:szCs w:val="18"/>
          <w:u w:val="single" w:color="auto"/>
          <w:color w:val="0000FF"/>
        </w:rPr>
        <w:t>Compensation Results</w:t>
      </w:r>
      <w:r>
        <w:rPr>
          <w:rFonts w:ascii="Arial" w:cs="Arial" w:eastAsia="Arial" w:hAnsi="Arial"/>
          <w:sz w:val="18"/>
          <w:szCs w:val="18"/>
          <w:color w:val="auto"/>
        </w:rPr>
        <w:t>”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16541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760720" cy="1654175"/>
                    </a:xfrm>
                    <a:prstGeom prst="rect">
                      <a:avLst/>
                    </a:prstGeom>
                    <a:noFill/>
                  </pic:spPr>
                </pic:pic>
              </a:graphicData>
            </a:graphic>
          </wp:anchor>
        </w:drawing>
      </w:r>
    </w:p>
    <w:p>
      <w:pPr>
        <w:spacing w:after="0" w:line="152"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0F3A85"/>
        </w:rPr>
        <w:t>Dave Ricks</w:t>
      </w:r>
    </w:p>
    <w:p>
      <w:pPr>
        <w:spacing w:after="0" w:line="24" w:lineRule="exact"/>
        <w:rPr>
          <w:sz w:val="20"/>
          <w:szCs w:val="20"/>
          <w:color w:val="auto"/>
        </w:rPr>
      </w:pPr>
    </w:p>
    <w:p>
      <w:pPr>
        <w:ind w:left="2780"/>
        <w:spacing w:after="0"/>
        <w:rPr>
          <w:sz w:val="20"/>
          <w:szCs w:val="20"/>
          <w:color w:val="auto"/>
        </w:rPr>
      </w:pPr>
      <w:r>
        <w:rPr>
          <w:rFonts w:ascii="Arial" w:cs="Arial" w:eastAsia="Arial" w:hAnsi="Arial"/>
          <w:sz w:val="18"/>
          <w:szCs w:val="18"/>
          <w:color w:val="0F3A85"/>
        </w:rPr>
        <w:t>Chair, President, and Chief Executive Officer (2017 - Present)</w:t>
      </w:r>
    </w:p>
    <w:p>
      <w:pPr>
        <w:spacing w:after="0" w:line="153" w:lineRule="exact"/>
        <w:rPr>
          <w:sz w:val="20"/>
          <w:szCs w:val="20"/>
          <w:color w:val="auto"/>
        </w:rPr>
      </w:pPr>
    </w:p>
    <w:p>
      <w:pPr>
        <w:jc w:val="both"/>
        <w:ind w:left="2780" w:right="2400"/>
        <w:spacing w:after="0" w:line="268" w:lineRule="auto"/>
        <w:rPr>
          <w:sz w:val="20"/>
          <w:szCs w:val="20"/>
          <w:color w:val="auto"/>
        </w:rPr>
      </w:pPr>
      <w:r>
        <w:rPr>
          <w:rFonts w:ascii="Arial" w:cs="Arial" w:eastAsia="Arial" w:hAnsi="Arial"/>
          <w:sz w:val="18"/>
          <w:szCs w:val="18"/>
          <w:color w:val="auto"/>
        </w:rPr>
        <w:t>In 2025, under Mr. Ricks’ leadership, Lilly generated positive clinical data in more than 25 Phase 3 trials, and reached over 71 million people around the world with our medicines. Highlights include:</w:t>
      </w:r>
    </w:p>
    <w:p>
      <w:pPr>
        <w:spacing w:after="0" w:line="9" w:lineRule="exact"/>
        <w:rPr>
          <w:sz w:val="20"/>
          <w:szCs w:val="20"/>
          <w:color w:val="auto"/>
        </w:rPr>
      </w:pPr>
    </w:p>
    <w:p>
      <w:pPr>
        <w:ind w:left="2940" w:hanging="160"/>
        <w:spacing w:after="0"/>
        <w:tabs>
          <w:tab w:leader="none" w:pos="29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Increased company revenue by 45% to $65 billion</w:t>
      </w:r>
    </w:p>
    <w:p>
      <w:pPr>
        <w:spacing w:after="0" w:line="63" w:lineRule="exact"/>
        <w:rPr>
          <w:rFonts w:ascii="Arial" w:cs="Arial" w:eastAsia="Arial" w:hAnsi="Arial"/>
          <w:sz w:val="18"/>
          <w:szCs w:val="18"/>
          <w:color w:val="auto"/>
        </w:rPr>
      </w:pPr>
    </w:p>
    <w:p>
      <w:pPr>
        <w:ind w:left="2940" w:hanging="160"/>
        <w:spacing w:after="0"/>
        <w:tabs>
          <w:tab w:leader="none" w:pos="29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Increased non-GAAP earnings per share by 86% to $24.21 per share.</w:t>
      </w:r>
    </w:p>
    <w:p>
      <w:pPr>
        <w:spacing w:after="0" w:line="63" w:lineRule="exact"/>
        <w:rPr>
          <w:rFonts w:ascii="Arial" w:cs="Arial" w:eastAsia="Arial" w:hAnsi="Arial"/>
          <w:sz w:val="18"/>
          <w:szCs w:val="18"/>
          <w:color w:val="auto"/>
        </w:rPr>
      </w:pPr>
    </w:p>
    <w:p>
      <w:pPr>
        <w:jc w:val="both"/>
        <w:ind w:left="2940" w:right="2460" w:hanging="160"/>
        <w:spacing w:after="0" w:line="268" w:lineRule="auto"/>
        <w:tabs>
          <w:tab w:leader="none" w:pos="293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Obtained FDA approvals for Omvoh for Crohn's disease, Inluriyo for ER+ breast cancer, Amyvid for Alzheimer’s disease diagnosis, and Kisunla for early symptomatic Alzheimer’s disease</w:t>
      </w:r>
    </w:p>
    <w:p>
      <w:pPr>
        <w:spacing w:after="0" w:line="8" w:lineRule="exact"/>
        <w:rPr>
          <w:rFonts w:ascii="Arial" w:cs="Arial" w:eastAsia="Arial" w:hAnsi="Arial"/>
          <w:sz w:val="18"/>
          <w:szCs w:val="18"/>
          <w:color w:val="auto"/>
        </w:rPr>
      </w:pPr>
    </w:p>
    <w:p>
      <w:pPr>
        <w:ind w:left="2940" w:right="2380" w:hanging="160"/>
        <w:spacing w:after="0" w:line="287" w:lineRule="auto"/>
        <w:tabs>
          <w:tab w:leader="none" w:pos="293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Secured European Commission marketing authorizations for Jaypirca and Kisunla for the treatment of early symptomatic Alzheimer's disease</w:t>
      </w:r>
    </w:p>
    <w:p>
      <w:pPr>
        <w:spacing w:after="0" w:line="98" w:lineRule="exact"/>
        <w:rPr>
          <w:rFonts w:ascii="Arial" w:cs="Arial" w:eastAsia="Arial" w:hAnsi="Arial"/>
          <w:sz w:val="18"/>
          <w:szCs w:val="18"/>
          <w:color w:val="auto"/>
        </w:rPr>
      </w:pPr>
    </w:p>
    <w:p>
      <w:pPr>
        <w:ind w:left="180" w:right="2280" w:hanging="154"/>
        <w:spacing w:after="0" w:line="281" w:lineRule="auto"/>
        <w:tabs>
          <w:tab w:leader="none" w:pos="169" w:val="left"/>
        </w:tabs>
        <w:numPr>
          <w:ilvl w:val="0"/>
          <w:numId w:val="121"/>
        </w:numPr>
        <w:rPr>
          <w:rFonts w:ascii="Arial" w:cs="Arial" w:eastAsia="Arial" w:hAnsi="Arial"/>
          <w:sz w:val="16"/>
          <w:szCs w:val="16"/>
          <w:color w:val="auto"/>
        </w:rPr>
      </w:pPr>
      <w:r>
        <w:rPr>
          <w:rFonts w:ascii="Arial" w:cs="Arial" w:eastAsia="Arial" w:hAnsi="Arial"/>
          <w:sz w:val="18"/>
          <w:szCs w:val="18"/>
          <w:color w:val="auto"/>
        </w:rPr>
        <w:t>Oversaw major manufacturing investments including facilities in Texas ($6.5B), Alabama ($6B), Virginia ($5B), the Netherlands ($3B), Puerto Rico ($1.2B), and India ($1B)</w:t>
      </w:r>
    </w:p>
    <w:p>
      <w:pPr>
        <w:spacing w:after="0" w:line="1" w:lineRule="exact"/>
        <w:rPr>
          <w:rFonts w:ascii="Arial" w:cs="Arial" w:eastAsia="Arial" w:hAnsi="Arial"/>
          <w:sz w:val="16"/>
          <w:szCs w:val="16"/>
          <w:color w:val="auto"/>
        </w:rPr>
      </w:pPr>
    </w:p>
    <w:p>
      <w:pPr>
        <w:ind w:left="180" w:hanging="154"/>
        <w:spacing w:after="0"/>
        <w:tabs>
          <w:tab w:leader="none" w:pos="180" w:val="left"/>
        </w:tabs>
        <w:numPr>
          <w:ilvl w:val="0"/>
          <w:numId w:val="121"/>
        </w:numPr>
        <w:rPr>
          <w:rFonts w:ascii="Arial" w:cs="Arial" w:eastAsia="Arial" w:hAnsi="Arial"/>
          <w:sz w:val="16"/>
          <w:szCs w:val="16"/>
          <w:color w:val="auto"/>
        </w:rPr>
      </w:pPr>
      <w:r>
        <w:rPr>
          <w:rFonts w:ascii="Arial" w:cs="Arial" w:eastAsia="Arial" w:hAnsi="Arial"/>
          <w:sz w:val="18"/>
          <w:szCs w:val="18"/>
          <w:color w:val="auto"/>
        </w:rPr>
        <w:t>Acquired Verve Therapeutics, Scorpion Therapeutics, SiteOne Therapeutics, and Adverum Biotechnologies</w:t>
      </w:r>
    </w:p>
    <w:p>
      <w:pPr>
        <w:spacing w:after="0" w:line="63" w:lineRule="exact"/>
        <w:rPr>
          <w:rFonts w:ascii="Arial" w:cs="Arial" w:eastAsia="Arial" w:hAnsi="Arial"/>
          <w:sz w:val="16"/>
          <w:szCs w:val="16"/>
          <w:color w:val="auto"/>
        </w:rPr>
      </w:pPr>
    </w:p>
    <w:p>
      <w:pPr>
        <w:ind w:left="180" w:hanging="154"/>
        <w:spacing w:after="0"/>
        <w:tabs>
          <w:tab w:leader="none" w:pos="180" w:val="left"/>
        </w:tabs>
        <w:numPr>
          <w:ilvl w:val="0"/>
          <w:numId w:val="121"/>
        </w:numPr>
        <w:rPr>
          <w:rFonts w:ascii="Arial" w:cs="Arial" w:eastAsia="Arial" w:hAnsi="Arial"/>
          <w:sz w:val="16"/>
          <w:szCs w:val="16"/>
          <w:color w:val="auto"/>
        </w:rPr>
      </w:pPr>
      <w:r>
        <w:rPr>
          <w:rFonts w:ascii="Arial" w:cs="Arial" w:eastAsia="Arial" w:hAnsi="Arial"/>
          <w:sz w:val="18"/>
          <w:szCs w:val="18"/>
          <w:color w:val="auto"/>
        </w:rPr>
        <w:t>Expanded LillyDirect™, Lilly’s direct-to-patient platform, to reach over 1 million patients</w:t>
      </w:r>
    </w:p>
    <w:p>
      <w:pPr>
        <w:spacing w:after="0" w:line="63" w:lineRule="exact"/>
        <w:rPr>
          <w:rFonts w:ascii="Arial" w:cs="Arial" w:eastAsia="Arial" w:hAnsi="Arial"/>
          <w:sz w:val="16"/>
          <w:szCs w:val="16"/>
          <w:color w:val="auto"/>
        </w:rPr>
      </w:pPr>
    </w:p>
    <w:p>
      <w:pPr>
        <w:ind w:left="180" w:right="2740" w:hanging="154"/>
        <w:spacing w:after="0" w:line="287" w:lineRule="auto"/>
        <w:tabs>
          <w:tab w:leader="none" w:pos="169" w:val="left"/>
        </w:tabs>
        <w:numPr>
          <w:ilvl w:val="0"/>
          <w:numId w:val="121"/>
        </w:numPr>
        <w:rPr>
          <w:rFonts w:ascii="Arial" w:cs="Arial" w:eastAsia="Arial" w:hAnsi="Arial"/>
          <w:sz w:val="16"/>
          <w:szCs w:val="16"/>
          <w:color w:val="auto"/>
        </w:rPr>
      </w:pPr>
      <w:r>
        <w:rPr>
          <w:rFonts w:ascii="Arial" w:cs="Arial" w:eastAsia="Arial" w:hAnsi="Arial"/>
          <w:sz w:val="18"/>
          <w:szCs w:val="18"/>
          <w:color w:val="auto"/>
        </w:rPr>
        <w:t>Drove initiatives including NVIDIA AI supercomputer partnership, and U.S. government obesity medicine access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7607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50" w:name="page51"/>
    <w:bookmarkEnd w:id="50"/>
    <w:p>
      <w:pPr>
        <w:ind w:left="900"/>
        <w:spacing w:after="0"/>
        <w:rPr>
          <w:sz w:val="20"/>
          <w:szCs w:val="20"/>
          <w:color w:val="auto"/>
        </w:rPr>
      </w:pPr>
      <w:r>
        <w:rPr>
          <w:rFonts w:ascii="Arial" w:cs="Arial" w:eastAsia="Arial" w:hAnsi="Arial"/>
          <w:sz w:val="19"/>
          <w:szCs w:val="19"/>
          <w:b w:val="1"/>
          <w:bCs w:val="1"/>
          <w:color w:val="0F3A85"/>
        </w:rPr>
        <w:drawing>
          <wp:anchor simplePos="0" relativeHeight="251657728" behindDoc="1" locked="0" layoutInCell="0" allowOverlap="1">
            <wp:simplePos x="0" y="0"/>
            <wp:positionH relativeFrom="page">
              <wp:posOffset>208280</wp:posOffset>
            </wp:positionH>
            <wp:positionV relativeFrom="page">
              <wp:posOffset>586105</wp:posOffset>
            </wp:positionV>
            <wp:extent cx="5760720" cy="12426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760720" cy="1242695"/>
                    </a:xfrm>
                    <a:prstGeom prst="rect">
                      <a:avLst/>
                    </a:prstGeom>
                    <a:noFill/>
                  </pic:spPr>
                </pic:pic>
              </a:graphicData>
            </a:graphic>
          </wp:anchor>
        </w:drawing>
        <w:t>Lucas Montarce</w:t>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8"/>
          <w:szCs w:val="18"/>
          <w:color w:val="0F3A85"/>
        </w:rPr>
        <w:t>Executive Vice President and Chief Financial Officer (2024 - Present)</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Mr. Montarce’s key 2025 highlights include:</w:t>
      </w:r>
    </w:p>
    <w:p>
      <w:pPr>
        <w:spacing w:after="0" w:line="63" w:lineRule="exact"/>
        <w:rPr>
          <w:sz w:val="20"/>
          <w:szCs w:val="20"/>
          <w:color w:val="auto"/>
        </w:rPr>
      </w:pPr>
    </w:p>
    <w:p>
      <w:pPr>
        <w:ind w:left="1060" w:right="1459" w:hanging="170"/>
        <w:spacing w:after="0" w:line="281" w:lineRule="auto"/>
        <w:tabs>
          <w:tab w:leader="none" w:pos="10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Facilitated the company exceeding its revenue and non-GAAP earnings per share targets</w:t>
      </w:r>
    </w:p>
    <w:p>
      <w:pPr>
        <w:spacing w:after="0" w:line="1" w:lineRule="exact"/>
        <w:rPr>
          <w:rFonts w:ascii="Arial" w:cs="Arial" w:eastAsia="Arial" w:hAnsi="Arial"/>
          <w:sz w:val="18"/>
          <w:szCs w:val="18"/>
          <w:color w:val="auto"/>
        </w:rPr>
      </w:pPr>
    </w:p>
    <w:p>
      <w:pPr>
        <w:ind w:left="1060" w:right="1239" w:hanging="170"/>
        <w:spacing w:after="0" w:line="281" w:lineRule="auto"/>
        <w:tabs>
          <w:tab w:leader="none" w:pos="10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Drove the company’s strategic planning process, focusing on current execution while also making necessary investments and provisions for the next decade</w:t>
      </w:r>
    </w:p>
    <w:p>
      <w:pPr>
        <w:spacing w:after="0" w:line="1" w:lineRule="exact"/>
        <w:rPr>
          <w:rFonts w:ascii="Arial" w:cs="Arial" w:eastAsia="Arial" w:hAnsi="Arial"/>
          <w:sz w:val="18"/>
          <w:szCs w:val="18"/>
          <w:color w:val="auto"/>
        </w:rPr>
      </w:pPr>
    </w:p>
    <w:p>
      <w:pPr>
        <w:ind w:left="1060" w:right="1699" w:hanging="170"/>
        <w:spacing w:after="0" w:line="281" w:lineRule="auto"/>
        <w:tabs>
          <w:tab w:leader="none" w:pos="10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Engaged in all business development, balancing near-term risks with long-term outcomes</w:t>
      </w:r>
    </w:p>
    <w:p>
      <w:pPr>
        <w:spacing w:after="0" w:line="1" w:lineRule="exact"/>
        <w:rPr>
          <w:rFonts w:ascii="Arial" w:cs="Arial" w:eastAsia="Arial" w:hAnsi="Arial"/>
          <w:sz w:val="18"/>
          <w:szCs w:val="18"/>
          <w:color w:val="auto"/>
        </w:rPr>
      </w:pPr>
    </w:p>
    <w:p>
      <w:pPr>
        <w:ind w:left="1040" w:hanging="150"/>
        <w:spacing w:after="0"/>
        <w:tabs>
          <w:tab w:leader="none" w:pos="10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Continued to build credibility and trust with the investment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69215</wp:posOffset>
            </wp:positionV>
            <wp:extent cx="5760720" cy="12426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60720" cy="1242695"/>
                    </a:xfrm>
                    <a:prstGeom prst="rect">
                      <a:avLst/>
                    </a:prstGeom>
                    <a:noFill/>
                  </pic:spPr>
                </pic:pic>
              </a:graphicData>
            </a:graphic>
          </wp:anchor>
        </w:drawing>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0F3A85"/>
        </w:rPr>
        <w:t>Dan Skovronsky, M.D., Ph.D.</w:t>
      </w:r>
    </w:p>
    <w:p>
      <w:pPr>
        <w:spacing w:after="0" w:line="10" w:lineRule="exact"/>
        <w:rPr>
          <w:sz w:val="20"/>
          <w:szCs w:val="20"/>
          <w:color w:val="auto"/>
        </w:rPr>
      </w:pPr>
    </w:p>
    <w:p>
      <w:pPr>
        <w:ind w:left="900" w:right="1679"/>
        <w:spacing w:after="0" w:line="229" w:lineRule="auto"/>
        <w:rPr>
          <w:sz w:val="20"/>
          <w:szCs w:val="20"/>
          <w:color w:val="auto"/>
        </w:rPr>
      </w:pPr>
      <w:r>
        <w:rPr>
          <w:rFonts w:ascii="Arial" w:cs="Arial" w:eastAsia="Arial" w:hAnsi="Arial"/>
          <w:sz w:val="18"/>
          <w:szCs w:val="18"/>
          <w:color w:val="0F3A85"/>
        </w:rPr>
        <w:t>Executive Vice President, Chief Scientific and Product Officer and President, Lilly Research Labs (2018 - Present)</w:t>
      </w:r>
    </w:p>
    <w:p>
      <w:pPr>
        <w:spacing w:after="0" w:line="11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Dr. Skovronsky’s key 2025 highlights include:</w:t>
      </w:r>
    </w:p>
    <w:p>
      <w:pPr>
        <w:spacing w:after="0" w:line="63" w:lineRule="exact"/>
        <w:rPr>
          <w:sz w:val="20"/>
          <w:szCs w:val="20"/>
          <w:color w:val="auto"/>
        </w:rPr>
      </w:pPr>
    </w:p>
    <w:p>
      <w:pPr>
        <w:ind w:left="1060" w:right="1099" w:hanging="170"/>
        <w:spacing w:after="0" w:line="262" w:lineRule="auto"/>
        <w:tabs>
          <w:tab w:leader="none" w:pos="10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Directed the performance of Lilly’s R&amp;D organization, which continues to perform above industry peers for clinical development speed, success rate, and the quality of the pipeline as valued by the external market. Lilly’s clinical development is among the fastest in the industry</w:t>
      </w:r>
    </w:p>
    <w:p>
      <w:pPr>
        <w:spacing w:after="0" w:line="14" w:lineRule="exact"/>
        <w:rPr>
          <w:rFonts w:ascii="Arial" w:cs="Arial" w:eastAsia="Arial" w:hAnsi="Arial"/>
          <w:sz w:val="18"/>
          <w:szCs w:val="18"/>
          <w:color w:val="auto"/>
        </w:rPr>
      </w:pPr>
    </w:p>
    <w:p>
      <w:pPr>
        <w:ind w:left="1060" w:right="1319" w:hanging="170"/>
        <w:spacing w:after="0" w:line="262" w:lineRule="auto"/>
        <w:tabs>
          <w:tab w:leader="none" w:pos="10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Advanced obesity and diabetes pipeline with positive SURMOUNT-5 results (Zepbound: 20.2% weight loss vs. Wegovy's 13.7%), advancement of eloralintide to Phase 3, and eight positive Phase 3 trials for orforglipron for obesity leading to FDA submission</w:t>
      </w:r>
    </w:p>
    <w:p>
      <w:pPr>
        <w:spacing w:after="0" w:line="14" w:lineRule="exact"/>
        <w:rPr>
          <w:rFonts w:ascii="Arial" w:cs="Arial" w:eastAsia="Arial" w:hAnsi="Arial"/>
          <w:sz w:val="18"/>
          <w:szCs w:val="18"/>
          <w:color w:val="auto"/>
        </w:rPr>
      </w:pPr>
    </w:p>
    <w:p>
      <w:pPr>
        <w:ind w:left="1060" w:right="1279" w:hanging="170"/>
        <w:spacing w:after="0" w:line="298" w:lineRule="auto"/>
        <w:tabs>
          <w:tab w:leader="none" w:pos="10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Oversaw positive SURPASS-CVOT results where Mounjaro demonstrated 8% lower MACE-3 events vs. Trulicity with greater reductions in A1C and weight outcomes</w:t>
      </w:r>
    </w:p>
    <w:p>
      <w:pPr>
        <w:ind w:left="1060" w:right="1299" w:hanging="170"/>
        <w:spacing w:after="0" w:line="298" w:lineRule="auto"/>
        <w:tabs>
          <w:tab w:leader="none" w:pos="10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Presented long-term extension study data on Ebglyss, showing similar levels of skin clearance when administered as a single 250mg injection once every eight weeks</w:t>
      </w:r>
    </w:p>
    <w:p>
      <w:pPr>
        <w:ind w:left="1060" w:right="1519" w:hanging="170"/>
        <w:spacing w:after="0" w:line="287" w:lineRule="auto"/>
        <w:tabs>
          <w:tab w:leader="none" w:pos="10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Opened Gateway Lab in Philadelphia and launched TuneLab for AI-enabled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5760720" cy="12426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760720" cy="1242695"/>
                    </a:xfrm>
                    <a:prstGeom prst="rect">
                      <a:avLst/>
                    </a:prstGeom>
                    <a:noFill/>
                  </pic:spPr>
                </pic:pic>
              </a:graphicData>
            </a:graphic>
          </wp:anchor>
        </w:drawing>
      </w:r>
    </w:p>
    <w:p>
      <w:pPr>
        <w:spacing w:after="0" w:line="44"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0F3A85"/>
        </w:rPr>
        <w:t>Anat Hakim</w:t>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8"/>
          <w:szCs w:val="18"/>
          <w:color w:val="0F3A85"/>
        </w:rPr>
        <w:t>Executive Vice President, General Counsel and Secretary (2020 - Present)</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Ms. Hakim’s key 2025 highlights include:</w:t>
      </w:r>
    </w:p>
    <w:p>
      <w:pPr>
        <w:spacing w:after="0" w:line="63" w:lineRule="exact"/>
        <w:rPr>
          <w:sz w:val="20"/>
          <w:szCs w:val="20"/>
          <w:color w:val="auto"/>
        </w:rPr>
      </w:pPr>
    </w:p>
    <w:p>
      <w:pPr>
        <w:ind w:left="1060" w:right="1339" w:hanging="170"/>
        <w:spacing w:after="0" w:line="281" w:lineRule="auto"/>
        <w:tabs>
          <w:tab w:leader="none" w:pos="10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Transformed Lilly’s enterprise risk strategy and structure, leading to a more focused and streamlined approach to risk and issue management</w:t>
      </w:r>
    </w:p>
    <w:p>
      <w:pPr>
        <w:spacing w:after="0" w:line="1" w:lineRule="exact"/>
        <w:rPr>
          <w:rFonts w:ascii="Arial" w:cs="Arial" w:eastAsia="Arial" w:hAnsi="Arial"/>
          <w:sz w:val="18"/>
          <w:szCs w:val="18"/>
          <w:color w:val="auto"/>
        </w:rPr>
      </w:pPr>
    </w:p>
    <w:p>
      <w:pPr>
        <w:ind w:left="1060" w:right="1159" w:hanging="170"/>
        <w:spacing w:after="0" w:line="268" w:lineRule="auto"/>
        <w:tabs>
          <w:tab w:leader="none" w:pos="10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Navigated an evolving and complex litigation and enforcement environment, providing strategic counsel on legal matters critical to company interests and obtaining numerous favorable litigation outcomes</w:t>
      </w:r>
    </w:p>
    <w:p>
      <w:pPr>
        <w:spacing w:after="0" w:line="8" w:lineRule="exact"/>
        <w:rPr>
          <w:rFonts w:ascii="Arial" w:cs="Arial" w:eastAsia="Arial" w:hAnsi="Arial"/>
          <w:sz w:val="18"/>
          <w:szCs w:val="18"/>
          <w:color w:val="auto"/>
        </w:rPr>
      </w:pPr>
    </w:p>
    <w:p>
      <w:pPr>
        <w:ind w:left="1060" w:right="1719" w:hanging="170"/>
        <w:spacing w:after="0" w:line="281" w:lineRule="auto"/>
        <w:tabs>
          <w:tab w:leader="none" w:pos="10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Engaged policymakers and industry partners to promote balanced reforms that strengthen U.S. markets and protect innovation</w:t>
      </w:r>
    </w:p>
    <w:p>
      <w:pPr>
        <w:spacing w:after="0" w:line="1" w:lineRule="exact"/>
        <w:rPr>
          <w:rFonts w:ascii="Arial" w:cs="Arial" w:eastAsia="Arial" w:hAnsi="Arial"/>
          <w:sz w:val="18"/>
          <w:szCs w:val="18"/>
          <w:color w:val="auto"/>
        </w:rPr>
      </w:pPr>
    </w:p>
    <w:p>
      <w:pPr>
        <w:ind w:left="1040" w:hanging="150"/>
        <w:spacing w:after="0"/>
        <w:tabs>
          <w:tab w:leader="none" w:pos="1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Led an initiative to combat counterfeiting and compounding across the globe</w:t>
      </w:r>
    </w:p>
    <w:p>
      <w:pPr>
        <w:spacing w:after="0" w:line="63" w:lineRule="exact"/>
        <w:rPr>
          <w:rFonts w:ascii="Arial" w:cs="Arial" w:eastAsia="Arial" w:hAnsi="Arial"/>
          <w:sz w:val="18"/>
          <w:szCs w:val="18"/>
          <w:color w:val="auto"/>
        </w:rPr>
      </w:pPr>
    </w:p>
    <w:p>
      <w:pPr>
        <w:ind w:left="1060" w:right="1379" w:hanging="170"/>
        <w:spacing w:after="0" w:line="287" w:lineRule="auto"/>
        <w:tabs>
          <w:tab w:leader="none" w:pos="10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Provided strategic leadership on key business development initiatives and complex corporate transactions aimed at advancing long-term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576072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88900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50" w:right="1440" w:bottom="1440" w:gutter="0" w:footer="0" w:header="0"/>
        </w:sectPr>
      </w:pPr>
    </w:p>
    <w:bookmarkStart w:id="51" w:name="page52"/>
    <w:bookmarkEnd w:id="51"/>
    <w:p>
      <w:pPr>
        <w:ind w:left="2020"/>
        <w:spacing w:after="0"/>
        <w:rPr>
          <w:sz w:val="20"/>
          <w:szCs w:val="20"/>
          <w:color w:val="auto"/>
        </w:rPr>
      </w:pPr>
      <w:r>
        <w:rPr>
          <w:rFonts w:ascii="Arial" w:cs="Arial" w:eastAsia="Arial" w:hAnsi="Arial"/>
          <w:sz w:val="19"/>
          <w:szCs w:val="19"/>
          <w:b w:val="1"/>
          <w:bCs w:val="1"/>
          <w:color w:val="0F3A85"/>
        </w:rPr>
        <w:drawing>
          <wp:anchor simplePos="0" relativeHeight="251657728" behindDoc="1" locked="0" layoutInCell="0" allowOverlap="1">
            <wp:simplePos x="0" y="0"/>
            <wp:positionH relativeFrom="page">
              <wp:posOffset>208280</wp:posOffset>
            </wp:positionH>
            <wp:positionV relativeFrom="page">
              <wp:posOffset>586105</wp:posOffset>
            </wp:positionV>
            <wp:extent cx="5760720" cy="124269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760720" cy="1242695"/>
                    </a:xfrm>
                    <a:prstGeom prst="rect">
                      <a:avLst/>
                    </a:prstGeom>
                    <a:noFill/>
                  </pic:spPr>
                </pic:pic>
              </a:graphicData>
            </a:graphic>
          </wp:anchor>
        </w:drawing>
        <w:t>Jake Van Naarden</w:t>
      </w:r>
    </w:p>
    <w:p>
      <w:pPr>
        <w:spacing w:after="0" w:line="10" w:lineRule="exact"/>
        <w:rPr>
          <w:sz w:val="20"/>
          <w:szCs w:val="20"/>
          <w:color w:val="auto"/>
        </w:rPr>
      </w:pPr>
    </w:p>
    <w:p>
      <w:pPr>
        <w:ind w:left="2020" w:right="2180"/>
        <w:spacing w:after="0" w:line="229" w:lineRule="auto"/>
        <w:rPr>
          <w:sz w:val="20"/>
          <w:szCs w:val="20"/>
          <w:color w:val="auto"/>
        </w:rPr>
      </w:pPr>
      <w:r>
        <w:rPr>
          <w:rFonts w:ascii="Arial" w:cs="Arial" w:eastAsia="Arial" w:hAnsi="Arial"/>
          <w:sz w:val="18"/>
          <w:szCs w:val="18"/>
          <w:color w:val="0F3A85"/>
        </w:rPr>
        <w:t>Executive Vice President and President, Lilly Oncology and Head of Corporate Business Development (2021 - Present)</w:t>
      </w:r>
    </w:p>
    <w:p>
      <w:pPr>
        <w:spacing w:after="0" w:line="11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Mr. Van Naarden’s key 2025 highlights include:</w:t>
      </w:r>
    </w:p>
    <w:p>
      <w:pPr>
        <w:spacing w:after="0" w:line="63" w:lineRule="exact"/>
        <w:rPr>
          <w:sz w:val="20"/>
          <w:szCs w:val="20"/>
          <w:color w:val="auto"/>
        </w:rPr>
      </w:pPr>
    </w:p>
    <w:p>
      <w:pPr>
        <w:ind w:left="2180" w:right="2360" w:hanging="170"/>
        <w:spacing w:after="0" w:line="268" w:lineRule="auto"/>
        <w:tabs>
          <w:tab w:leader="none" w:pos="217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Gained FDA approvals for Jaypirca (EU for CLL) and Inluriyo for ER+ breast cancer. Secured FDA Breakthrough Therapy designation for olomorasib in KRAS G12C-mutant lung cancers</w:t>
      </w:r>
    </w:p>
    <w:p>
      <w:pPr>
        <w:spacing w:after="0" w:line="8" w:lineRule="exact"/>
        <w:rPr>
          <w:rFonts w:ascii="Arial" w:cs="Arial" w:eastAsia="Arial" w:hAnsi="Arial"/>
          <w:sz w:val="18"/>
          <w:szCs w:val="18"/>
          <w:color w:val="auto"/>
        </w:rPr>
      </w:pPr>
    </w:p>
    <w:p>
      <w:pPr>
        <w:ind w:left="2180" w:right="2740" w:hanging="170"/>
        <w:spacing w:after="0" w:line="281" w:lineRule="auto"/>
        <w:tabs>
          <w:tab w:leader="none" w:pos="217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Achieved EU approval for Jaypirca for adults with relapsed or refractory chronic lymphocytic leukemia (CLL) previously treated with a BTK inhibitor</w:t>
      </w:r>
    </w:p>
    <w:p>
      <w:pPr>
        <w:spacing w:after="0" w:line="1" w:lineRule="exact"/>
        <w:rPr>
          <w:rFonts w:ascii="Arial" w:cs="Arial" w:eastAsia="Arial" w:hAnsi="Arial"/>
          <w:sz w:val="18"/>
          <w:szCs w:val="18"/>
          <w:color w:val="auto"/>
        </w:rPr>
      </w:pPr>
    </w:p>
    <w:p>
      <w:pPr>
        <w:ind w:left="2180" w:right="2300" w:hanging="170"/>
        <w:spacing w:after="0" w:line="281" w:lineRule="auto"/>
        <w:tabs>
          <w:tab w:leader="none" w:pos="217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Delivered positive survival data from monarchE trial showing Verzenio reduced death risk by 15.8% in HR+/HER2- early breast cancer</w:t>
      </w:r>
    </w:p>
    <w:p>
      <w:pPr>
        <w:spacing w:after="0" w:line="1" w:lineRule="exact"/>
        <w:rPr>
          <w:rFonts w:ascii="Arial" w:cs="Arial" w:eastAsia="Arial" w:hAnsi="Arial"/>
          <w:sz w:val="18"/>
          <w:szCs w:val="18"/>
          <w:color w:val="auto"/>
        </w:rPr>
      </w:pPr>
    </w:p>
    <w:p>
      <w:pPr>
        <w:ind w:left="2160" w:hanging="150"/>
        <w:spacing w:after="0"/>
        <w:tabs>
          <w:tab w:leader="none" w:pos="2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Expanded leadership scope to include corporate business development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576072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Our Compensation Philosophy</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Lilly’s purpose is to unite caring with discovery to create medicines that make life better for people around the world. To achieve this, we must attract, engage, and retain highly talented individuals who deliver exceptional performance while upholding our core values of integrity, excellence, and respect for people. Our compensation programs are designed to help us achieve these goals while balancing stakeholder interests.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Objectives of Our Compensation Programs</w:t>
      </w:r>
    </w:p>
    <w:p>
      <w:pPr>
        <w:spacing w:after="0" w:line="26" w:lineRule="exact"/>
        <w:rPr>
          <w:sz w:val="20"/>
          <w:szCs w:val="20"/>
          <w:color w:val="auto"/>
        </w:rPr>
      </w:pPr>
    </w:p>
    <w:p>
      <w:pPr>
        <w:ind w:left="500" w:right="420" w:hanging="330"/>
        <w:spacing w:after="0" w:line="225" w:lineRule="auto"/>
        <w:tabs>
          <w:tab w:leader="none" w:pos="495" w:val="left"/>
        </w:tabs>
        <w:numPr>
          <w:ilvl w:val="0"/>
          <w:numId w:val="126"/>
        </w:numPr>
        <w:rPr>
          <w:rFonts w:ascii="Arial" w:cs="Arial" w:eastAsia="Arial" w:hAnsi="Arial"/>
          <w:sz w:val="22"/>
          <w:szCs w:val="22"/>
          <w:color w:val="auto"/>
        </w:rPr>
      </w:pPr>
      <w:r>
        <w:rPr>
          <w:rFonts w:ascii="Arial" w:cs="Arial" w:eastAsia="Arial" w:hAnsi="Arial"/>
          <w:sz w:val="20"/>
          <w:szCs w:val="20"/>
          <w:b w:val="1"/>
          <w:bCs w:val="1"/>
          <w:color w:val="D52B1E"/>
        </w:rPr>
        <w:t xml:space="preserve">Reward Individual and Company Performance: </w:t>
      </w:r>
      <w:r>
        <w:rPr>
          <w:rFonts w:ascii="Arial" w:cs="Arial" w:eastAsia="Arial" w:hAnsi="Arial"/>
          <w:sz w:val="17"/>
          <w:szCs w:val="17"/>
          <w:color w:val="000000"/>
        </w:rPr>
        <w:t>We link pay to individual and company performance to reinforce a high-performance culture. As employees assume greater responsibilities, a greater proportion of total compensation is tied to company performance and shareholder returns. Annual reviews ensure our programs incentivize long-term, sustainable results while discouraging excessive risk-taking.</w:t>
      </w:r>
    </w:p>
    <w:p>
      <w:pPr>
        <w:spacing w:after="0" w:line="1" w:lineRule="exact"/>
        <w:rPr>
          <w:rFonts w:ascii="Arial" w:cs="Arial" w:eastAsia="Arial" w:hAnsi="Arial"/>
          <w:sz w:val="22"/>
          <w:szCs w:val="22"/>
          <w:color w:val="auto"/>
        </w:rPr>
      </w:pPr>
    </w:p>
    <w:p>
      <w:pPr>
        <w:ind w:left="500" w:right="240" w:hanging="330"/>
        <w:spacing w:after="0" w:line="221" w:lineRule="auto"/>
        <w:tabs>
          <w:tab w:leader="none" w:pos="495" w:val="left"/>
        </w:tabs>
        <w:numPr>
          <w:ilvl w:val="0"/>
          <w:numId w:val="126"/>
        </w:numPr>
        <w:rPr>
          <w:rFonts w:ascii="Arial" w:cs="Arial" w:eastAsia="Arial" w:hAnsi="Arial"/>
          <w:sz w:val="22"/>
          <w:szCs w:val="22"/>
          <w:color w:val="auto"/>
        </w:rPr>
      </w:pPr>
      <w:r>
        <w:rPr>
          <w:rFonts w:ascii="Arial" w:cs="Arial" w:eastAsia="Arial" w:hAnsi="Arial"/>
          <w:sz w:val="20"/>
          <w:szCs w:val="20"/>
          <w:b w:val="1"/>
          <w:bCs w:val="1"/>
          <w:color w:val="D52B1E"/>
        </w:rPr>
        <w:t xml:space="preserve">Attract and Retain Talented Employees: </w:t>
      </w:r>
      <w:r>
        <w:rPr>
          <w:rFonts w:ascii="Arial" w:cs="Arial" w:eastAsia="Arial" w:hAnsi="Arial"/>
          <w:sz w:val="17"/>
          <w:szCs w:val="17"/>
          <w:color w:val="000000"/>
        </w:rPr>
        <w:t>Our compensation is market-competitive and reflects job impact and responsibilities.</w:t>
      </w:r>
      <w:r>
        <w:rPr>
          <w:rFonts w:ascii="Arial" w:cs="Arial" w:eastAsia="Arial" w:hAnsi="Arial"/>
          <w:sz w:val="20"/>
          <w:szCs w:val="20"/>
          <w:b w:val="1"/>
          <w:bCs w:val="1"/>
          <w:color w:val="D52B1E"/>
        </w:rPr>
        <w:t xml:space="preserve"> </w:t>
      </w:r>
      <w:r>
        <w:rPr>
          <w:rFonts w:ascii="Arial" w:cs="Arial" w:eastAsia="Arial" w:hAnsi="Arial"/>
          <w:sz w:val="17"/>
          <w:szCs w:val="17"/>
          <w:color w:val="000000"/>
        </w:rPr>
        <w:t>Retention of talent is a key factor in designing our compensation and benefit programs.</w:t>
      </w:r>
    </w:p>
    <w:p>
      <w:pPr>
        <w:spacing w:after="0" w:line="27" w:lineRule="exact"/>
        <w:rPr>
          <w:rFonts w:ascii="Arial" w:cs="Arial" w:eastAsia="Arial" w:hAnsi="Arial"/>
          <w:sz w:val="22"/>
          <w:szCs w:val="22"/>
          <w:color w:val="auto"/>
        </w:rPr>
      </w:pPr>
    </w:p>
    <w:p>
      <w:pPr>
        <w:ind w:left="500" w:right="480" w:hanging="330"/>
        <w:spacing w:after="0" w:line="228" w:lineRule="auto"/>
        <w:tabs>
          <w:tab w:leader="none" w:pos="495" w:val="left"/>
        </w:tabs>
        <w:numPr>
          <w:ilvl w:val="0"/>
          <w:numId w:val="126"/>
        </w:numPr>
        <w:rPr>
          <w:rFonts w:ascii="Arial" w:cs="Arial" w:eastAsia="Arial" w:hAnsi="Arial"/>
          <w:sz w:val="22"/>
          <w:szCs w:val="22"/>
          <w:color w:val="auto"/>
        </w:rPr>
      </w:pPr>
      <w:r>
        <w:rPr>
          <w:rFonts w:ascii="Arial" w:cs="Arial" w:eastAsia="Arial" w:hAnsi="Arial"/>
          <w:sz w:val="20"/>
          <w:szCs w:val="20"/>
          <w:b w:val="1"/>
          <w:bCs w:val="1"/>
          <w:color w:val="D52B1E"/>
        </w:rPr>
        <w:t xml:space="preserve">Implement Broad-Based Programs: </w:t>
      </w:r>
      <w:r>
        <w:rPr>
          <w:rFonts w:ascii="Arial" w:cs="Arial" w:eastAsia="Arial" w:hAnsi="Arial"/>
          <w:sz w:val="17"/>
          <w:szCs w:val="17"/>
          <w:color w:val="000000"/>
        </w:rPr>
        <w:t>While compensation varies, the structure of our compensation and benefit programs is</w:t>
      </w:r>
      <w:r>
        <w:rPr>
          <w:rFonts w:ascii="Arial" w:cs="Arial" w:eastAsia="Arial" w:hAnsi="Arial"/>
          <w:sz w:val="20"/>
          <w:szCs w:val="20"/>
          <w:b w:val="1"/>
          <w:bCs w:val="1"/>
          <w:color w:val="D52B1E"/>
        </w:rPr>
        <w:t xml:space="preserve"> </w:t>
      </w:r>
      <w:r>
        <w:rPr>
          <w:rFonts w:ascii="Arial" w:cs="Arial" w:eastAsia="Arial" w:hAnsi="Arial"/>
          <w:sz w:val="17"/>
          <w:szCs w:val="17"/>
          <w:color w:val="000000"/>
        </w:rPr>
        <w:t>similar across the organization to align employees to company goals and reward all who contribute to our success.</w:t>
      </w:r>
    </w:p>
    <w:p>
      <w:pPr>
        <w:spacing w:after="0" w:line="27" w:lineRule="exact"/>
        <w:rPr>
          <w:rFonts w:ascii="Arial" w:cs="Arial" w:eastAsia="Arial" w:hAnsi="Arial"/>
          <w:sz w:val="22"/>
          <w:szCs w:val="22"/>
          <w:color w:val="auto"/>
        </w:rPr>
      </w:pPr>
    </w:p>
    <w:p>
      <w:pPr>
        <w:ind w:left="500" w:right="180" w:hanging="330"/>
        <w:spacing w:after="0" w:line="228" w:lineRule="auto"/>
        <w:tabs>
          <w:tab w:leader="none" w:pos="495" w:val="left"/>
        </w:tabs>
        <w:numPr>
          <w:ilvl w:val="0"/>
          <w:numId w:val="126"/>
        </w:numPr>
        <w:rPr>
          <w:rFonts w:ascii="Arial" w:cs="Arial" w:eastAsia="Arial" w:hAnsi="Arial"/>
          <w:sz w:val="22"/>
          <w:szCs w:val="22"/>
          <w:color w:val="auto"/>
        </w:rPr>
      </w:pPr>
      <w:r>
        <w:rPr>
          <w:rFonts w:ascii="Arial" w:cs="Arial" w:eastAsia="Arial" w:hAnsi="Arial"/>
          <w:sz w:val="20"/>
          <w:szCs w:val="20"/>
          <w:b w:val="1"/>
          <w:bCs w:val="1"/>
          <w:color w:val="D52B1E"/>
        </w:rPr>
        <w:t xml:space="preserve">Consider Shareholder Input: </w:t>
      </w:r>
      <w:r>
        <w:rPr>
          <w:rFonts w:ascii="Arial" w:cs="Arial" w:eastAsia="Arial" w:hAnsi="Arial"/>
          <w:sz w:val="17"/>
          <w:szCs w:val="17"/>
          <w:color w:val="000000"/>
        </w:rPr>
        <w:t>We consider annual say-on-pay results and other shareholder feedback when designing executive</w:t>
      </w:r>
      <w:r>
        <w:rPr>
          <w:rFonts w:ascii="Arial" w:cs="Arial" w:eastAsia="Arial" w:hAnsi="Arial"/>
          <w:sz w:val="20"/>
          <w:szCs w:val="20"/>
          <w:b w:val="1"/>
          <w:bCs w:val="1"/>
          <w:color w:val="D52B1E"/>
        </w:rPr>
        <w:t xml:space="preserve"> </w:t>
      </w:r>
      <w:r>
        <w:rPr>
          <w:rFonts w:ascii="Arial" w:cs="Arial" w:eastAsia="Arial" w:hAnsi="Arial"/>
          <w:sz w:val="17"/>
          <w:szCs w:val="17"/>
          <w:color w:val="000000"/>
        </w:rPr>
        <w:t>compensation and benefit programs.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Say-on-Pay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240" w:type="dxa"/>
            <w:vAlign w:val="bottom"/>
          </w:tcPr>
          <w:p>
            <w:pPr>
              <w:ind w:left="20"/>
              <w:spacing w:after="0"/>
              <w:rPr>
                <w:sz w:val="20"/>
                <w:szCs w:val="20"/>
                <w:color w:val="auto"/>
              </w:rPr>
            </w:pPr>
            <w:r>
              <w:rPr>
                <w:rFonts w:ascii="Arial" w:cs="Arial" w:eastAsia="Arial" w:hAnsi="Arial"/>
                <w:sz w:val="18"/>
                <w:szCs w:val="18"/>
                <w:color w:val="auto"/>
              </w:rPr>
              <w:t>At our 2025 annual meeting, over 96 percent of votes cast were in favor of the company’s say-on-pay proposal.</w:t>
            </w:r>
          </w:p>
        </w:tc>
        <w:tc>
          <w:tcPr>
            <w:tcW w:w="1340" w:type="dxa"/>
            <w:vAlign w:val="bottom"/>
          </w:tcPr>
          <w:p>
            <w:pPr>
              <w:jc w:val="center"/>
              <w:ind w:left="258"/>
              <w:spacing w:after="0"/>
              <w:rPr>
                <w:sz w:val="20"/>
                <w:szCs w:val="20"/>
                <w:color w:val="auto"/>
              </w:rPr>
            </w:pPr>
            <w:r>
              <w:rPr>
                <w:rFonts w:ascii="Arial" w:cs="Arial" w:eastAsia="Arial" w:hAnsi="Arial"/>
                <w:sz w:val="25"/>
                <w:szCs w:val="25"/>
                <w:b w:val="1"/>
                <w:bCs w:val="1"/>
                <w:color w:val="EE2724"/>
                <w:w w:val="99"/>
              </w:rPr>
              <w:t>96</w:t>
            </w:r>
            <w:r>
              <w:rPr>
                <w:rFonts w:ascii="Arial" w:cs="Arial" w:eastAsia="Arial" w:hAnsi="Arial"/>
                <w:sz w:val="25"/>
                <w:szCs w:val="25"/>
                <w:b w:val="1"/>
                <w:bCs w:val="1"/>
                <w:color w:val="D52B1E"/>
                <w:w w:val="99"/>
              </w:rPr>
              <w:t>%</w:t>
            </w: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Management and the Committee view this result as broadly supportive of our compensation approach.</w:t>
            </w:r>
          </w:p>
        </w:tc>
        <w:tc>
          <w:tcPr>
            <w:tcW w:w="1340" w:type="dxa"/>
            <w:vAlign w:val="bottom"/>
          </w:tcPr>
          <w:p>
            <w:pPr>
              <w:jc w:val="center"/>
              <w:ind w:left="258"/>
              <w:spacing w:after="0"/>
              <w:rPr>
                <w:sz w:val="20"/>
                <w:szCs w:val="20"/>
                <w:color w:val="auto"/>
              </w:rPr>
            </w:pPr>
            <w:r>
              <w:rPr>
                <w:rFonts w:ascii="Arial" w:cs="Arial" w:eastAsia="Arial" w:hAnsi="Arial"/>
                <w:sz w:val="18"/>
                <w:szCs w:val="18"/>
                <w:b w:val="1"/>
                <w:bCs w:val="1"/>
                <w:color w:val="auto"/>
                <w:w w:val="99"/>
              </w:rPr>
              <w:t>Support for</w:t>
            </w:r>
          </w:p>
        </w:tc>
      </w:tr>
      <w:tr>
        <w:trPr>
          <w:trHeight w:val="247"/>
        </w:trPr>
        <w:tc>
          <w:tcPr>
            <w:tcW w:w="9240" w:type="dxa"/>
            <w:vAlign w:val="bottom"/>
          </w:tcPr>
          <w:p>
            <w:pPr>
              <w:spacing w:after="0"/>
              <w:rPr>
                <w:sz w:val="21"/>
                <w:szCs w:val="21"/>
                <w:color w:val="auto"/>
              </w:rPr>
            </w:pPr>
          </w:p>
        </w:tc>
        <w:tc>
          <w:tcPr>
            <w:tcW w:w="1340" w:type="dxa"/>
            <w:vAlign w:val="bottom"/>
          </w:tcPr>
          <w:p>
            <w:pPr>
              <w:jc w:val="center"/>
              <w:ind w:left="258"/>
              <w:spacing w:after="0"/>
              <w:rPr>
                <w:sz w:val="20"/>
                <w:szCs w:val="20"/>
                <w:color w:val="auto"/>
              </w:rPr>
            </w:pPr>
            <w:r>
              <w:rPr>
                <w:rFonts w:ascii="Arial" w:cs="Arial" w:eastAsia="Arial" w:hAnsi="Arial"/>
                <w:sz w:val="18"/>
                <w:szCs w:val="18"/>
                <w:b w:val="1"/>
                <w:bCs w:val="1"/>
                <w:color w:val="auto"/>
                <w:w w:val="99"/>
              </w:rPr>
              <w:t>Say-on-Pay</w:t>
            </w:r>
          </w:p>
        </w:tc>
      </w:tr>
      <w:tr>
        <w:trPr>
          <w:trHeight w:val="576"/>
        </w:trPr>
        <w:tc>
          <w:tcPr>
            <w:tcW w:w="9240" w:type="dxa"/>
            <w:vAlign w:val="bottom"/>
          </w:tcPr>
          <w:p>
            <w:pPr>
              <w:spacing w:after="0"/>
              <w:rPr>
                <w:sz w:val="20"/>
                <w:szCs w:val="20"/>
                <w:color w:val="auto"/>
              </w:rPr>
            </w:pPr>
            <w:r>
              <w:rPr>
                <w:rFonts w:ascii="Arial" w:cs="Arial" w:eastAsia="Arial" w:hAnsi="Arial"/>
                <w:sz w:val="25"/>
                <w:szCs w:val="25"/>
                <w:b w:val="1"/>
                <w:bCs w:val="1"/>
                <w:color w:val="0F3A85"/>
              </w:rPr>
              <w:t>The Committee’s Processes and Analyses</w:t>
            </w:r>
          </w:p>
        </w:tc>
        <w:tc>
          <w:tcPr>
            <w:tcW w:w="1340" w:type="dxa"/>
            <w:vAlign w:val="bottom"/>
          </w:tcPr>
          <w:p>
            <w:pPr>
              <w:spacing w:after="0"/>
              <w:rPr>
                <w:sz w:val="24"/>
                <w:szCs w:val="24"/>
                <w:color w:val="auto"/>
              </w:rPr>
            </w:pPr>
          </w:p>
        </w:tc>
      </w:tr>
      <w:tr>
        <w:trPr>
          <w:trHeight w:val="310"/>
        </w:trPr>
        <w:tc>
          <w:tcPr>
            <w:tcW w:w="9240" w:type="dxa"/>
            <w:vAlign w:val="bottom"/>
          </w:tcPr>
          <w:p>
            <w:pPr>
              <w:spacing w:after="0"/>
              <w:rPr>
                <w:sz w:val="20"/>
                <w:szCs w:val="20"/>
                <w:color w:val="auto"/>
              </w:rPr>
            </w:pPr>
            <w:r>
              <w:rPr>
                <w:rFonts w:ascii="Arial" w:cs="Arial" w:eastAsia="Arial" w:hAnsi="Arial"/>
                <w:sz w:val="22"/>
                <w:szCs w:val="22"/>
                <w:b w:val="1"/>
                <w:bCs w:val="1"/>
                <w:color w:val="auto"/>
              </w:rPr>
              <w:t>Setting Compensation</w:t>
            </w:r>
          </w:p>
        </w:tc>
        <w:tc>
          <w:tcPr>
            <w:tcW w:w="1340" w:type="dxa"/>
            <w:vAlign w:val="bottom"/>
          </w:tcPr>
          <w:p>
            <w:pPr>
              <w:spacing w:after="0"/>
              <w:rPr>
                <w:sz w:val="24"/>
                <w:szCs w:val="24"/>
                <w:color w:val="auto"/>
              </w:rPr>
            </w:pPr>
          </w:p>
        </w:tc>
      </w:tr>
    </w:tbl>
    <w:p>
      <w:pPr>
        <w:spacing w:after="0" w:line="2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Committee considers individual performance assessments, CEO recommendations (for other executives), company performance, peer group data, input from its independent compensation consultant, shareholder feedback, and its own judgment when determining executive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Individual performance</w:t>
      </w:r>
    </w:p>
    <w:p>
      <w:pPr>
        <w:spacing w:after="0" w:line="172" w:lineRule="exact"/>
        <w:rPr>
          <w:sz w:val="20"/>
          <w:szCs w:val="20"/>
          <w:color w:val="auto"/>
        </w:rPr>
      </w:pPr>
    </w:p>
    <w:p>
      <w:pPr>
        <w:ind w:left="660" w:right="80" w:hanging="328"/>
        <w:spacing w:after="0" w:line="270" w:lineRule="auto"/>
        <w:tabs>
          <w:tab w:leader="none" w:pos="649" w:val="left"/>
        </w:tabs>
        <w:numPr>
          <w:ilvl w:val="0"/>
          <w:numId w:val="12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CEO: </w:t>
      </w:r>
      <w:r>
        <w:rPr>
          <w:rFonts w:ascii="Arial" w:cs="Arial" w:eastAsia="Arial" w:hAnsi="Arial"/>
          <w:sz w:val="17"/>
          <w:szCs w:val="17"/>
          <w:color w:val="auto"/>
        </w:rPr>
        <w:t>The independent directors, under the direction of the lead independent director, meet with the CEO at the beginning of each</w:t>
      </w:r>
      <w:r>
        <w:rPr>
          <w:rFonts w:ascii="Arial" w:cs="Arial" w:eastAsia="Arial" w:hAnsi="Arial"/>
          <w:sz w:val="19"/>
          <w:szCs w:val="19"/>
          <w:b w:val="1"/>
          <w:bCs w:val="1"/>
          <w:color w:val="auto"/>
        </w:rPr>
        <w:t xml:space="preserve"> </w:t>
      </w:r>
      <w:r>
        <w:rPr>
          <w:rFonts w:ascii="Arial" w:cs="Arial" w:eastAsia="Arial" w:hAnsi="Arial"/>
          <w:sz w:val="17"/>
          <w:szCs w:val="17"/>
          <w:color w:val="auto"/>
        </w:rPr>
        <w:t>year to establish the CEO’s performance objectives. At year end, the independent directors assess the CEO’s achievement of those objectives along with other factors, including contributions to the company’s performance, sustainability goals, ethics, and integrity. The evaluation informs the CEO’s total direct compensation target for the following year.</w:t>
      </w:r>
    </w:p>
    <w:p>
      <w:pPr>
        <w:spacing w:after="0" w:line="106" w:lineRule="exact"/>
        <w:rPr>
          <w:rFonts w:ascii="Arial" w:cs="Arial" w:eastAsia="Arial" w:hAnsi="Arial"/>
          <w:sz w:val="16"/>
          <w:szCs w:val="16"/>
          <w:b w:val="1"/>
          <w:bCs w:val="1"/>
          <w:color w:val="auto"/>
        </w:rPr>
      </w:pPr>
    </w:p>
    <w:p>
      <w:pPr>
        <w:ind w:left="660" w:right="420" w:hanging="328"/>
        <w:spacing w:after="0" w:line="300" w:lineRule="auto"/>
        <w:tabs>
          <w:tab w:leader="none" w:pos="649" w:val="left"/>
        </w:tabs>
        <w:numPr>
          <w:ilvl w:val="0"/>
          <w:numId w:val="12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Other Executives: </w:t>
      </w:r>
      <w:r>
        <w:rPr>
          <w:rFonts w:ascii="Arial" w:cs="Arial" w:eastAsia="Arial" w:hAnsi="Arial"/>
          <w:sz w:val="17"/>
          <w:szCs w:val="17"/>
          <w:color w:val="auto"/>
        </w:rPr>
        <w:t>The CEO provides the Committee with performance assessments and compensation recommendations for</w:t>
      </w:r>
      <w:r>
        <w:rPr>
          <w:rFonts w:ascii="Arial" w:cs="Arial" w:eastAsia="Arial" w:hAnsi="Arial"/>
          <w:sz w:val="19"/>
          <w:szCs w:val="19"/>
          <w:b w:val="1"/>
          <w:bCs w:val="1"/>
          <w:color w:val="auto"/>
        </w:rPr>
        <w:t xml:space="preserve"> </w:t>
      </w:r>
      <w:r>
        <w:rPr>
          <w:rFonts w:ascii="Arial" w:cs="Arial" w:eastAsia="Arial" w:hAnsi="Arial"/>
          <w:sz w:val="17"/>
          <w:szCs w:val="17"/>
          <w:color w:val="auto"/>
        </w:rPr>
        <w:t>other executive officers. Each assessment is based on achievement of objectives</w:t>
      </w:r>
    </w:p>
    <w:p>
      <w:pPr>
        <w:sectPr>
          <w:pgSz w:w="11900" w:h="16838" w:orient="portrait"/>
          <w:cols w:equalWidth="0" w:num="1">
            <w:col w:w="11220"/>
          </w:cols>
          <w:pgMar w:left="320" w:top="950" w:right="35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0" w:right="359" w:bottom="1440" w:gutter="0" w:footer="0" w:header="0"/>
          <w:type w:val="continuous"/>
        </w:sectPr>
      </w:pPr>
    </w:p>
    <w:bookmarkStart w:id="52" w:name="page53"/>
    <w:bookmarkEnd w:id="52"/>
    <w:p>
      <w:pPr>
        <w:ind w:left="660"/>
        <w:spacing w:after="0" w:line="261" w:lineRule="auto"/>
        <w:rPr>
          <w:sz w:val="20"/>
          <w:szCs w:val="20"/>
          <w:color w:val="auto"/>
        </w:rPr>
      </w:pPr>
      <w:r>
        <w:rPr>
          <w:rFonts w:ascii="Arial" w:cs="Arial" w:eastAsia="Arial" w:hAnsi="Arial"/>
          <w:sz w:val="18"/>
          <w:szCs w:val="18"/>
          <w:color w:val="auto"/>
        </w:rPr>
        <w:t>established at the start of the year as well as other factors, including contributions to company performance, sustainability goals, ethics, and integrity. The Committee considers these inputs, its own knowledge of and interactions with each executive officer, and its judgment to finalize assessments. For newly appointed executives, the Committee sets compensation at the time of appointment.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Company performance</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Lilly performance impacts compensation in multiple ways:</w:t>
      </w:r>
    </w:p>
    <w:p>
      <w:pPr>
        <w:spacing w:after="0" w:line="171" w:lineRule="exact"/>
        <w:rPr>
          <w:sz w:val="20"/>
          <w:szCs w:val="20"/>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8"/>
          <w:szCs w:val="18"/>
          <w:b w:val="1"/>
          <w:bCs w:val="1"/>
          <w:color w:val="auto"/>
        </w:rPr>
        <w:t xml:space="preserve">Prior-year performance </w:t>
      </w:r>
      <w:r>
        <w:rPr>
          <w:rFonts w:ascii="Arial" w:cs="Arial" w:eastAsia="Arial" w:hAnsi="Arial"/>
          <w:sz w:val="18"/>
          <w:szCs w:val="18"/>
          <w:color w:val="auto"/>
        </w:rPr>
        <w:t>influences target compensation for the upcoming year.</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8"/>
          <w:szCs w:val="18"/>
          <w:b w:val="1"/>
          <w:bCs w:val="1"/>
          <w:color w:val="auto"/>
        </w:rPr>
        <w:t xml:space="preserve">Annual performance goals, </w:t>
      </w:r>
      <w:r>
        <w:rPr>
          <w:rFonts w:ascii="Arial" w:cs="Arial" w:eastAsia="Arial" w:hAnsi="Arial"/>
          <w:sz w:val="18"/>
          <w:szCs w:val="18"/>
          <w:color w:val="auto"/>
        </w:rPr>
        <w:t>established at the start of the year, determine short-term cash incentive payouts.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8"/>
          <w:szCs w:val="18"/>
          <w:b w:val="1"/>
          <w:bCs w:val="1"/>
          <w:color w:val="auto"/>
        </w:rPr>
        <w:t xml:space="preserve">Multi-year performance goals, </w:t>
      </w:r>
      <w:r>
        <w:rPr>
          <w:rFonts w:ascii="Arial" w:cs="Arial" w:eastAsia="Arial" w:hAnsi="Arial"/>
          <w:sz w:val="18"/>
          <w:szCs w:val="18"/>
          <w:color w:val="auto"/>
        </w:rPr>
        <w:t>set before annual stock grants, determine long-term incentive payouts.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Peer group data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Committee uses peer group data as one input for compensation decisions but does not rely on it exclusively.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Independent compensation consultant input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considers advice from its independent compensation consultant, FW Cook, when setting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Benchmarking Compensation</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year, given Lilly's position as one of the largest companies in the world, we expanded our competitive benchmarking to include two peer groups: a group of companies with similar business models that require specialized skills for operating a global pharmaceutical company, and a group of large-cap general industry companies. In selecting the general industry group, we considered factors such as business models, revenue, market capitalization, and availability of compensation data. This approach provides a comprehensive view of the competitive landscape for both general and administrative talent and pharmaceutical-specific expertise.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approved the following peer groups: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Pharma Peer Group</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0" w:type="dxa"/>
            <w:vAlign w:val="bottom"/>
          </w:tcPr>
          <w:p>
            <w:pPr>
              <w:ind w:left="680"/>
              <w:spacing w:after="0"/>
              <w:rPr>
                <w:sz w:val="20"/>
                <w:szCs w:val="20"/>
                <w:color w:val="auto"/>
              </w:rPr>
            </w:pPr>
            <w:r>
              <w:rPr>
                <w:rFonts w:ascii="Arial" w:cs="Arial" w:eastAsia="Arial" w:hAnsi="Arial"/>
                <w:sz w:val="18"/>
                <w:szCs w:val="18"/>
                <w:color w:val="auto"/>
              </w:rPr>
              <w:t>AbbVie</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Amgen</w:t>
            </w:r>
          </w:p>
        </w:tc>
        <w:tc>
          <w:tcPr>
            <w:tcW w:w="2260" w:type="dxa"/>
            <w:vAlign w:val="bottom"/>
          </w:tcPr>
          <w:p>
            <w:pPr>
              <w:ind w:left="420"/>
              <w:spacing w:after="0"/>
              <w:rPr>
                <w:sz w:val="20"/>
                <w:szCs w:val="20"/>
                <w:color w:val="auto"/>
              </w:rPr>
            </w:pPr>
            <w:r>
              <w:rPr>
                <w:rFonts w:ascii="Arial" w:cs="Arial" w:eastAsia="Arial" w:hAnsi="Arial"/>
                <w:sz w:val="18"/>
                <w:szCs w:val="18"/>
                <w:color w:val="auto"/>
              </w:rPr>
              <w:t>AstraZeneca</w:t>
            </w:r>
          </w:p>
        </w:tc>
        <w:tc>
          <w:tcPr>
            <w:tcW w:w="2260" w:type="dxa"/>
            <w:vAlign w:val="bottom"/>
          </w:tcPr>
          <w:p>
            <w:pPr>
              <w:ind w:left="360"/>
              <w:spacing w:after="0"/>
              <w:rPr>
                <w:sz w:val="20"/>
                <w:szCs w:val="20"/>
                <w:color w:val="auto"/>
              </w:rPr>
            </w:pPr>
            <w:r>
              <w:rPr>
                <w:rFonts w:ascii="Arial" w:cs="Arial" w:eastAsia="Arial" w:hAnsi="Arial"/>
                <w:sz w:val="18"/>
                <w:szCs w:val="18"/>
                <w:color w:val="auto"/>
              </w:rPr>
              <w:t>Bristol-Myers Squibb</w:t>
            </w:r>
          </w:p>
        </w:tc>
      </w:tr>
      <w:tr>
        <w:trPr>
          <w:trHeight w:val="270"/>
        </w:trPr>
        <w:tc>
          <w:tcPr>
            <w:tcW w:w="2000" w:type="dxa"/>
            <w:vAlign w:val="bottom"/>
          </w:tcPr>
          <w:p>
            <w:pPr>
              <w:ind w:left="680"/>
              <w:spacing w:after="0"/>
              <w:rPr>
                <w:sz w:val="20"/>
                <w:szCs w:val="20"/>
                <w:color w:val="auto"/>
              </w:rPr>
            </w:pPr>
            <w:r>
              <w:rPr>
                <w:rFonts w:ascii="Arial" w:cs="Arial" w:eastAsia="Arial" w:hAnsi="Arial"/>
                <w:sz w:val="18"/>
                <w:szCs w:val="18"/>
                <w:color w:val="auto"/>
              </w:rPr>
              <w:t>Gilead</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GlaxoSmithKline</w:t>
            </w:r>
          </w:p>
        </w:tc>
        <w:tc>
          <w:tcPr>
            <w:tcW w:w="2260" w:type="dxa"/>
            <w:vAlign w:val="bottom"/>
          </w:tcPr>
          <w:p>
            <w:pPr>
              <w:ind w:left="420"/>
              <w:spacing w:after="0"/>
              <w:rPr>
                <w:sz w:val="20"/>
                <w:szCs w:val="20"/>
                <w:color w:val="auto"/>
              </w:rPr>
            </w:pPr>
            <w:r>
              <w:rPr>
                <w:rFonts w:ascii="Arial" w:cs="Arial" w:eastAsia="Arial" w:hAnsi="Arial"/>
                <w:sz w:val="18"/>
                <w:szCs w:val="18"/>
                <w:color w:val="auto"/>
              </w:rPr>
              <w:t>Johnson &amp; Johnson</w:t>
            </w:r>
          </w:p>
        </w:tc>
        <w:tc>
          <w:tcPr>
            <w:tcW w:w="2260" w:type="dxa"/>
            <w:vAlign w:val="bottom"/>
          </w:tcPr>
          <w:p>
            <w:pPr>
              <w:ind w:left="360"/>
              <w:spacing w:after="0"/>
              <w:rPr>
                <w:sz w:val="20"/>
                <w:szCs w:val="20"/>
                <w:color w:val="auto"/>
              </w:rPr>
            </w:pPr>
            <w:r>
              <w:rPr>
                <w:rFonts w:ascii="Arial" w:cs="Arial" w:eastAsia="Arial" w:hAnsi="Arial"/>
                <w:sz w:val="18"/>
                <w:szCs w:val="18"/>
                <w:color w:val="auto"/>
              </w:rPr>
              <w:t>Medtronic</w:t>
            </w:r>
          </w:p>
        </w:tc>
      </w:tr>
      <w:tr>
        <w:trPr>
          <w:trHeight w:val="270"/>
        </w:trPr>
        <w:tc>
          <w:tcPr>
            <w:tcW w:w="2000" w:type="dxa"/>
            <w:vAlign w:val="bottom"/>
          </w:tcPr>
          <w:p>
            <w:pPr>
              <w:ind w:left="680"/>
              <w:spacing w:after="0"/>
              <w:rPr>
                <w:sz w:val="20"/>
                <w:szCs w:val="20"/>
                <w:color w:val="auto"/>
              </w:rPr>
            </w:pPr>
            <w:r>
              <w:rPr>
                <w:rFonts w:ascii="Arial" w:cs="Arial" w:eastAsia="Arial" w:hAnsi="Arial"/>
                <w:sz w:val="18"/>
                <w:szCs w:val="18"/>
                <w:color w:val="auto"/>
              </w:rPr>
              <w:t>Merck</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Novartis</w:t>
            </w:r>
          </w:p>
        </w:tc>
        <w:tc>
          <w:tcPr>
            <w:tcW w:w="2260" w:type="dxa"/>
            <w:vAlign w:val="bottom"/>
          </w:tcPr>
          <w:p>
            <w:pPr>
              <w:ind w:left="420"/>
              <w:spacing w:after="0"/>
              <w:rPr>
                <w:sz w:val="20"/>
                <w:szCs w:val="20"/>
                <w:color w:val="auto"/>
              </w:rPr>
            </w:pPr>
            <w:r>
              <w:rPr>
                <w:rFonts w:ascii="Arial" w:cs="Arial" w:eastAsia="Arial" w:hAnsi="Arial"/>
                <w:sz w:val="18"/>
                <w:szCs w:val="18"/>
                <w:color w:val="auto"/>
              </w:rPr>
              <w:t>Pfizer</w:t>
            </w:r>
          </w:p>
        </w:tc>
        <w:tc>
          <w:tcPr>
            <w:tcW w:w="2260" w:type="dxa"/>
            <w:vAlign w:val="bottom"/>
          </w:tcPr>
          <w:p>
            <w:pPr>
              <w:ind w:left="360"/>
              <w:spacing w:after="0"/>
              <w:rPr>
                <w:sz w:val="20"/>
                <w:szCs w:val="20"/>
                <w:color w:val="auto"/>
              </w:rPr>
            </w:pPr>
            <w:r>
              <w:rPr>
                <w:rFonts w:ascii="Arial" w:cs="Arial" w:eastAsia="Arial" w:hAnsi="Arial"/>
                <w:sz w:val="18"/>
                <w:szCs w:val="18"/>
                <w:color w:val="auto"/>
              </w:rPr>
              <w:t>Roche</w:t>
            </w:r>
          </w:p>
        </w:tc>
      </w:tr>
      <w:tr>
        <w:trPr>
          <w:trHeight w:val="270"/>
        </w:trPr>
        <w:tc>
          <w:tcPr>
            <w:tcW w:w="2000" w:type="dxa"/>
            <w:vAlign w:val="bottom"/>
          </w:tcPr>
          <w:p>
            <w:pPr>
              <w:ind w:left="680"/>
              <w:spacing w:after="0"/>
              <w:rPr>
                <w:sz w:val="20"/>
                <w:szCs w:val="20"/>
                <w:color w:val="auto"/>
              </w:rPr>
            </w:pPr>
            <w:r>
              <w:rPr>
                <w:rFonts w:ascii="Arial" w:cs="Arial" w:eastAsia="Arial" w:hAnsi="Arial"/>
                <w:sz w:val="18"/>
                <w:szCs w:val="18"/>
                <w:color w:val="auto"/>
              </w:rPr>
              <w:t>Sanofi</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Stryker</w:t>
            </w:r>
          </w:p>
        </w:tc>
        <w:tc>
          <w:tcPr>
            <w:tcW w:w="226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455"/>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color w:val="auto"/>
                <w:w w:val="99"/>
              </w:rPr>
              <w:t>General Industry Peer Group</w:t>
            </w:r>
          </w:p>
        </w:tc>
        <w:tc>
          <w:tcPr>
            <w:tcW w:w="17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3"/>
        </w:trPr>
        <w:tc>
          <w:tcPr>
            <w:tcW w:w="2000" w:type="dxa"/>
            <w:vAlign w:val="bottom"/>
          </w:tcPr>
          <w:p>
            <w:pPr>
              <w:ind w:left="680"/>
              <w:spacing w:after="0"/>
              <w:rPr>
                <w:sz w:val="20"/>
                <w:szCs w:val="20"/>
                <w:color w:val="auto"/>
              </w:rPr>
            </w:pPr>
            <w:r>
              <w:rPr>
                <w:rFonts w:ascii="Arial" w:cs="Arial" w:eastAsia="Arial" w:hAnsi="Arial"/>
                <w:sz w:val="18"/>
                <w:szCs w:val="18"/>
                <w:color w:val="auto"/>
              </w:rPr>
              <w:t>3M</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Abbott Laboratories</w:t>
            </w:r>
          </w:p>
        </w:tc>
        <w:tc>
          <w:tcPr>
            <w:tcW w:w="2260" w:type="dxa"/>
            <w:vAlign w:val="bottom"/>
          </w:tcPr>
          <w:p>
            <w:pPr>
              <w:ind w:left="340"/>
              <w:spacing w:after="0"/>
              <w:rPr>
                <w:sz w:val="20"/>
                <w:szCs w:val="20"/>
                <w:color w:val="auto"/>
              </w:rPr>
            </w:pPr>
            <w:r>
              <w:rPr>
                <w:rFonts w:ascii="Arial" w:cs="Arial" w:eastAsia="Arial" w:hAnsi="Arial"/>
                <w:sz w:val="18"/>
                <w:szCs w:val="18"/>
                <w:color w:val="auto"/>
              </w:rPr>
              <w:t>Adobe</w:t>
            </w:r>
          </w:p>
        </w:tc>
        <w:tc>
          <w:tcPr>
            <w:tcW w:w="2260" w:type="dxa"/>
            <w:vAlign w:val="bottom"/>
          </w:tcPr>
          <w:p>
            <w:pPr>
              <w:ind w:left="280"/>
              <w:spacing w:after="0"/>
              <w:rPr>
                <w:sz w:val="20"/>
                <w:szCs w:val="20"/>
                <w:color w:val="auto"/>
              </w:rPr>
            </w:pPr>
            <w:r>
              <w:rPr>
                <w:rFonts w:ascii="Arial" w:cs="Arial" w:eastAsia="Arial" w:hAnsi="Arial"/>
                <w:sz w:val="18"/>
                <w:szCs w:val="18"/>
                <w:color w:val="auto"/>
                <w:w w:val="98"/>
              </w:rPr>
              <w:t>Advanced Micro Devices</w:t>
            </w:r>
          </w:p>
        </w:tc>
      </w:tr>
      <w:tr>
        <w:trPr>
          <w:trHeight w:val="270"/>
        </w:trPr>
        <w:tc>
          <w:tcPr>
            <w:tcW w:w="2000" w:type="dxa"/>
            <w:vAlign w:val="bottom"/>
          </w:tcPr>
          <w:p>
            <w:pPr>
              <w:ind w:left="680"/>
              <w:spacing w:after="0"/>
              <w:rPr>
                <w:sz w:val="20"/>
                <w:szCs w:val="20"/>
                <w:color w:val="auto"/>
              </w:rPr>
            </w:pPr>
            <w:r>
              <w:rPr>
                <w:rFonts w:ascii="Arial" w:cs="Arial" w:eastAsia="Arial" w:hAnsi="Arial"/>
                <w:sz w:val="18"/>
                <w:szCs w:val="18"/>
                <w:color w:val="auto"/>
              </w:rPr>
              <w:t>Apple</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Applied Materials</w:t>
            </w:r>
          </w:p>
        </w:tc>
        <w:tc>
          <w:tcPr>
            <w:tcW w:w="2260" w:type="dxa"/>
            <w:vAlign w:val="bottom"/>
          </w:tcPr>
          <w:p>
            <w:pPr>
              <w:ind w:left="340"/>
              <w:spacing w:after="0"/>
              <w:rPr>
                <w:sz w:val="20"/>
                <w:szCs w:val="20"/>
                <w:color w:val="auto"/>
              </w:rPr>
            </w:pPr>
            <w:r>
              <w:rPr>
                <w:rFonts w:ascii="Arial" w:cs="Arial" w:eastAsia="Arial" w:hAnsi="Arial"/>
                <w:sz w:val="18"/>
                <w:szCs w:val="18"/>
                <w:color w:val="auto"/>
              </w:rPr>
              <w:t>Broadcom</w:t>
            </w:r>
          </w:p>
        </w:tc>
        <w:tc>
          <w:tcPr>
            <w:tcW w:w="2260" w:type="dxa"/>
            <w:vAlign w:val="bottom"/>
          </w:tcPr>
          <w:p>
            <w:pPr>
              <w:ind w:left="280"/>
              <w:spacing w:after="0"/>
              <w:rPr>
                <w:sz w:val="20"/>
                <w:szCs w:val="20"/>
                <w:color w:val="auto"/>
              </w:rPr>
            </w:pPr>
            <w:r>
              <w:rPr>
                <w:rFonts w:ascii="Arial" w:cs="Arial" w:eastAsia="Arial" w:hAnsi="Arial"/>
                <w:sz w:val="18"/>
                <w:szCs w:val="18"/>
                <w:color w:val="auto"/>
              </w:rPr>
              <w:t>Cisco</w:t>
            </w:r>
          </w:p>
        </w:tc>
      </w:tr>
      <w:tr>
        <w:trPr>
          <w:trHeight w:val="270"/>
        </w:trPr>
        <w:tc>
          <w:tcPr>
            <w:tcW w:w="2000" w:type="dxa"/>
            <w:vAlign w:val="bottom"/>
          </w:tcPr>
          <w:p>
            <w:pPr>
              <w:ind w:left="680"/>
              <w:spacing w:after="0"/>
              <w:rPr>
                <w:sz w:val="20"/>
                <w:szCs w:val="20"/>
                <w:color w:val="auto"/>
              </w:rPr>
            </w:pPr>
            <w:r>
              <w:rPr>
                <w:rFonts w:ascii="Arial" w:cs="Arial" w:eastAsia="Arial" w:hAnsi="Arial"/>
                <w:sz w:val="18"/>
                <w:szCs w:val="18"/>
                <w:color w:val="auto"/>
              </w:rPr>
              <w:t>Coca-Cola</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Colgate-Palmolive</w:t>
            </w:r>
          </w:p>
        </w:tc>
        <w:tc>
          <w:tcPr>
            <w:tcW w:w="2260" w:type="dxa"/>
            <w:vAlign w:val="bottom"/>
          </w:tcPr>
          <w:p>
            <w:pPr>
              <w:ind w:left="340"/>
              <w:spacing w:after="0"/>
              <w:rPr>
                <w:sz w:val="20"/>
                <w:szCs w:val="20"/>
                <w:color w:val="auto"/>
              </w:rPr>
            </w:pPr>
            <w:r>
              <w:rPr>
                <w:rFonts w:ascii="Arial" w:cs="Arial" w:eastAsia="Arial" w:hAnsi="Arial"/>
                <w:sz w:val="18"/>
                <w:szCs w:val="18"/>
                <w:color w:val="auto"/>
              </w:rPr>
              <w:t>Danaher</w:t>
            </w:r>
          </w:p>
        </w:tc>
        <w:tc>
          <w:tcPr>
            <w:tcW w:w="2260" w:type="dxa"/>
            <w:vAlign w:val="bottom"/>
          </w:tcPr>
          <w:p>
            <w:pPr>
              <w:ind w:left="280"/>
              <w:spacing w:after="0"/>
              <w:rPr>
                <w:sz w:val="20"/>
                <w:szCs w:val="20"/>
                <w:color w:val="auto"/>
              </w:rPr>
            </w:pPr>
            <w:r>
              <w:rPr>
                <w:rFonts w:ascii="Arial" w:cs="Arial" w:eastAsia="Arial" w:hAnsi="Arial"/>
                <w:sz w:val="18"/>
                <w:szCs w:val="18"/>
                <w:color w:val="auto"/>
              </w:rPr>
              <w:t>Honeywell</w:t>
            </w:r>
          </w:p>
        </w:tc>
      </w:tr>
      <w:tr>
        <w:trPr>
          <w:trHeight w:val="270"/>
        </w:trPr>
        <w:tc>
          <w:tcPr>
            <w:tcW w:w="2000" w:type="dxa"/>
            <w:vAlign w:val="bottom"/>
          </w:tcPr>
          <w:p>
            <w:pPr>
              <w:ind w:left="680"/>
              <w:spacing w:after="0"/>
              <w:rPr>
                <w:sz w:val="20"/>
                <w:szCs w:val="20"/>
                <w:color w:val="auto"/>
              </w:rPr>
            </w:pPr>
            <w:r>
              <w:rPr>
                <w:rFonts w:ascii="Arial" w:cs="Arial" w:eastAsia="Arial" w:hAnsi="Arial"/>
                <w:sz w:val="18"/>
                <w:szCs w:val="18"/>
                <w:color w:val="auto"/>
              </w:rPr>
              <w:t>IBM</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Intel</w:t>
            </w:r>
          </w:p>
        </w:tc>
        <w:tc>
          <w:tcPr>
            <w:tcW w:w="2260" w:type="dxa"/>
            <w:vAlign w:val="bottom"/>
          </w:tcPr>
          <w:p>
            <w:pPr>
              <w:ind w:left="340"/>
              <w:spacing w:after="0"/>
              <w:rPr>
                <w:sz w:val="20"/>
                <w:szCs w:val="20"/>
                <w:color w:val="auto"/>
              </w:rPr>
            </w:pPr>
            <w:r>
              <w:rPr>
                <w:rFonts w:ascii="Arial" w:cs="Arial" w:eastAsia="Arial" w:hAnsi="Arial"/>
                <w:sz w:val="18"/>
                <w:szCs w:val="18"/>
                <w:color w:val="auto"/>
              </w:rPr>
              <w:t>McDonald’s</w:t>
            </w:r>
          </w:p>
        </w:tc>
        <w:tc>
          <w:tcPr>
            <w:tcW w:w="2260" w:type="dxa"/>
            <w:vAlign w:val="bottom"/>
          </w:tcPr>
          <w:p>
            <w:pPr>
              <w:ind w:left="280"/>
              <w:spacing w:after="0"/>
              <w:rPr>
                <w:sz w:val="20"/>
                <w:szCs w:val="20"/>
                <w:color w:val="auto"/>
              </w:rPr>
            </w:pPr>
            <w:r>
              <w:rPr>
                <w:rFonts w:ascii="Arial" w:cs="Arial" w:eastAsia="Arial" w:hAnsi="Arial"/>
                <w:sz w:val="18"/>
                <w:szCs w:val="18"/>
                <w:color w:val="auto"/>
              </w:rPr>
              <w:t>Micron</w:t>
            </w:r>
          </w:p>
        </w:tc>
      </w:tr>
      <w:tr>
        <w:trPr>
          <w:trHeight w:val="270"/>
        </w:trPr>
        <w:tc>
          <w:tcPr>
            <w:tcW w:w="2000" w:type="dxa"/>
            <w:vAlign w:val="bottom"/>
          </w:tcPr>
          <w:p>
            <w:pPr>
              <w:ind w:left="680"/>
              <w:spacing w:after="0"/>
              <w:rPr>
                <w:sz w:val="20"/>
                <w:szCs w:val="20"/>
                <w:color w:val="auto"/>
              </w:rPr>
            </w:pPr>
            <w:r>
              <w:rPr>
                <w:rFonts w:ascii="Arial" w:cs="Arial" w:eastAsia="Arial" w:hAnsi="Arial"/>
                <w:sz w:val="18"/>
                <w:szCs w:val="18"/>
                <w:color w:val="auto"/>
              </w:rPr>
              <w:t>Nike</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NVIDIA</w:t>
            </w:r>
          </w:p>
        </w:tc>
        <w:tc>
          <w:tcPr>
            <w:tcW w:w="2260" w:type="dxa"/>
            <w:vAlign w:val="bottom"/>
          </w:tcPr>
          <w:p>
            <w:pPr>
              <w:ind w:left="340"/>
              <w:spacing w:after="0"/>
              <w:rPr>
                <w:sz w:val="20"/>
                <w:szCs w:val="20"/>
                <w:color w:val="auto"/>
              </w:rPr>
            </w:pPr>
            <w:r>
              <w:rPr>
                <w:rFonts w:ascii="Arial" w:cs="Arial" w:eastAsia="Arial" w:hAnsi="Arial"/>
                <w:sz w:val="18"/>
                <w:szCs w:val="18"/>
                <w:color w:val="auto"/>
              </w:rPr>
              <w:t>Qualcomm</w:t>
            </w:r>
          </w:p>
        </w:tc>
        <w:tc>
          <w:tcPr>
            <w:tcW w:w="2260" w:type="dxa"/>
            <w:vAlign w:val="bottom"/>
          </w:tcPr>
          <w:p>
            <w:pPr>
              <w:ind w:left="280"/>
              <w:spacing w:after="0"/>
              <w:rPr>
                <w:sz w:val="20"/>
                <w:szCs w:val="20"/>
                <w:color w:val="auto"/>
              </w:rPr>
            </w:pPr>
            <w:r>
              <w:rPr>
                <w:rFonts w:ascii="Arial" w:cs="Arial" w:eastAsia="Arial" w:hAnsi="Arial"/>
                <w:sz w:val="18"/>
                <w:szCs w:val="18"/>
                <w:color w:val="auto"/>
              </w:rPr>
              <w:t>Salesforce</w:t>
            </w:r>
          </w:p>
        </w:tc>
      </w:tr>
      <w:tr>
        <w:trPr>
          <w:trHeight w:val="270"/>
        </w:trPr>
        <w:tc>
          <w:tcPr>
            <w:tcW w:w="2000" w:type="dxa"/>
            <w:vAlign w:val="bottom"/>
          </w:tcPr>
          <w:p>
            <w:pPr>
              <w:ind w:left="680"/>
              <w:spacing w:after="0"/>
              <w:rPr>
                <w:sz w:val="20"/>
                <w:szCs w:val="20"/>
                <w:color w:val="auto"/>
              </w:rPr>
            </w:pPr>
            <w:r>
              <w:rPr>
                <w:rFonts w:ascii="Arial" w:cs="Arial" w:eastAsia="Arial" w:hAnsi="Arial"/>
                <w:sz w:val="18"/>
                <w:szCs w:val="18"/>
                <w:color w:val="auto"/>
              </w:rPr>
              <w:t>Tesla</w:t>
            </w:r>
          </w:p>
        </w:tc>
        <w:tc>
          <w:tcPr>
            <w:tcW w:w="2380" w:type="dxa"/>
            <w:vAlign w:val="bottom"/>
            <w:gridSpan w:val="2"/>
          </w:tcPr>
          <w:p>
            <w:pPr>
              <w:ind w:left="460"/>
              <w:spacing w:after="0"/>
              <w:rPr>
                <w:sz w:val="20"/>
                <w:szCs w:val="20"/>
                <w:color w:val="auto"/>
              </w:rPr>
            </w:pPr>
            <w:r>
              <w:rPr>
                <w:rFonts w:ascii="Arial" w:cs="Arial" w:eastAsia="Arial" w:hAnsi="Arial"/>
                <w:sz w:val="18"/>
                <w:szCs w:val="18"/>
                <w:color w:val="auto"/>
              </w:rPr>
              <w:t>Thermo Fisher</w:t>
            </w:r>
          </w:p>
        </w:tc>
        <w:tc>
          <w:tcPr>
            <w:tcW w:w="2260" w:type="dxa"/>
            <w:vAlign w:val="bottom"/>
          </w:tcPr>
          <w:p>
            <w:pPr>
              <w:spacing w:after="0"/>
              <w:rPr>
                <w:sz w:val="23"/>
                <w:szCs w:val="23"/>
                <w:color w:val="auto"/>
              </w:rPr>
            </w:pPr>
          </w:p>
        </w:tc>
        <w:tc>
          <w:tcPr>
            <w:tcW w:w="2260" w:type="dxa"/>
            <w:vAlign w:val="bottom"/>
          </w:tcPr>
          <w:p>
            <w:pPr>
              <w:spacing w:after="0"/>
              <w:rPr>
                <w:sz w:val="23"/>
                <w:szCs w:val="23"/>
                <w:color w:val="auto"/>
              </w:rPr>
            </w:pPr>
          </w:p>
        </w:tc>
      </w:tr>
    </w:tbl>
    <w:p>
      <w:pPr>
        <w:spacing w:after="0" w:line="26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Committee reviews and approves peer groups at least every three years. The Chair of the Committee and the Committee’s independent compensation consultant review the peer groups annually.</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Components of Our Compensation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compensation components and award types remained unchanged.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1. Base Salary</w:t>
      </w:r>
    </w:p>
    <w:p>
      <w:pPr>
        <w:spacing w:after="0" w:line="7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Base salaries are reviewed annually and may be adjusted based on performance, changes in job responsibilities, or to maintain market competitiveness. Salaries deemed appropriate based on job responsibilities, performance, and market competitiveness remain unchanged.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color w:val="D52B1E"/>
        </w:rPr>
        <w:t>2. Annual Cash Bonus (Bonus Plan)</w:t>
      </w:r>
    </w:p>
    <w:p>
      <w:pPr>
        <w:spacing w:after="0" w:line="7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Committee maintained the Bonus Plan’s three equally weighted measures for 2025: product revenue, EPS, and pipeline progress. The product revenue metric focuses on newer products, while the pipeline metric tracks deliverables by therapeutic area.</w:t>
      </w:r>
    </w:p>
    <w:p>
      <w:pPr>
        <w:spacing w:after="0" w:line="9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Goals and weightings are set annually based on the operating plan and pipeline objectives. Certain product-specific revenue goals and internal pipeline objectives are not publicly disclosed to avoid competitive harm.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2025 performance measures and weightings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137795</wp:posOffset>
            </wp:positionV>
            <wp:extent cx="239141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19" w:lineRule="exact"/>
        <w:rPr>
          <w:sz w:val="20"/>
          <w:szCs w:val="20"/>
          <w:color w:val="auto"/>
        </w:rPr>
      </w:pPr>
    </w:p>
    <w:tbl>
      <w:tblPr>
        <w:tblLayout w:type="fixed"/>
        <w:tblInd w:w="2520" w:type="dxa"/>
        <w:tblCellMar>
          <w:top w:w="0" w:type="dxa"/>
          <w:left w:w="0" w:type="dxa"/>
          <w:bottom w:w="0" w:type="dxa"/>
          <w:right w:w="0" w:type="dxa"/>
        </w:tblCellMar>
      </w:tblPr>
      <w:tr>
        <w:trPr>
          <w:trHeight w:val="255"/>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Lilly 2025 Goals</w:t>
            </w:r>
          </w:p>
        </w:tc>
        <w:tc>
          <w:tcPr>
            <w:tcW w:w="16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Weighting</w:t>
            </w:r>
          </w:p>
        </w:tc>
      </w:tr>
      <w:tr>
        <w:trPr>
          <w:trHeight w:val="247"/>
        </w:trPr>
        <w:tc>
          <w:tcPr>
            <w:tcW w:w="210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w:t>
            </w:r>
          </w:p>
        </w:tc>
      </w:tr>
      <w:tr>
        <w:trPr>
          <w:trHeight w:val="270"/>
        </w:trPr>
        <w:tc>
          <w:tcPr>
            <w:tcW w:w="2100" w:type="dxa"/>
            <w:vAlign w:val="bottom"/>
          </w:tcPr>
          <w:p>
            <w:pPr>
              <w:ind w:left="20"/>
              <w:spacing w:after="0"/>
              <w:rPr>
                <w:sz w:val="20"/>
                <w:szCs w:val="20"/>
                <w:color w:val="auto"/>
              </w:rPr>
            </w:pPr>
            <w:r>
              <w:rPr>
                <w:rFonts w:ascii="Arial" w:cs="Arial" w:eastAsia="Arial" w:hAnsi="Arial"/>
                <w:sz w:val="18"/>
                <w:szCs w:val="18"/>
                <w:color w:val="auto"/>
              </w:rPr>
              <w:t>EPS performance</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w:t>
            </w:r>
          </w:p>
        </w:tc>
      </w:tr>
      <w:tr>
        <w:trPr>
          <w:trHeight w:val="270"/>
        </w:trPr>
        <w:tc>
          <w:tcPr>
            <w:tcW w:w="2100" w:type="dxa"/>
            <w:vAlign w:val="bottom"/>
          </w:tcPr>
          <w:p>
            <w:pPr>
              <w:ind w:left="20"/>
              <w:spacing w:after="0"/>
              <w:rPr>
                <w:sz w:val="20"/>
                <w:szCs w:val="20"/>
                <w:color w:val="auto"/>
              </w:rPr>
            </w:pPr>
            <w:r>
              <w:rPr>
                <w:rFonts w:ascii="Arial" w:cs="Arial" w:eastAsia="Arial" w:hAnsi="Arial"/>
                <w:sz w:val="18"/>
                <w:szCs w:val="18"/>
                <w:color w:val="auto"/>
              </w:rPr>
              <w:t>Pipeline progression</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33.3%</w:t>
            </w:r>
          </w:p>
        </w:tc>
      </w:tr>
      <w:tr>
        <w:trPr>
          <w:trHeight w:val="23"/>
        </w:trPr>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1"/>
        </w:trPr>
        <w:tc>
          <w:tcPr>
            <w:tcW w:w="2100" w:type="dxa"/>
            <w:vAlign w:val="bottom"/>
          </w:tcPr>
          <w:p>
            <w:pPr>
              <w:ind w:left="20"/>
              <w:spacing w:after="0"/>
              <w:rPr>
                <w:sz w:val="20"/>
                <w:szCs w:val="20"/>
                <w:color w:val="auto"/>
              </w:rPr>
            </w:pPr>
            <w:r>
              <w:rPr>
                <w:rFonts w:ascii="Arial" w:cs="Arial" w:eastAsia="Arial" w:hAnsi="Arial"/>
                <w:sz w:val="18"/>
                <w:szCs w:val="18"/>
                <w:color w:val="auto"/>
              </w:rPr>
              <w:t>Bonus multiple</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3"/>
        </w:trPr>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incentivize swift delivery of breakthrough medicines, the Committee focused the revenue measure on seven key products: Kisunla, Ebglyss, Omvoh, Jaypirca, Verzenio, Mounjaro, and Zepbound. Together, these products represent significant patient outcomes and support long-term company performance.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pipeline scorecard provides employees visibility into how their work impacts bonus payouts. For 2025, the scorecard measures progress across four categories:</w:t>
      </w:r>
    </w:p>
    <w:p>
      <w:pPr>
        <w:spacing w:after="0" w:line="99" w:lineRule="exact"/>
        <w:rPr>
          <w:sz w:val="20"/>
          <w:szCs w:val="20"/>
          <w:color w:val="auto"/>
        </w:rPr>
      </w:pPr>
    </w:p>
    <w:p>
      <w:pPr>
        <w:ind w:left="500" w:right="420" w:hanging="330"/>
        <w:spacing w:after="0" w:line="287"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b w:val="1"/>
          <w:bCs w:val="1"/>
          <w:i w:val="1"/>
          <w:iCs w:val="1"/>
          <w:color w:val="auto"/>
        </w:rPr>
        <w:t>Discovery / Early Development</w:t>
      </w:r>
      <w:r>
        <w:rPr>
          <w:rFonts w:ascii="Arial" w:cs="Arial" w:eastAsia="Arial" w:hAnsi="Arial"/>
          <w:sz w:val="18"/>
          <w:szCs w:val="18"/>
          <w:color w:val="auto"/>
        </w:rPr>
        <w:t>: Output from discovery, entries into clinical development, and early-phase clinical readouts (e.g.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Proof of Concept)</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29"/>
        </w:numPr>
        <w:rPr>
          <w:rFonts w:ascii="Arial" w:cs="Arial" w:eastAsia="Arial" w:hAnsi="Arial"/>
          <w:sz w:val="16"/>
          <w:szCs w:val="16"/>
          <w:color w:val="auto"/>
        </w:rPr>
      </w:pPr>
      <w:r>
        <w:rPr>
          <w:rFonts w:ascii="Arial" w:cs="Arial" w:eastAsia="Arial" w:hAnsi="Arial"/>
          <w:sz w:val="18"/>
          <w:szCs w:val="18"/>
          <w:b w:val="1"/>
          <w:bCs w:val="1"/>
          <w:i w:val="1"/>
          <w:iCs w:val="1"/>
          <w:color w:val="auto"/>
        </w:rPr>
        <w:t>Late Development / Regulatory</w:t>
      </w:r>
      <w:r>
        <w:rPr>
          <w:rFonts w:ascii="Arial" w:cs="Arial" w:eastAsia="Arial" w:hAnsi="Arial"/>
          <w:sz w:val="18"/>
          <w:szCs w:val="18"/>
          <w:color w:val="auto"/>
        </w:rPr>
        <w:t>: Entries into registrational studies, Phase 3 readouts, and regulatory outcomes</w:t>
      </w:r>
    </w:p>
    <w:p>
      <w:pPr>
        <w:spacing w:after="0" w:line="171" w:lineRule="exact"/>
        <w:rPr>
          <w:rFonts w:ascii="Arial" w:cs="Arial" w:eastAsia="Arial" w:hAnsi="Arial"/>
          <w:sz w:val="16"/>
          <w:szCs w:val="16"/>
          <w:color w:val="auto"/>
        </w:rPr>
      </w:pPr>
    </w:p>
    <w:p>
      <w:pPr>
        <w:ind w:left="500" w:right="560" w:hanging="330"/>
        <w:spacing w:after="0" w:line="287"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b w:val="1"/>
          <w:bCs w:val="1"/>
          <w:i w:val="1"/>
          <w:iCs w:val="1"/>
          <w:color w:val="auto"/>
        </w:rPr>
        <w:t>Business Development / Strategic Initiatives</w:t>
      </w:r>
      <w:r>
        <w:rPr>
          <w:rFonts w:ascii="Arial" w:cs="Arial" w:eastAsia="Arial" w:hAnsi="Arial"/>
          <w:sz w:val="18"/>
          <w:szCs w:val="18"/>
          <w:color w:val="auto"/>
        </w:rPr>
        <w:t>: Entries into Lilly R&amp;D portfolio from business development and achievement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priorities</w:t>
      </w:r>
    </w:p>
    <w:p>
      <w:pPr>
        <w:spacing w:after="0" w:line="98" w:lineRule="exact"/>
        <w:rPr>
          <w:rFonts w:ascii="Arial" w:cs="Arial" w:eastAsia="Arial" w:hAnsi="Arial"/>
          <w:sz w:val="16"/>
          <w:szCs w:val="16"/>
          <w:color w:val="auto"/>
        </w:rPr>
      </w:pPr>
    </w:p>
    <w:p>
      <w:pPr>
        <w:ind w:left="500" w:right="560" w:hanging="330"/>
        <w:spacing w:after="0" w:line="287" w:lineRule="auto"/>
        <w:tabs>
          <w:tab w:leader="none" w:pos="489" w:val="left"/>
        </w:tabs>
        <w:numPr>
          <w:ilvl w:val="0"/>
          <w:numId w:val="129"/>
        </w:numPr>
        <w:rPr>
          <w:rFonts w:ascii="Arial" w:cs="Arial" w:eastAsia="Arial" w:hAnsi="Arial"/>
          <w:sz w:val="16"/>
          <w:szCs w:val="16"/>
          <w:color w:val="auto"/>
        </w:rPr>
      </w:pPr>
      <w:r>
        <w:rPr>
          <w:rFonts w:ascii="Arial" w:cs="Arial" w:eastAsia="Arial" w:hAnsi="Arial"/>
          <w:sz w:val="18"/>
          <w:szCs w:val="18"/>
          <w:b w:val="1"/>
          <w:bCs w:val="1"/>
          <w:i w:val="1"/>
          <w:iCs w:val="1"/>
          <w:color w:val="auto"/>
        </w:rPr>
        <w:t>Game Changer Events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Study readouts that achieve significant scientific advances and generate substantial value for Lilly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Committee maintained the 250 percent maximum bonus payout to encourage outperformance of company goals and maintain market competitiveness. Bonus targets are approved annually by the Committee for each executive officer. All named executive officers participated in the Bonus Plan in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Bonus Plan payout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5597525" cy="26543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597525" cy="265430"/>
                    </a:xfrm>
                    <a:prstGeom prst="rect">
                      <a:avLst/>
                    </a:prstGeom>
                    <a:noFill/>
                  </pic:spPr>
                </pic:pic>
              </a:graphicData>
            </a:graphic>
          </wp:anchor>
        </w:drawing>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9"/>
          <w:szCs w:val="19"/>
          <w:b w:val="1"/>
          <w:bCs w:val="1"/>
          <w:color w:val="FFFFFF"/>
        </w:rPr>
        <w:t xml:space="preserve">Base Salary        </w:t>
      </w:r>
      <w:r>
        <w:rPr>
          <w:sz w:val="1"/>
          <w:szCs w:val="1"/>
          <w:color w:val="auto"/>
        </w:rPr>
        <w:drawing>
          <wp:inline distT="0" distB="0" distL="0" distR="0">
            <wp:extent cx="171450" cy="17145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9"/>
          <w:szCs w:val="19"/>
          <w:b w:val="1"/>
          <w:bCs w:val="1"/>
          <w:color w:val="auto"/>
        </w:rPr>
        <w:t xml:space="preserve">   Individual Bonus Target   </w:t>
      </w:r>
      <w:r>
        <w:rPr>
          <w:sz w:val="1"/>
          <w:szCs w:val="1"/>
          <w:color w:val="auto"/>
        </w:rPr>
        <w:drawing>
          <wp:inline distT="0" distB="0" distL="0" distR="0">
            <wp:extent cx="171450" cy="171450"/>
            <wp:effectExtent l="0" t="0" r="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9"/>
          <w:szCs w:val="19"/>
          <w:b w:val="1"/>
          <w:bCs w:val="1"/>
          <w:color w:val="FFFFFF"/>
        </w:rPr>
        <w:t xml:space="preserve">       Bonus Multiple</w:t>
      </w:r>
    </w:p>
    <w:p>
      <w:pPr>
        <w:spacing w:after="0" w:line="3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The Science &amp; Technology Committee may recommend that the Talent &amp; Compensation Committee apply discretion to the pipeline metric result. Additionally, the Talent &amp; Compensation Committee has the authority to apply discretion to any element of the bonus. Aside from the Committee’s financial result adjustments for incentive programs outlined in </w:t>
      </w:r>
      <w:r>
        <w:rPr>
          <w:rFonts w:ascii="Arial" w:cs="Arial" w:eastAsia="Arial" w:hAnsi="Arial"/>
          <w:sz w:val="18"/>
          <w:szCs w:val="18"/>
          <w:u w:val="single" w:color="auto"/>
          <w:color w:val="0000FF"/>
        </w:rPr>
        <w:t>Appendix A</w:t>
      </w:r>
      <w:r>
        <w:rPr>
          <w:rFonts w:ascii="Arial" w:cs="Arial" w:eastAsia="Arial" w:hAnsi="Arial"/>
          <w:sz w:val="18"/>
          <w:szCs w:val="18"/>
          <w:color w:val="auto"/>
        </w:rPr>
        <w:t>, discretion was not applied to the bonus payout. Further details regarding Lilly’s performance are detailed under “</w:t>
      </w:r>
      <w:r>
        <w:rPr>
          <w:rFonts w:ascii="Arial" w:cs="Arial" w:eastAsia="Arial" w:hAnsi="Arial"/>
          <w:sz w:val="18"/>
          <w:szCs w:val="18"/>
          <w:u w:val="single" w:color="auto"/>
          <w:color w:val="0000FF"/>
        </w:rPr>
        <w:t>Compensation Results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3. Stock Incentives</w:t>
      </w:r>
    </w:p>
    <w:p>
      <w:pPr>
        <w:spacing w:after="0" w:line="7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Consistent with last year, the company granted two types of stock awards to its named executive officers. The Committee grants annual stock awards on a pre-established date without consideration of material nonpublic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F3A85"/>
        </w:rPr>
        <w:t>Shareholder Value Awards (SVA)</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SVAs measure Lilly’s share price performance relative to its cost of capital over a three-year performance period. Payouts range from 0-200% of target, with any earned shares subject to a one-year post-vesting holding requirement. No dividends accrue during the performance period.</w:t>
      </w:r>
    </w:p>
    <w:p>
      <w:pPr>
        <w:sectPr>
          <w:pgSz w:w="11900" w:h="16838" w:orient="portrait"/>
          <w:cols w:equalWidth="0" w:num="1">
            <w:col w:w="11180"/>
          </w:cols>
          <w:pgMar w:left="320" w:top="980" w:right="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color w:val="auto"/>
        </w:rPr>
        <w:t>The SVA target is calculated as follows:</w:t>
      </w:r>
    </w:p>
    <w:p>
      <w:pPr>
        <w:spacing w:after="0" w:line="171" w:lineRule="exact"/>
        <w:rPr>
          <w:sz w:val="20"/>
          <w:szCs w:val="20"/>
          <w:color w:val="auto"/>
        </w:rPr>
      </w:pPr>
    </w:p>
    <w:p>
      <w:pPr>
        <w:ind w:left="480" w:hanging="310"/>
        <w:spacing w:after="0"/>
        <w:tabs>
          <w:tab w:leader="none" w:pos="480" w:val="left"/>
        </w:tabs>
        <w:numPr>
          <w:ilvl w:val="0"/>
          <w:numId w:val="130"/>
        </w:numPr>
        <w:rPr>
          <w:rFonts w:ascii="Arial" w:cs="Arial" w:eastAsia="Arial" w:hAnsi="Arial"/>
          <w:sz w:val="16"/>
          <w:szCs w:val="16"/>
          <w:color w:val="auto"/>
        </w:rPr>
      </w:pPr>
      <w:r>
        <w:rPr>
          <w:rFonts w:ascii="Arial" w:cs="Arial" w:eastAsia="Arial" w:hAnsi="Arial"/>
          <w:sz w:val="18"/>
          <w:szCs w:val="18"/>
          <w:color w:val="auto"/>
        </w:rPr>
        <w:t>Starting Price: $787.73 (average closing price of November – December 2024)</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0"/>
        </w:numPr>
        <w:rPr>
          <w:rFonts w:ascii="Arial" w:cs="Arial" w:eastAsia="Arial" w:hAnsi="Arial"/>
          <w:sz w:val="16"/>
          <w:szCs w:val="16"/>
          <w:color w:val="auto"/>
        </w:rPr>
      </w:pPr>
      <w:r>
        <w:rPr>
          <w:rFonts w:ascii="Arial" w:cs="Arial" w:eastAsia="Arial" w:hAnsi="Arial"/>
          <w:sz w:val="18"/>
          <w:szCs w:val="18"/>
          <w:color w:val="auto"/>
        </w:rPr>
        <w:t>Target Price: Starting price compounded by Lilly’s cost of capital (9.48%) minus assumed dividend yield (0.78%)</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0"/>
        </w:numPr>
        <w:rPr>
          <w:rFonts w:ascii="Arial" w:cs="Arial" w:eastAsia="Arial" w:hAnsi="Arial"/>
          <w:sz w:val="16"/>
          <w:szCs w:val="16"/>
          <w:color w:val="auto"/>
        </w:rPr>
      </w:pPr>
      <w:r>
        <w:rPr>
          <w:rFonts w:ascii="Arial" w:cs="Arial" w:eastAsia="Arial" w:hAnsi="Arial"/>
          <w:sz w:val="18"/>
          <w:szCs w:val="18"/>
          <w:color w:val="auto"/>
        </w:rPr>
        <w:t>Ending price: Average closing price for November – December 2027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Payouts are determined by comparing the ending price to the target, as illustrated below.</w:t>
      </w:r>
    </w:p>
    <w:p>
      <w:pPr>
        <w:spacing w:after="0" w:line="200" w:lineRule="exact"/>
        <w:rPr>
          <w:sz w:val="20"/>
          <w:szCs w:val="20"/>
          <w:color w:val="auto"/>
        </w:rPr>
      </w:pPr>
    </w:p>
    <w:p>
      <w:pPr>
        <w:spacing w:after="0" w:line="245"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2025 Shareholder Value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5760720" cy="677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6072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0F3A85"/>
        </w:rPr>
        <w:t>Relative Value Awards (RVA)</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RVAs measure Lilly’s three-year TSR performance relative to peers. The peer group may vary annually and may include companies not used in our pay benchmarking. This broader set of companies allows performance to be measured against competitors for investor capital. Once established for a given grant, the peer group remains fixed for that award’s performance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Outstanding RVA peer groups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137795</wp:posOffset>
            </wp:positionV>
            <wp:extent cx="363474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00" w:lineRule="exact"/>
        <w:rPr>
          <w:sz w:val="20"/>
          <w:szCs w:val="20"/>
          <w:color w:val="auto"/>
        </w:rPr>
      </w:pPr>
    </w:p>
    <w:p>
      <w:pPr>
        <w:ind w:left="1400"/>
        <w:spacing w:after="0"/>
        <w:tabs>
          <w:tab w:leader="none" w:pos="3580" w:val="left"/>
          <w:tab w:leader="none" w:pos="4760" w:val="left"/>
          <w:tab w:leader="none" w:pos="5940" w:val="left"/>
        </w:tabs>
        <w:rPr>
          <w:sz w:val="20"/>
          <w:szCs w:val="20"/>
          <w:color w:val="auto"/>
        </w:rPr>
      </w:pPr>
      <w:r>
        <w:rPr>
          <w:rFonts w:ascii="Arial" w:cs="Arial" w:eastAsia="Arial" w:hAnsi="Arial"/>
          <w:sz w:val="18"/>
          <w:szCs w:val="18"/>
          <w:b w:val="1"/>
          <w:bCs w:val="1"/>
          <w:color w:val="auto"/>
        </w:rPr>
        <w:t>Company Name</w:t>
      </w:r>
      <w:r>
        <w:rPr>
          <w:sz w:val="20"/>
          <w:szCs w:val="20"/>
          <w:color w:val="auto"/>
        </w:rPr>
        <w:tab/>
      </w:r>
      <w:r>
        <w:rPr>
          <w:rFonts w:ascii="Arial" w:cs="Arial" w:eastAsia="Arial" w:hAnsi="Arial"/>
          <w:sz w:val="18"/>
          <w:szCs w:val="18"/>
          <w:b w:val="1"/>
          <w:bCs w:val="1"/>
          <w:color w:val="auto"/>
        </w:rPr>
        <w:t>2025 Award</w:t>
        <w:tab/>
        <w:t>2024 Award</w:t>
      </w:r>
      <w:r>
        <w:rPr>
          <w:sz w:val="20"/>
          <w:szCs w:val="20"/>
          <w:color w:val="auto"/>
        </w:rPr>
        <w:tab/>
      </w:r>
      <w:r>
        <w:rPr>
          <w:rFonts w:ascii="Arial" w:cs="Arial" w:eastAsia="Arial" w:hAnsi="Arial"/>
          <w:sz w:val="17"/>
          <w:szCs w:val="17"/>
          <w:b w:val="1"/>
          <w:bCs w:val="1"/>
          <w:color w:val="auto"/>
        </w:rPr>
        <w:t>2023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34925</wp:posOffset>
            </wp:positionV>
            <wp:extent cx="3634740" cy="19748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634740" cy="197485"/>
                    </a:xfrm>
                    <a:prstGeom prst="rect">
                      <a:avLst/>
                    </a:prstGeom>
                    <a:noFill/>
                  </pic:spPr>
                </pic:pic>
              </a:graphicData>
            </a:graphic>
          </wp:anchor>
        </w:drawing>
      </w:r>
    </w:p>
    <w:p>
      <w:pPr>
        <w:spacing w:after="0" w:line="7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AbbVie</w:t>
      </w:r>
    </w:p>
    <w:p>
      <w:pPr>
        <w:spacing w:after="0" w:line="9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Amgen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-110490</wp:posOffset>
            </wp:positionV>
            <wp:extent cx="76835" cy="6858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-110490</wp:posOffset>
            </wp:positionV>
            <wp:extent cx="76835" cy="6858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wp:posOffset>
            </wp:positionV>
            <wp:extent cx="77470" cy="6858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1968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634740" cy="196850"/>
                    </a:xfrm>
                    <a:prstGeom prst="rect">
                      <a:avLst/>
                    </a:prstGeom>
                    <a:noFill/>
                  </pic:spPr>
                </pic:pic>
              </a:graphicData>
            </a:graphic>
          </wp:anchor>
        </w:drawing>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AstraZeneca</w:t>
      </w:r>
    </w:p>
    <w:p>
      <w:pPr>
        <w:spacing w:after="0" w:line="104" w:lineRule="exact"/>
        <w:rPr>
          <w:sz w:val="20"/>
          <w:szCs w:val="20"/>
          <w:color w:val="auto"/>
        </w:rPr>
      </w:pPr>
    </w:p>
    <w:p>
      <w:pPr>
        <w:ind w:left="1400"/>
        <w:spacing w:after="0"/>
        <w:tabs>
          <w:tab w:leader="none" w:pos="4020" w:val="left"/>
        </w:tabs>
        <w:rPr>
          <w:sz w:val="20"/>
          <w:szCs w:val="20"/>
          <w:color w:val="auto"/>
        </w:rPr>
      </w:pPr>
      <w:r>
        <w:rPr>
          <w:rFonts w:ascii="Arial" w:cs="Arial" w:eastAsia="Arial" w:hAnsi="Arial"/>
          <w:sz w:val="18"/>
          <w:szCs w:val="18"/>
          <w:color w:val="auto"/>
        </w:rPr>
        <w:t>Biogen</w:t>
      </w:r>
      <w:r>
        <w:rPr>
          <w:sz w:val="20"/>
          <w:szCs w:val="20"/>
          <w:color w:val="auto"/>
        </w:rPr>
        <w:tab/>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-110490</wp:posOffset>
            </wp:positionV>
            <wp:extent cx="76835" cy="685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wp:posOffset>
            </wp:positionV>
            <wp:extent cx="77470" cy="6858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1968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634740" cy="196850"/>
                    </a:xfrm>
                    <a:prstGeom prst="rect">
                      <a:avLst/>
                    </a:prstGeom>
                    <a:noFill/>
                  </pic:spPr>
                </pic:pic>
              </a:graphicData>
            </a:graphic>
          </wp:anchor>
        </w:drawing>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Bristol-Myers Squibb</w:t>
      </w:r>
    </w:p>
    <w:p>
      <w:pPr>
        <w:spacing w:after="0" w:line="10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Gilead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-110490</wp:posOffset>
            </wp:positionV>
            <wp:extent cx="76835" cy="6858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-110490</wp:posOffset>
            </wp:positionV>
            <wp:extent cx="76835" cy="6858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wp:posOffset>
            </wp:positionV>
            <wp:extent cx="77470" cy="6858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1968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634740" cy="196850"/>
                    </a:xfrm>
                    <a:prstGeom prst="rect">
                      <a:avLst/>
                    </a:prstGeom>
                    <a:noFill/>
                  </pic:spPr>
                </pic:pic>
              </a:graphicData>
            </a:graphic>
          </wp:anchor>
        </w:drawing>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GlaxoSmithKline</w:t>
      </w:r>
    </w:p>
    <w:p>
      <w:pPr>
        <w:spacing w:after="0" w:line="10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1968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634740" cy="19685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-110490</wp:posOffset>
            </wp:positionV>
            <wp:extent cx="76835" cy="6858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-110490</wp:posOffset>
            </wp:positionV>
            <wp:extent cx="76835" cy="6858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wp:posOffset>
            </wp:positionV>
            <wp:extent cx="77470" cy="6858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7470" cy="68580"/>
                    </a:xfrm>
                    <a:prstGeom prst="rect">
                      <a:avLst/>
                    </a:prstGeom>
                    <a:noFill/>
                  </pic:spPr>
                </pic:pic>
              </a:graphicData>
            </a:graphic>
          </wp:anchor>
        </w:drawing>
      </w:r>
    </w:p>
    <w:p>
      <w:pPr>
        <w:spacing w:after="0" w:line="84" w:lineRule="exact"/>
        <w:rPr>
          <w:sz w:val="20"/>
          <w:szCs w:val="20"/>
          <w:color w:val="auto"/>
        </w:rPr>
      </w:pPr>
    </w:p>
    <w:p>
      <w:pPr>
        <w:ind w:left="1400"/>
        <w:spacing w:after="0"/>
        <w:tabs>
          <w:tab w:leader="none" w:pos="4091" w:val="left"/>
          <w:tab w:leader="none" w:pos="6380" w:val="left"/>
        </w:tabs>
        <w:rPr>
          <w:sz w:val="20"/>
          <w:szCs w:val="20"/>
          <w:color w:val="auto"/>
        </w:rPr>
      </w:pPr>
      <w:r>
        <w:rPr>
          <w:rFonts w:ascii="Arial" w:cs="Arial" w:eastAsia="Arial" w:hAnsi="Arial"/>
          <w:sz w:val="18"/>
          <w:szCs w:val="18"/>
          <w:color w:val="auto"/>
        </w:rPr>
        <w:t>Medtronic</w:t>
      </w:r>
      <w:r>
        <w:rPr>
          <w:sz w:val="20"/>
          <w:szCs w:val="20"/>
          <w:color w:val="auto"/>
        </w:rPr>
        <w:tab/>
      </w:r>
      <w:r>
        <w:rPr>
          <w:sz w:val="1"/>
          <w:szCs w:val="1"/>
          <w:color w:val="auto"/>
        </w:rPr>
        <w:drawing>
          <wp:inline distT="0" distB="0" distL="0" distR="0">
            <wp:extent cx="76835" cy="6858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8"/>
          <w:szCs w:val="18"/>
          <w:color w:val="auto"/>
        </w:rPr>
        <w:t xml:space="preserve">          n/a</w:t>
      </w:r>
      <w:r>
        <w:rPr>
          <w:sz w:val="20"/>
          <w:szCs w:val="20"/>
          <w:color w:val="auto"/>
        </w:rPr>
        <w:tab/>
      </w:r>
      <w:r>
        <w:rPr>
          <w:rFonts w:ascii="Arial" w:cs="Arial" w:eastAsia="Arial" w:hAnsi="Arial"/>
          <w:sz w:val="17"/>
          <w:szCs w:val="17"/>
          <w:color w:val="auto"/>
        </w:rPr>
        <w:t>n/a</w:t>
      </w:r>
    </w:p>
    <w:p>
      <w:pPr>
        <w:spacing w:after="0" w:line="10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Merck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-110490</wp:posOffset>
            </wp:positionV>
            <wp:extent cx="76835" cy="6858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-110490</wp:posOffset>
            </wp:positionV>
            <wp:extent cx="76835" cy="6858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wp:posOffset>
            </wp:positionV>
            <wp:extent cx="77470" cy="6858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1968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634740" cy="196850"/>
                    </a:xfrm>
                    <a:prstGeom prst="rect">
                      <a:avLst/>
                    </a:prstGeom>
                    <a:noFill/>
                  </pic:spPr>
                </pic:pic>
              </a:graphicData>
            </a:graphic>
          </wp:anchor>
        </w:drawing>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Novartis</w:t>
      </w:r>
    </w:p>
    <w:p>
      <w:pPr>
        <w:spacing w:after="0" w:line="10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Novo Nordisk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-110490</wp:posOffset>
            </wp:positionV>
            <wp:extent cx="76835" cy="6858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-110490</wp:posOffset>
            </wp:positionV>
            <wp:extent cx="76835" cy="6858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wp:posOffset>
            </wp:positionV>
            <wp:extent cx="77470" cy="6858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1968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634740" cy="196850"/>
                    </a:xfrm>
                    <a:prstGeom prst="rect">
                      <a:avLst/>
                    </a:prstGeom>
                    <a:noFill/>
                  </pic:spPr>
                </pic:pic>
              </a:graphicData>
            </a:graphic>
          </wp:anchor>
        </w:drawing>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Pfizer</w:t>
      </w:r>
    </w:p>
    <w:p>
      <w:pPr>
        <w:spacing w:after="0" w:line="10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-110490</wp:posOffset>
            </wp:positionV>
            <wp:extent cx="76835" cy="6858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-110490</wp:posOffset>
            </wp:positionV>
            <wp:extent cx="76835" cy="6858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835" cy="685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wp:posOffset>
            </wp:positionV>
            <wp:extent cx="77470" cy="6858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7470" cy="6858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1974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634740" cy="197485"/>
                    </a:xfrm>
                    <a:prstGeom prst="rect">
                      <a:avLst/>
                    </a:prstGeom>
                    <a:noFill/>
                  </pic:spPr>
                </pic:pic>
              </a:graphicData>
            </a:graphic>
          </wp:anchor>
        </w:drawing>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Sanofi</w:t>
      </w:r>
    </w:p>
    <w:p>
      <w:pPr>
        <w:spacing w:after="0" w:line="104" w:lineRule="exact"/>
        <w:rPr>
          <w:sz w:val="20"/>
          <w:szCs w:val="20"/>
          <w:color w:val="auto"/>
        </w:rPr>
      </w:pPr>
    </w:p>
    <w:p>
      <w:pPr>
        <w:ind w:left="1400"/>
        <w:spacing w:after="0"/>
        <w:tabs>
          <w:tab w:leader="none" w:pos="4091" w:val="left"/>
          <w:tab w:leader="none" w:pos="6380" w:val="left"/>
        </w:tabs>
        <w:rPr>
          <w:sz w:val="20"/>
          <w:szCs w:val="20"/>
          <w:color w:val="auto"/>
        </w:rPr>
      </w:pPr>
      <w:r>
        <w:rPr>
          <w:rFonts w:ascii="Arial" w:cs="Arial" w:eastAsia="Arial" w:hAnsi="Arial"/>
          <w:sz w:val="18"/>
          <w:szCs w:val="18"/>
          <w:color w:val="auto"/>
        </w:rPr>
        <w:t>Stryker</w:t>
      </w:r>
      <w:r>
        <w:rPr>
          <w:sz w:val="20"/>
          <w:szCs w:val="20"/>
          <w:color w:val="auto"/>
        </w:rPr>
        <w:tab/>
      </w:r>
      <w:r>
        <w:rPr>
          <w:sz w:val="1"/>
          <w:szCs w:val="1"/>
          <w:color w:val="auto"/>
        </w:rPr>
        <w:drawing>
          <wp:inline distT="0" distB="0" distL="0" distR="0">
            <wp:extent cx="76835" cy="68580"/>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6835" cy="68580"/>
                    </a:xfrm>
                    <a:prstGeom prst="rect">
                      <a:avLst/>
                    </a:prstGeom>
                    <a:noFill/>
                    <a:ln>
                      <a:noFill/>
                    </a:ln>
                  </pic:spPr>
                </pic:pic>
              </a:graphicData>
            </a:graphic>
          </wp:inline>
        </w:drawing>
      </w:r>
      <w:r>
        <w:rPr>
          <w:rFonts w:ascii="Arial" w:cs="Arial" w:eastAsia="Arial" w:hAnsi="Arial"/>
          <w:sz w:val="18"/>
          <w:szCs w:val="18"/>
          <w:color w:val="auto"/>
        </w:rPr>
        <w:t xml:space="preserve">          n/a</w:t>
      </w:r>
      <w:r>
        <w:rPr>
          <w:sz w:val="20"/>
          <w:szCs w:val="20"/>
          <w:color w:val="auto"/>
        </w:rPr>
        <w:tab/>
      </w:r>
      <w:r>
        <w:rPr>
          <w:rFonts w:ascii="Arial" w:cs="Arial" w:eastAsia="Arial" w:hAnsi="Arial"/>
          <w:sz w:val="17"/>
          <w:szCs w:val="17"/>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1968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634740" cy="196850"/>
                    </a:xfrm>
                    <a:prstGeom prst="rect">
                      <a:avLst/>
                    </a:prstGeom>
                    <a:noFill/>
                  </pic:spPr>
                </pic:pic>
              </a:graphicData>
            </a:graphic>
          </wp:anchor>
        </w:drawing>
      </w:r>
    </w:p>
    <w:p>
      <w:pPr>
        <w:spacing w:after="0" w:line="84" w:lineRule="exact"/>
        <w:rPr>
          <w:sz w:val="20"/>
          <w:szCs w:val="20"/>
          <w:color w:val="auto"/>
        </w:rPr>
      </w:pPr>
    </w:p>
    <w:p>
      <w:pPr>
        <w:ind w:left="1400"/>
        <w:spacing w:after="0"/>
        <w:tabs>
          <w:tab w:leader="none" w:pos="4020" w:val="left"/>
        </w:tabs>
        <w:rPr>
          <w:sz w:val="20"/>
          <w:szCs w:val="20"/>
          <w:color w:val="auto"/>
        </w:rPr>
      </w:pPr>
      <w:r>
        <w:rPr>
          <w:rFonts w:ascii="Arial" w:cs="Arial" w:eastAsia="Arial" w:hAnsi="Arial"/>
          <w:sz w:val="18"/>
          <w:szCs w:val="18"/>
          <w:color w:val="auto"/>
        </w:rPr>
        <w:t>Takeda</w:t>
      </w:r>
      <w:r>
        <w:rPr>
          <w:sz w:val="20"/>
          <w:szCs w:val="20"/>
          <w:color w:val="auto"/>
        </w:rPr>
        <w:tab/>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52070</wp:posOffset>
            </wp:positionV>
            <wp:extent cx="363474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31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Payouts range from 0 to 200 percent of target, with median peer TSR performance required to achieve target payout. Any shares earned are subject to a one-year post-vesting holding requirement. No dividends accrue during the performance period.</w:t>
      </w:r>
    </w:p>
    <w:p>
      <w:pPr>
        <w:spacing w:after="0" w:line="9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To determine the final RVA payout, TSR for Lilly and each peer company is calculated by comparing average closing prices for November – December 2024 to November – December 2027 (assuming dividend reinvestment).</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55" w:name="page56"/>
    <w:bookmarkEnd w:id="55"/>
    <w:p>
      <w:pPr>
        <w:ind w:right="80"/>
        <w:spacing w:after="0" w:line="287" w:lineRule="auto"/>
        <w:rPr>
          <w:sz w:val="20"/>
          <w:szCs w:val="20"/>
          <w:color w:val="auto"/>
        </w:rPr>
      </w:pPr>
      <w:r>
        <w:rPr>
          <w:rFonts w:ascii="Arial" w:cs="Arial" w:eastAsia="Arial" w:hAnsi="Arial"/>
          <w:sz w:val="18"/>
          <w:szCs w:val="18"/>
          <w:color w:val="auto"/>
        </w:rPr>
        <w:t>Lilly’s TSR is then compared to the median peer TSR to determine payout. For example, if Lilly’s TSR is 55 percent and median peer TSR is 40 percent, Lilly outperformed by 15 percentage points, resulting in a 150% payout per the schedule below.</w:t>
      </w:r>
    </w:p>
    <w:p>
      <w:pPr>
        <w:spacing w:after="0" w:line="373"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2025 Relative Value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88900</wp:posOffset>
            </wp:positionV>
            <wp:extent cx="5015230" cy="112268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01523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for Performance</w:t>
      </w:r>
    </w:p>
    <w:p>
      <w:pPr>
        <w:spacing w:after="0" w:line="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substantial portion of executive compensation is performance-based, linking pay to individual and company performance. The chart below shows the annualized target compensation mix for the CEO and the average mix for our other named executive officers (Mr. Montarce, Dr. Skovronsky, Ms. Hakim, and Mr. Van Naarden).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85725</wp:posOffset>
            </wp:positionV>
            <wp:extent cx="4688840" cy="24257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6888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Target Compensation</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Committee considers individual contributions, company performance, internal relativity, peer group data, and CEO recommendations (for other executives) when setting target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the CEO, the Committee also considers the following:</w:t>
      </w:r>
    </w:p>
    <w:p>
      <w:pPr>
        <w:spacing w:after="0" w:line="171" w:lineRule="exact"/>
        <w:rPr>
          <w:sz w:val="20"/>
          <w:szCs w:val="20"/>
          <w:color w:val="auto"/>
        </w:rPr>
      </w:pPr>
    </w:p>
    <w:p>
      <w:pPr>
        <w:ind w:left="640" w:hanging="308"/>
        <w:spacing w:after="0"/>
        <w:tabs>
          <w:tab w:leader="none" w:pos="640" w:val="left"/>
        </w:tabs>
        <w:numPr>
          <w:ilvl w:val="0"/>
          <w:numId w:val="131"/>
        </w:numPr>
        <w:rPr>
          <w:rFonts w:ascii="Arial" w:cs="Arial" w:eastAsia="Arial" w:hAnsi="Arial"/>
          <w:sz w:val="16"/>
          <w:szCs w:val="16"/>
          <w:color w:val="auto"/>
        </w:rPr>
      </w:pPr>
      <w:r>
        <w:rPr>
          <w:rFonts w:ascii="Arial" w:cs="Arial" w:eastAsia="Arial" w:hAnsi="Arial"/>
          <w:sz w:val="18"/>
          <w:szCs w:val="18"/>
          <w:color w:val="auto"/>
        </w:rPr>
        <w:t>Independent compensation consultant recommendations;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1"/>
        </w:numPr>
        <w:rPr>
          <w:rFonts w:ascii="Arial" w:cs="Arial" w:eastAsia="Arial" w:hAnsi="Arial"/>
          <w:sz w:val="16"/>
          <w:szCs w:val="16"/>
          <w:color w:val="auto"/>
        </w:rPr>
      </w:pPr>
      <w:r>
        <w:rPr>
          <w:rFonts w:ascii="Arial" w:cs="Arial" w:eastAsia="Arial" w:hAnsi="Arial"/>
          <w:sz w:val="18"/>
          <w:szCs w:val="18"/>
          <w:color w:val="auto"/>
        </w:rPr>
        <w:t>Prior year actual total direct compensation compared to company performance (absolute and relative basis); and</w:t>
      </w:r>
    </w:p>
    <w:p>
      <w:pPr>
        <w:spacing w:after="0" w:line="171" w:lineRule="exact"/>
        <w:rPr>
          <w:rFonts w:ascii="Arial" w:cs="Arial" w:eastAsia="Arial" w:hAnsi="Arial"/>
          <w:sz w:val="16"/>
          <w:szCs w:val="16"/>
          <w:color w:val="auto"/>
        </w:rPr>
      </w:pPr>
    </w:p>
    <w:p>
      <w:pPr>
        <w:ind w:left="660" w:right="980" w:hanging="328"/>
        <w:spacing w:after="0" w:line="287" w:lineRule="auto"/>
        <w:tabs>
          <w:tab w:leader="none" w:pos="649" w:val="left"/>
        </w:tabs>
        <w:numPr>
          <w:ilvl w:val="0"/>
          <w:numId w:val="131"/>
        </w:numPr>
        <w:rPr>
          <w:rFonts w:ascii="Arial" w:cs="Arial" w:eastAsia="Arial" w:hAnsi="Arial"/>
          <w:sz w:val="16"/>
          <w:szCs w:val="16"/>
          <w:color w:val="auto"/>
        </w:rPr>
      </w:pPr>
      <w:r>
        <w:rPr>
          <w:rFonts w:ascii="Arial" w:cs="Arial" w:eastAsia="Arial" w:hAnsi="Arial"/>
          <w:sz w:val="18"/>
          <w:szCs w:val="18"/>
          <w:color w:val="auto"/>
        </w:rPr>
        <w:t>Current target total direct compensation compared to recently available peer group data, with emphasis on United States headquartered peers.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Base Salary</w:t>
      </w:r>
    </w:p>
    <w:p>
      <w:pPr>
        <w:spacing w:after="0" w:line="58"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table below shows approved annual salaries for each NEO. Base pay adjustments reflect experience, internal relativity, peer group data, and individual performance. Mr. Montarce’s 2024 base salary is the annual amount approved upon his appointment as Chief Financial Officer. Actual base salaries earned in 2025 are shown in the Summary Compensation Table (SCT) in the “Executive Compensation” section.</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b w:val="1"/>
                <w:bCs w:val="1"/>
                <w:color w:val="auto"/>
              </w:rPr>
              <w:t>2024 Annual Base</w:t>
            </w:r>
          </w:p>
        </w:tc>
        <w:tc>
          <w:tcPr>
            <w:tcW w:w="20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2025 Annual Base</w:t>
            </w:r>
          </w:p>
        </w:tc>
        <w:tc>
          <w:tcPr>
            <w:tcW w:w="1700" w:type="dxa"/>
            <w:vAlign w:val="bottom"/>
          </w:tcPr>
          <w:p>
            <w:pPr>
              <w:spacing w:after="0"/>
              <w:rPr>
                <w:sz w:val="18"/>
                <w:szCs w:val="18"/>
                <w:color w:val="auto"/>
              </w:rPr>
            </w:pPr>
          </w:p>
        </w:tc>
      </w:tr>
      <w:tr>
        <w:trPr>
          <w:trHeight w:val="255"/>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Salary</w:t>
            </w:r>
          </w:p>
        </w:tc>
        <w:tc>
          <w:tcPr>
            <w:tcW w:w="20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Salary</w:t>
            </w:r>
          </w:p>
        </w:tc>
        <w:tc>
          <w:tcPr>
            <w:tcW w:w="1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Increase</w:t>
            </w:r>
          </w:p>
        </w:tc>
      </w:tr>
      <w:tr>
        <w:trPr>
          <w:trHeight w:val="250"/>
        </w:trPr>
        <w:tc>
          <w:tcPr>
            <w:tcW w:w="20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Ricks</w:t>
            </w:r>
          </w:p>
        </w:tc>
        <w:tc>
          <w:tcPr>
            <w:tcW w:w="234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$1,700,000</w:t>
            </w:r>
          </w:p>
        </w:tc>
        <w:tc>
          <w:tcPr>
            <w:tcW w:w="2060" w:type="dxa"/>
            <w:vAlign w:val="bottom"/>
            <w:tcBorders>
              <w:bottom w:val="single" w:sz="8" w:color="F2F2F2"/>
            </w:tcBorders>
            <w:shd w:val="clear" w:color="auto" w:fill="F2F2F2"/>
          </w:tcPr>
          <w:p>
            <w:pPr>
              <w:jc w:val="right"/>
              <w:ind w:right="630"/>
              <w:spacing w:after="0"/>
              <w:rPr>
                <w:sz w:val="20"/>
                <w:szCs w:val="20"/>
                <w:color w:val="auto"/>
              </w:rPr>
            </w:pPr>
            <w:r>
              <w:rPr>
                <w:rFonts w:ascii="Arial" w:cs="Arial" w:eastAsia="Arial" w:hAnsi="Arial"/>
                <w:sz w:val="18"/>
                <w:szCs w:val="18"/>
                <w:color w:val="auto"/>
              </w:rPr>
              <w:t>$1,700,000</w:t>
            </w:r>
          </w:p>
        </w:tc>
        <w:tc>
          <w:tcPr>
            <w:tcW w:w="1700" w:type="dxa"/>
            <w:vAlign w:val="bottom"/>
            <w:tcBorders>
              <w:bottom w:val="single" w:sz="8" w:color="F2F2F2"/>
            </w:tcBorders>
            <w:shd w:val="clear" w:color="auto" w:fill="F2F2F2"/>
          </w:tcPr>
          <w:p>
            <w:pPr>
              <w:jc w:val="right"/>
              <w:ind w:right="570"/>
              <w:spacing w:after="0"/>
              <w:rPr>
                <w:sz w:val="20"/>
                <w:szCs w:val="20"/>
                <w:color w:val="auto"/>
              </w:rPr>
            </w:pPr>
            <w:r>
              <w:rPr>
                <w:rFonts w:ascii="Arial" w:cs="Arial" w:eastAsia="Arial" w:hAnsi="Arial"/>
                <w:sz w:val="18"/>
                <w:szCs w:val="18"/>
                <w:color w:val="auto"/>
              </w:rPr>
              <w:t>0.0%</w:t>
            </w:r>
          </w:p>
        </w:tc>
      </w:tr>
      <w:tr>
        <w:trPr>
          <w:trHeight w:val="247"/>
        </w:trPr>
        <w:tc>
          <w:tcPr>
            <w:tcW w:w="2000" w:type="dxa"/>
            <w:vAlign w:val="bottom"/>
          </w:tcPr>
          <w:p>
            <w:pPr>
              <w:ind w:left="20"/>
              <w:spacing w:after="0"/>
              <w:rPr>
                <w:sz w:val="20"/>
                <w:szCs w:val="20"/>
                <w:color w:val="auto"/>
              </w:rPr>
            </w:pPr>
            <w:r>
              <w:rPr>
                <w:rFonts w:ascii="Arial" w:cs="Arial" w:eastAsia="Arial" w:hAnsi="Arial"/>
                <w:sz w:val="18"/>
                <w:szCs w:val="18"/>
                <w:color w:val="auto"/>
              </w:rPr>
              <w:t>Mr. Montarce</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$1,000,000</w:t>
            </w:r>
          </w:p>
        </w:tc>
        <w:tc>
          <w:tcPr>
            <w:tcW w:w="2060" w:type="dxa"/>
            <w:vAlign w:val="bottom"/>
          </w:tcPr>
          <w:p>
            <w:pPr>
              <w:jc w:val="right"/>
              <w:ind w:right="630"/>
              <w:spacing w:after="0"/>
              <w:rPr>
                <w:sz w:val="20"/>
                <w:szCs w:val="20"/>
                <w:color w:val="auto"/>
              </w:rPr>
            </w:pPr>
            <w:r>
              <w:rPr>
                <w:rFonts w:ascii="Arial" w:cs="Arial" w:eastAsia="Arial" w:hAnsi="Arial"/>
                <w:sz w:val="18"/>
                <w:szCs w:val="18"/>
                <w:color w:val="auto"/>
              </w:rPr>
              <w:t>$1,000,000</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0.0%</w:t>
            </w:r>
          </w:p>
        </w:tc>
      </w:tr>
      <w:tr>
        <w:trPr>
          <w:trHeight w:val="23"/>
        </w:trPr>
        <w:tc>
          <w:tcPr>
            <w:tcW w:w="20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Dr. Skovronsky</w:t>
            </w:r>
          </w:p>
        </w:tc>
        <w:tc>
          <w:tcPr>
            <w:tcW w:w="234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$1,450,000</w:t>
            </w:r>
          </w:p>
        </w:tc>
        <w:tc>
          <w:tcPr>
            <w:tcW w:w="2060" w:type="dxa"/>
            <w:vAlign w:val="bottom"/>
            <w:tcBorders>
              <w:bottom w:val="single" w:sz="8" w:color="F2F2F2"/>
            </w:tcBorders>
            <w:shd w:val="clear" w:color="auto" w:fill="F2F2F2"/>
          </w:tcPr>
          <w:p>
            <w:pPr>
              <w:jc w:val="right"/>
              <w:ind w:right="630"/>
              <w:spacing w:after="0"/>
              <w:rPr>
                <w:sz w:val="20"/>
                <w:szCs w:val="20"/>
                <w:color w:val="auto"/>
              </w:rPr>
            </w:pPr>
            <w:r>
              <w:rPr>
                <w:rFonts w:ascii="Arial" w:cs="Arial" w:eastAsia="Arial" w:hAnsi="Arial"/>
                <w:sz w:val="18"/>
                <w:szCs w:val="18"/>
                <w:color w:val="auto"/>
              </w:rPr>
              <w:t>$1,500,000</w:t>
            </w:r>
          </w:p>
        </w:tc>
        <w:tc>
          <w:tcPr>
            <w:tcW w:w="1700" w:type="dxa"/>
            <w:vAlign w:val="bottom"/>
            <w:tcBorders>
              <w:bottom w:val="single" w:sz="8" w:color="F2F2F2"/>
            </w:tcBorders>
            <w:shd w:val="clear" w:color="auto" w:fill="F2F2F2"/>
          </w:tcPr>
          <w:p>
            <w:pPr>
              <w:jc w:val="right"/>
              <w:ind w:right="570"/>
              <w:spacing w:after="0"/>
              <w:rPr>
                <w:sz w:val="20"/>
                <w:szCs w:val="20"/>
                <w:color w:val="auto"/>
              </w:rPr>
            </w:pPr>
            <w:r>
              <w:rPr>
                <w:rFonts w:ascii="Arial" w:cs="Arial" w:eastAsia="Arial" w:hAnsi="Arial"/>
                <w:sz w:val="18"/>
                <w:szCs w:val="18"/>
                <w:color w:val="auto"/>
              </w:rPr>
              <w:t>3.4%</w:t>
            </w:r>
          </w:p>
        </w:tc>
      </w:tr>
      <w:tr>
        <w:trPr>
          <w:trHeight w:val="247"/>
        </w:trPr>
        <w:tc>
          <w:tcPr>
            <w:tcW w:w="2000" w:type="dxa"/>
            <w:vAlign w:val="bottom"/>
          </w:tcPr>
          <w:p>
            <w:pPr>
              <w:ind w:left="20"/>
              <w:spacing w:after="0"/>
              <w:rPr>
                <w:sz w:val="20"/>
                <w:szCs w:val="20"/>
                <w:color w:val="auto"/>
              </w:rPr>
            </w:pPr>
            <w:r>
              <w:rPr>
                <w:rFonts w:ascii="Arial" w:cs="Arial" w:eastAsia="Arial" w:hAnsi="Arial"/>
                <w:sz w:val="18"/>
                <w:szCs w:val="18"/>
                <w:color w:val="auto"/>
              </w:rPr>
              <w:t>Ms. Hakim</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$1,000,000</w:t>
            </w:r>
          </w:p>
        </w:tc>
        <w:tc>
          <w:tcPr>
            <w:tcW w:w="2060" w:type="dxa"/>
            <w:vAlign w:val="bottom"/>
          </w:tcPr>
          <w:p>
            <w:pPr>
              <w:jc w:val="right"/>
              <w:ind w:right="630"/>
              <w:spacing w:after="0"/>
              <w:rPr>
                <w:sz w:val="20"/>
                <w:szCs w:val="20"/>
                <w:color w:val="auto"/>
              </w:rPr>
            </w:pPr>
            <w:r>
              <w:rPr>
                <w:rFonts w:ascii="Arial" w:cs="Arial" w:eastAsia="Arial" w:hAnsi="Arial"/>
                <w:sz w:val="18"/>
                <w:szCs w:val="18"/>
                <w:color w:val="auto"/>
              </w:rPr>
              <w:t>$1,000,000</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0.0%</w:t>
            </w:r>
          </w:p>
        </w:tc>
      </w:tr>
      <w:tr>
        <w:trPr>
          <w:trHeight w:val="23"/>
        </w:trPr>
        <w:tc>
          <w:tcPr>
            <w:tcW w:w="20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Van Naarden</w:t>
            </w:r>
          </w:p>
        </w:tc>
        <w:tc>
          <w:tcPr>
            <w:tcW w:w="234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$900,000</w:t>
            </w:r>
          </w:p>
        </w:tc>
        <w:tc>
          <w:tcPr>
            <w:tcW w:w="2060" w:type="dxa"/>
            <w:vAlign w:val="bottom"/>
            <w:tcBorders>
              <w:bottom w:val="single" w:sz="8" w:color="F2F2F2"/>
            </w:tcBorders>
            <w:shd w:val="clear" w:color="auto" w:fill="F2F2F2"/>
          </w:tcPr>
          <w:p>
            <w:pPr>
              <w:jc w:val="right"/>
              <w:ind w:right="630"/>
              <w:spacing w:after="0"/>
              <w:rPr>
                <w:sz w:val="20"/>
                <w:szCs w:val="20"/>
                <w:color w:val="auto"/>
              </w:rPr>
            </w:pPr>
            <w:r>
              <w:rPr>
                <w:rFonts w:ascii="Arial" w:cs="Arial" w:eastAsia="Arial" w:hAnsi="Arial"/>
                <w:sz w:val="18"/>
                <w:szCs w:val="18"/>
                <w:color w:val="auto"/>
              </w:rPr>
              <w:t>$925,000</w:t>
            </w:r>
          </w:p>
        </w:tc>
        <w:tc>
          <w:tcPr>
            <w:tcW w:w="1700" w:type="dxa"/>
            <w:vAlign w:val="bottom"/>
            <w:tcBorders>
              <w:bottom w:val="single" w:sz="8" w:color="F2F2F2"/>
            </w:tcBorders>
            <w:shd w:val="clear" w:color="auto" w:fill="F2F2F2"/>
          </w:tcPr>
          <w:p>
            <w:pPr>
              <w:jc w:val="right"/>
              <w:ind w:right="570"/>
              <w:spacing w:after="0"/>
              <w:rPr>
                <w:sz w:val="20"/>
                <w:szCs w:val="20"/>
                <w:color w:val="auto"/>
              </w:rPr>
            </w:pPr>
            <w:r>
              <w:rPr>
                <w:rFonts w:ascii="Arial" w:cs="Arial" w:eastAsia="Arial" w:hAnsi="Arial"/>
                <w:sz w:val="18"/>
                <w:szCs w:val="18"/>
                <w:color w:val="auto"/>
              </w:rPr>
              <w:t>2.8%</w:t>
            </w:r>
          </w:p>
        </w:tc>
      </w:tr>
      <w:tr>
        <w:trPr>
          <w:trHeight w:val="20"/>
        </w:trPr>
        <w:tc>
          <w:tcPr>
            <w:tcW w:w="200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51435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D52B1E"/>
        </w:rPr>
        <w:t>Annual Cash Bonus Targets</w:t>
      </w:r>
    </w:p>
    <w:p>
      <w:pPr>
        <w:spacing w:after="0" w:line="58"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After reviewing internal relativity, peer group data, and individual performance, the Committee maintained the same percent-of-salary bonus targets for all named executive officers except Mr. Ricks, whose target was increased to maintain market competitiveness. Mr. Montarce’s 2024 bonus target is the amount approved upon his appointment as Chief Financial Officer. Actual 2025 bonuses are disclosed in the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399478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4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9"/>
              </w:rPr>
              <w:t>2024 Bonus Target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2025 Bonus Target</w:t>
            </w:r>
          </w:p>
        </w:tc>
      </w:tr>
      <w:tr>
        <w:trPr>
          <w:trHeight w:val="250"/>
        </w:trPr>
        <w:tc>
          <w:tcPr>
            <w:tcW w:w="2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Ricks</w:t>
            </w:r>
          </w:p>
        </w:tc>
        <w:tc>
          <w:tcPr>
            <w:tcW w:w="2420" w:type="dxa"/>
            <w:vAlign w:val="bottom"/>
            <w:tcBorders>
              <w:bottom w:val="single" w:sz="8" w:color="F2F2F2"/>
            </w:tcBorders>
            <w:shd w:val="clear" w:color="auto" w:fill="F2F2F2"/>
          </w:tcPr>
          <w:p>
            <w:pPr>
              <w:jc w:val="center"/>
              <w:ind w:left="510"/>
              <w:spacing w:after="0"/>
              <w:rPr>
                <w:sz w:val="20"/>
                <w:szCs w:val="20"/>
                <w:color w:val="auto"/>
              </w:rPr>
            </w:pPr>
            <w:r>
              <w:rPr>
                <w:rFonts w:ascii="Arial" w:cs="Arial" w:eastAsia="Arial" w:hAnsi="Arial"/>
                <w:sz w:val="18"/>
                <w:szCs w:val="18"/>
                <w:color w:val="auto"/>
                <w:w w:val="99"/>
              </w:rPr>
              <w:t>150%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175%</w:t>
            </w:r>
          </w:p>
        </w:tc>
      </w:tr>
      <w:tr>
        <w:trPr>
          <w:trHeight w:val="247"/>
        </w:trPr>
        <w:tc>
          <w:tcPr>
            <w:tcW w:w="2080" w:type="dxa"/>
            <w:vAlign w:val="bottom"/>
          </w:tcPr>
          <w:p>
            <w:pPr>
              <w:ind w:left="20"/>
              <w:spacing w:after="0"/>
              <w:rPr>
                <w:sz w:val="20"/>
                <w:szCs w:val="20"/>
                <w:color w:val="auto"/>
              </w:rPr>
            </w:pPr>
            <w:r>
              <w:rPr>
                <w:rFonts w:ascii="Arial" w:cs="Arial" w:eastAsia="Arial" w:hAnsi="Arial"/>
                <w:sz w:val="18"/>
                <w:szCs w:val="18"/>
                <w:color w:val="auto"/>
              </w:rPr>
              <w:t>Mr. Montarce</w:t>
            </w:r>
          </w:p>
        </w:tc>
        <w:tc>
          <w:tcPr>
            <w:tcW w:w="2420" w:type="dxa"/>
            <w:vAlign w:val="bottom"/>
          </w:tcPr>
          <w:p>
            <w:pPr>
              <w:jc w:val="center"/>
              <w:ind w:left="510"/>
              <w:spacing w:after="0"/>
              <w:rPr>
                <w:sz w:val="20"/>
                <w:szCs w:val="20"/>
                <w:color w:val="auto"/>
              </w:rPr>
            </w:pPr>
            <w:r>
              <w:rPr>
                <w:rFonts w:ascii="Arial" w:cs="Arial" w:eastAsia="Arial" w:hAnsi="Arial"/>
                <w:sz w:val="18"/>
                <w:szCs w:val="18"/>
                <w:color w:val="auto"/>
                <w:w w:val="99"/>
              </w:rPr>
              <w:t>100%</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3"/>
        </w:trPr>
        <w:tc>
          <w:tcPr>
            <w:tcW w:w="2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Dr. Skovronsky</w:t>
            </w:r>
          </w:p>
        </w:tc>
        <w:tc>
          <w:tcPr>
            <w:tcW w:w="2420" w:type="dxa"/>
            <w:vAlign w:val="bottom"/>
            <w:tcBorders>
              <w:bottom w:val="single" w:sz="8" w:color="F2F2F2"/>
            </w:tcBorders>
            <w:shd w:val="clear" w:color="auto" w:fill="F2F2F2"/>
          </w:tcPr>
          <w:p>
            <w:pPr>
              <w:jc w:val="center"/>
              <w:ind w:left="510"/>
              <w:spacing w:after="0"/>
              <w:rPr>
                <w:sz w:val="20"/>
                <w:szCs w:val="20"/>
                <w:color w:val="auto"/>
              </w:rPr>
            </w:pPr>
            <w:r>
              <w:rPr>
                <w:rFonts w:ascii="Arial" w:cs="Arial" w:eastAsia="Arial" w:hAnsi="Arial"/>
                <w:sz w:val="18"/>
                <w:szCs w:val="18"/>
                <w:color w:val="auto"/>
                <w:w w:val="99"/>
              </w:rPr>
              <w:t>100%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100%</w:t>
            </w:r>
          </w:p>
        </w:tc>
      </w:tr>
      <w:tr>
        <w:trPr>
          <w:trHeight w:val="247"/>
        </w:trPr>
        <w:tc>
          <w:tcPr>
            <w:tcW w:w="2080" w:type="dxa"/>
            <w:vAlign w:val="bottom"/>
          </w:tcPr>
          <w:p>
            <w:pPr>
              <w:ind w:left="20"/>
              <w:spacing w:after="0"/>
              <w:rPr>
                <w:sz w:val="20"/>
                <w:szCs w:val="20"/>
                <w:color w:val="auto"/>
              </w:rPr>
            </w:pPr>
            <w:r>
              <w:rPr>
                <w:rFonts w:ascii="Arial" w:cs="Arial" w:eastAsia="Arial" w:hAnsi="Arial"/>
                <w:sz w:val="18"/>
                <w:szCs w:val="18"/>
                <w:color w:val="auto"/>
              </w:rPr>
              <w:t>Ms. Hakim</w:t>
            </w:r>
          </w:p>
        </w:tc>
        <w:tc>
          <w:tcPr>
            <w:tcW w:w="2420" w:type="dxa"/>
            <w:vAlign w:val="bottom"/>
          </w:tcPr>
          <w:p>
            <w:pPr>
              <w:jc w:val="center"/>
              <w:ind w:left="510"/>
              <w:spacing w:after="0"/>
              <w:rPr>
                <w:sz w:val="20"/>
                <w:szCs w:val="20"/>
                <w:color w:val="auto"/>
              </w:rPr>
            </w:pPr>
            <w:r>
              <w:rPr>
                <w:rFonts w:ascii="Arial" w:cs="Arial" w:eastAsia="Arial" w:hAnsi="Arial"/>
                <w:sz w:val="18"/>
                <w:szCs w:val="18"/>
                <w:color w:val="auto"/>
                <w:w w:val="99"/>
              </w:rPr>
              <w:t>100%</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3"/>
        </w:trPr>
        <w:tc>
          <w:tcPr>
            <w:tcW w:w="20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Van Naarden</w:t>
            </w:r>
          </w:p>
        </w:tc>
        <w:tc>
          <w:tcPr>
            <w:tcW w:w="2420" w:type="dxa"/>
            <w:vAlign w:val="bottom"/>
            <w:tcBorders>
              <w:bottom w:val="single" w:sz="8" w:color="F2F2F2"/>
            </w:tcBorders>
            <w:shd w:val="clear" w:color="auto" w:fill="F2F2F2"/>
          </w:tcPr>
          <w:p>
            <w:pPr>
              <w:jc w:val="center"/>
              <w:ind w:left="510"/>
              <w:spacing w:after="0"/>
              <w:rPr>
                <w:sz w:val="20"/>
                <w:szCs w:val="20"/>
                <w:color w:val="auto"/>
              </w:rPr>
            </w:pPr>
            <w:r>
              <w:rPr>
                <w:rFonts w:ascii="Arial" w:cs="Arial" w:eastAsia="Arial" w:hAnsi="Arial"/>
                <w:sz w:val="18"/>
                <w:szCs w:val="18"/>
                <w:color w:val="auto"/>
                <w:w w:val="99"/>
              </w:rPr>
              <w:t>100%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100%</w:t>
            </w:r>
          </w:p>
        </w:tc>
      </w:tr>
      <w:tr>
        <w:trPr>
          <w:trHeight w:val="20"/>
        </w:trPr>
        <w:tc>
          <w:tcPr>
            <w:tcW w:w="20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Stock Incentives — Target Grant Values</w:t>
      </w:r>
    </w:p>
    <w:p>
      <w:pPr>
        <w:spacing w:after="0" w:line="7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Committee set 2025 stock grant target values based on internal relativity, peer group data, and individual performance. Each NEO’s stock target is allocated equally between SVAs (50%) and RVAs (50%). Target values for 2024 and 2025 stock grants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01193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400" w:type="dxa"/>
            <w:vAlign w:val="bottom"/>
          </w:tcPr>
          <w:p>
            <w:pPr>
              <w:jc w:val="right"/>
              <w:ind w:right="30"/>
              <w:spacing w:after="0"/>
              <w:rPr>
                <w:sz w:val="20"/>
                <w:szCs w:val="20"/>
                <w:color w:val="auto"/>
              </w:rPr>
            </w:pPr>
            <w:r>
              <w:rPr>
                <w:rFonts w:ascii="Arial" w:cs="Arial" w:eastAsia="Arial" w:hAnsi="Arial"/>
                <w:sz w:val="18"/>
                <w:szCs w:val="18"/>
                <w:b w:val="1"/>
                <w:bCs w:val="1"/>
                <w:color w:val="auto"/>
              </w:rPr>
              <w:t>2024 Annual Stock</w:t>
            </w:r>
          </w:p>
        </w:tc>
        <w:tc>
          <w:tcPr>
            <w:tcW w:w="1880" w:type="dxa"/>
            <w:vAlign w:val="bottom"/>
          </w:tcPr>
          <w:p>
            <w:pPr>
              <w:jc w:val="right"/>
              <w:ind w:right="50"/>
              <w:spacing w:after="0"/>
              <w:rPr>
                <w:sz w:val="20"/>
                <w:szCs w:val="20"/>
                <w:color w:val="auto"/>
              </w:rPr>
            </w:pPr>
            <w:r>
              <w:rPr>
                <w:rFonts w:ascii="Arial" w:cs="Arial" w:eastAsia="Arial" w:hAnsi="Arial"/>
                <w:sz w:val="18"/>
                <w:szCs w:val="18"/>
                <w:b w:val="1"/>
                <w:bCs w:val="1"/>
                <w:color w:val="auto"/>
              </w:rPr>
              <w:t>2025 Annual Stock</w:t>
            </w:r>
          </w:p>
        </w:tc>
      </w:tr>
      <w:tr>
        <w:trPr>
          <w:trHeight w:val="255"/>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Grant</w:t>
            </w:r>
          </w:p>
        </w:tc>
        <w:tc>
          <w:tcPr>
            <w:tcW w:w="18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Grant</w:t>
            </w:r>
          </w:p>
        </w:tc>
      </w:tr>
      <w:tr>
        <w:trPr>
          <w:trHeight w:val="250"/>
        </w:trPr>
        <w:tc>
          <w:tcPr>
            <w:tcW w:w="2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Ricks</w:t>
            </w:r>
          </w:p>
        </w:tc>
        <w:tc>
          <w:tcPr>
            <w:tcW w:w="24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$19,750,000</w:t>
            </w:r>
          </w:p>
        </w:tc>
        <w:tc>
          <w:tcPr>
            <w:tcW w:w="188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$23,325,000</w:t>
            </w:r>
          </w:p>
        </w:tc>
      </w:tr>
      <w:tr>
        <w:trPr>
          <w:trHeight w:val="270"/>
        </w:trPr>
        <w:tc>
          <w:tcPr>
            <w:tcW w:w="2040" w:type="dxa"/>
            <w:vAlign w:val="bottom"/>
          </w:tcPr>
          <w:p>
            <w:pPr>
              <w:ind w:left="20"/>
              <w:spacing w:after="0"/>
              <w:rPr>
                <w:sz w:val="20"/>
                <w:szCs w:val="20"/>
                <w:color w:val="auto"/>
              </w:rPr>
            </w:pPr>
            <w:r>
              <w:rPr>
                <w:rFonts w:ascii="Arial" w:cs="Arial" w:eastAsia="Arial" w:hAnsi="Arial"/>
                <w:sz w:val="18"/>
                <w:szCs w:val="18"/>
                <w:color w:val="auto"/>
              </w:rPr>
              <w:t>Mr. Montarce</w:t>
            </w:r>
            <w:r>
              <w:rPr>
                <w:rFonts w:ascii="Arial" w:cs="Arial" w:eastAsia="Arial" w:hAnsi="Arial"/>
                <w:sz w:val="23"/>
                <w:szCs w:val="23"/>
                <w:color w:val="auto"/>
                <w:vertAlign w:val="superscript"/>
              </w:rPr>
              <w:t>1</w:t>
            </w:r>
          </w:p>
        </w:tc>
        <w:tc>
          <w:tcPr>
            <w:tcW w:w="2400" w:type="dxa"/>
            <w:vAlign w:val="bottom"/>
          </w:tcPr>
          <w:p>
            <w:pPr>
              <w:jc w:val="right"/>
              <w:ind w:right="330"/>
              <w:spacing w:after="0"/>
              <w:rPr>
                <w:sz w:val="20"/>
                <w:szCs w:val="20"/>
                <w:color w:val="auto"/>
              </w:rPr>
            </w:pPr>
            <w:r>
              <w:rPr>
                <w:rFonts w:ascii="Arial" w:cs="Arial" w:eastAsia="Arial" w:hAnsi="Arial"/>
                <w:sz w:val="18"/>
                <w:szCs w:val="18"/>
                <w:color w:val="auto"/>
              </w:rPr>
              <w:t>$800,000</w:t>
            </w: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$5,000,000</w:t>
            </w:r>
          </w:p>
        </w:tc>
      </w:tr>
      <w:tr>
        <w:trPr>
          <w:trHeight w:val="250"/>
        </w:trPr>
        <w:tc>
          <w:tcPr>
            <w:tcW w:w="2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Dr. Skovronsky</w:t>
            </w:r>
          </w:p>
        </w:tc>
        <w:tc>
          <w:tcPr>
            <w:tcW w:w="24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$7,500,000</w:t>
            </w:r>
          </w:p>
        </w:tc>
        <w:tc>
          <w:tcPr>
            <w:tcW w:w="188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$12,000,000</w:t>
            </w:r>
          </w:p>
        </w:tc>
      </w:tr>
      <w:tr>
        <w:trPr>
          <w:trHeight w:val="247"/>
        </w:trPr>
        <w:tc>
          <w:tcPr>
            <w:tcW w:w="2040" w:type="dxa"/>
            <w:vAlign w:val="bottom"/>
          </w:tcPr>
          <w:p>
            <w:pPr>
              <w:ind w:left="20"/>
              <w:spacing w:after="0"/>
              <w:rPr>
                <w:sz w:val="20"/>
                <w:szCs w:val="20"/>
                <w:color w:val="auto"/>
              </w:rPr>
            </w:pPr>
            <w:r>
              <w:rPr>
                <w:rFonts w:ascii="Arial" w:cs="Arial" w:eastAsia="Arial" w:hAnsi="Arial"/>
                <w:sz w:val="18"/>
                <w:szCs w:val="18"/>
                <w:color w:val="auto"/>
              </w:rPr>
              <w:t>Ms. Hakim</w:t>
            </w:r>
          </w:p>
        </w:tc>
        <w:tc>
          <w:tcPr>
            <w:tcW w:w="2400" w:type="dxa"/>
            <w:vAlign w:val="bottom"/>
          </w:tcPr>
          <w:p>
            <w:pPr>
              <w:jc w:val="right"/>
              <w:ind w:right="330"/>
              <w:spacing w:after="0"/>
              <w:rPr>
                <w:sz w:val="20"/>
                <w:szCs w:val="20"/>
                <w:color w:val="auto"/>
              </w:rPr>
            </w:pPr>
            <w:r>
              <w:rPr>
                <w:rFonts w:ascii="Arial" w:cs="Arial" w:eastAsia="Arial" w:hAnsi="Arial"/>
                <w:sz w:val="18"/>
                <w:szCs w:val="18"/>
                <w:color w:val="auto"/>
              </w:rPr>
              <w:t>$3,950,000</w:t>
            </w:r>
          </w:p>
        </w:tc>
        <w:tc>
          <w:tcPr>
            <w:tcW w:w="1880" w:type="dxa"/>
            <w:vAlign w:val="bottom"/>
          </w:tcPr>
          <w:p>
            <w:pPr>
              <w:jc w:val="right"/>
              <w:ind w:right="330"/>
              <w:spacing w:after="0"/>
              <w:rPr>
                <w:sz w:val="20"/>
                <w:szCs w:val="20"/>
                <w:color w:val="auto"/>
              </w:rPr>
            </w:pPr>
            <w:r>
              <w:rPr>
                <w:rFonts w:ascii="Arial" w:cs="Arial" w:eastAsia="Arial" w:hAnsi="Arial"/>
                <w:sz w:val="18"/>
                <w:szCs w:val="18"/>
                <w:color w:val="auto"/>
              </w:rPr>
              <w:t>$6,000,000</w:t>
            </w:r>
          </w:p>
        </w:tc>
      </w:tr>
      <w:tr>
        <w:trPr>
          <w:trHeight w:val="23"/>
        </w:trPr>
        <w:tc>
          <w:tcPr>
            <w:tcW w:w="20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Van Naarden</w:t>
            </w:r>
          </w:p>
        </w:tc>
        <w:tc>
          <w:tcPr>
            <w:tcW w:w="240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$2,700,000</w:t>
            </w:r>
          </w:p>
        </w:tc>
        <w:tc>
          <w:tcPr>
            <w:tcW w:w="1880" w:type="dxa"/>
            <w:vAlign w:val="bottom"/>
            <w:tcBorders>
              <w:bottom w:val="single" w:sz="8" w:color="F2F2F2"/>
            </w:tcBorders>
            <w:shd w:val="clear" w:color="auto" w:fill="F2F2F2"/>
          </w:tcPr>
          <w:p>
            <w:pPr>
              <w:jc w:val="right"/>
              <w:ind w:right="330"/>
              <w:spacing w:after="0"/>
              <w:rPr>
                <w:sz w:val="20"/>
                <w:szCs w:val="20"/>
                <w:color w:val="auto"/>
              </w:rPr>
            </w:pPr>
            <w:r>
              <w:rPr>
                <w:rFonts w:ascii="Arial" w:cs="Arial" w:eastAsia="Arial" w:hAnsi="Arial"/>
                <w:sz w:val="18"/>
                <w:szCs w:val="18"/>
                <w:color w:val="auto"/>
              </w:rPr>
              <w:t>$4,500,000</w:t>
            </w:r>
          </w:p>
        </w:tc>
      </w:tr>
      <w:tr>
        <w:trPr>
          <w:trHeight w:val="20"/>
        </w:trPr>
        <w:tc>
          <w:tcPr>
            <w:tcW w:w="20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ind w:left="180" w:hanging="172"/>
        <w:spacing w:after="0" w:line="237" w:lineRule="auto"/>
        <w:tabs>
          <w:tab w:leader="none" w:pos="213" w:val="left"/>
        </w:tabs>
        <w:numPr>
          <w:ilvl w:val="0"/>
          <w:numId w:val="132"/>
        </w:numPr>
        <w:rPr>
          <w:rFonts w:ascii="Arial" w:cs="Arial" w:eastAsia="Arial" w:hAnsi="Arial"/>
          <w:sz w:val="23"/>
          <w:szCs w:val="23"/>
          <w:color w:val="auto"/>
          <w:vertAlign w:val="superscript"/>
        </w:rPr>
      </w:pPr>
      <w:r>
        <w:rPr>
          <w:rFonts w:ascii="Arial" w:cs="Arial" w:eastAsia="Arial" w:hAnsi="Arial"/>
          <w:sz w:val="18"/>
          <w:szCs w:val="18"/>
          <w:color w:val="auto"/>
        </w:rPr>
        <w:t>Mr. Montarce’s 2024 annual stock grant reflects his role prior to becoming the company’s Chief Financial Officer. Mr. Montarce’s 2024 grant was divided equally, with 33.3% allocated to shareholder value awards, 33.3% to relative value awards, and 33.3% to restricted stock units.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Adjustments to Reported Financial Results</w:t>
      </w:r>
    </w:p>
    <w:p>
      <w:pPr>
        <w:spacing w:after="0" w:line="54"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The Committee may adjust reported product revenues and EPS used for incentive compensation payouts in certain circumstances to eliminate distortions from unusual events. These adjustments:</w:t>
      </w:r>
    </w:p>
    <w:p>
      <w:pPr>
        <w:spacing w:after="0" w:line="99" w:lineRule="exact"/>
        <w:rPr>
          <w:sz w:val="20"/>
          <w:szCs w:val="20"/>
          <w:color w:val="auto"/>
        </w:rPr>
      </w:pPr>
    </w:p>
    <w:p>
      <w:pPr>
        <w:ind w:left="640" w:hanging="308"/>
        <w:spacing w:after="0"/>
        <w:tabs>
          <w:tab w:leader="none" w:pos="640" w:val="left"/>
        </w:tabs>
        <w:numPr>
          <w:ilvl w:val="0"/>
          <w:numId w:val="133"/>
        </w:numPr>
        <w:rPr>
          <w:rFonts w:ascii="Arial" w:cs="Arial" w:eastAsia="Arial" w:hAnsi="Arial"/>
          <w:sz w:val="16"/>
          <w:szCs w:val="16"/>
          <w:color w:val="auto"/>
        </w:rPr>
      </w:pPr>
      <w:r>
        <w:rPr>
          <w:rFonts w:ascii="Arial" w:cs="Arial" w:eastAsia="Arial" w:hAnsi="Arial"/>
          <w:sz w:val="18"/>
          <w:szCs w:val="18"/>
          <w:color w:val="auto"/>
        </w:rPr>
        <w:t>align payouts with core company performance;</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3"/>
        </w:numPr>
        <w:rPr>
          <w:rFonts w:ascii="Arial" w:cs="Arial" w:eastAsia="Arial" w:hAnsi="Arial"/>
          <w:sz w:val="16"/>
          <w:szCs w:val="16"/>
          <w:color w:val="auto"/>
        </w:rPr>
      </w:pPr>
      <w:r>
        <w:rPr>
          <w:rFonts w:ascii="Arial" w:cs="Arial" w:eastAsia="Arial" w:hAnsi="Arial"/>
          <w:sz w:val="18"/>
          <w:szCs w:val="18"/>
          <w:color w:val="auto"/>
        </w:rPr>
        <w:t>avoid volatile or artificial inflation/deflation from unusual items;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3"/>
        </w:numPr>
        <w:rPr>
          <w:rFonts w:ascii="Arial" w:cs="Arial" w:eastAsia="Arial" w:hAnsi="Arial"/>
          <w:sz w:val="16"/>
          <w:szCs w:val="16"/>
          <w:color w:val="auto"/>
        </w:rPr>
      </w:pPr>
      <w:r>
        <w:rPr>
          <w:rFonts w:ascii="Arial" w:cs="Arial" w:eastAsia="Arial" w:hAnsi="Arial"/>
          <w:sz w:val="18"/>
          <w:szCs w:val="18"/>
          <w:color w:val="auto"/>
        </w:rPr>
        <w:t>eliminate certain counterproductive short-term incentives (e.g., deferring acquisitions, asset disposals, or legal settlements); and</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133"/>
        </w:numPr>
        <w:rPr>
          <w:rFonts w:ascii="Arial" w:cs="Arial" w:eastAsia="Arial" w:hAnsi="Arial"/>
          <w:sz w:val="16"/>
          <w:szCs w:val="16"/>
          <w:color w:val="auto"/>
        </w:rPr>
      </w:pPr>
      <w:r>
        <w:rPr>
          <w:rFonts w:ascii="Arial" w:cs="Arial" w:eastAsia="Arial" w:hAnsi="Arial"/>
          <w:sz w:val="18"/>
          <w:szCs w:val="18"/>
          <w:color w:val="auto"/>
        </w:rPr>
        <w:t>facilitate comparisons with peer companies.</w:t>
      </w:r>
    </w:p>
    <w:p>
      <w:pPr>
        <w:spacing w:after="0" w:line="171"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The Committee considers Audit Committee-approved non-GAAP adjustments and other adjustments based on Committee-approved guidelines. Adjustments are reviewed and approved quarterly and may include acquired IPR&amp;D charges, foreign exchange impacts, significant acquisitions or divestitures, and share repurchases that differ significantly from the business plan.</w:t>
      </w:r>
    </w:p>
    <w:p>
      <w:pPr>
        <w:sectPr>
          <w:pgSz w:w="11900" w:h="16838" w:orient="portrait"/>
          <w:cols w:equalWidth="0" w:num="1">
            <w:col w:w="11200"/>
          </w:cols>
          <w:pgMar w:left="320" w:top="836" w:right="37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36" w:right="379" w:bottom="1440" w:gutter="0" w:footer="0" w:header="0"/>
          <w:type w:val="continuous"/>
        </w:sectPr>
      </w:pPr>
    </w:p>
    <w:bookmarkStart w:id="57" w:name="page58"/>
    <w:bookmarkEnd w:id="57"/>
    <w:p>
      <w:pPr>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Appendix A</w:t>
      </w:r>
      <w:r>
        <w:rPr>
          <w:rFonts w:ascii="Arial" w:cs="Arial" w:eastAsia="Arial" w:hAnsi="Arial"/>
          <w:sz w:val="18"/>
          <w:szCs w:val="18"/>
          <w:color w:val="auto"/>
        </w:rPr>
        <w:t xml:space="preserve"> for adjustments and rationale. Throughout the CD&amp;A, references to “revenue,” “EPS,” and “adjusted non-GAAP EPS” reflect these approved adjustments for reported metrics.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2025 Compensation Results</w:t>
      </w:r>
    </w:p>
    <w:p>
      <w:pPr>
        <w:spacing w:after="0" w:line="6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This section reflects 2025 Bonus Plan payments and stock payouts from prior years for which the relevant performance period ended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-27305</wp:posOffset>
            </wp:positionV>
            <wp:extent cx="2366010" cy="16459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366010" cy="164592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 Bonus Plan Results</w:t>
      </w:r>
    </w:p>
    <w:p>
      <w:pPr>
        <w:spacing w:after="0" w:line="60" w:lineRule="exact"/>
        <w:rPr>
          <w:sz w:val="20"/>
          <w:szCs w:val="20"/>
          <w:color w:val="auto"/>
        </w:rPr>
      </w:pPr>
    </w:p>
    <w:p>
      <w:pPr>
        <w:ind w:right="6020"/>
        <w:spacing w:after="0" w:line="268" w:lineRule="auto"/>
        <w:rPr>
          <w:sz w:val="20"/>
          <w:szCs w:val="20"/>
          <w:color w:val="auto"/>
        </w:rPr>
      </w:pPr>
      <w:r>
        <w:rPr>
          <w:rFonts w:ascii="Arial" w:cs="Arial" w:eastAsia="Arial" w:hAnsi="Arial"/>
          <w:sz w:val="18"/>
          <w:szCs w:val="18"/>
          <w:color w:val="auto"/>
        </w:rPr>
        <w:t xml:space="preserve">Strong financial performance resulted in above-target payouts for both product revenue and EPS. See </w:t>
      </w:r>
      <w:r>
        <w:rPr>
          <w:rFonts w:ascii="Arial" w:cs="Arial" w:eastAsia="Arial" w:hAnsi="Arial"/>
          <w:sz w:val="18"/>
          <w:szCs w:val="18"/>
          <w:u w:val="single" w:color="auto"/>
          <w:color w:val="0000FF"/>
        </w:rPr>
        <w:t>Appendix A</w:t>
      </w:r>
      <w:r>
        <w:rPr>
          <w:rFonts w:ascii="Arial" w:cs="Arial" w:eastAsia="Arial" w:hAnsi="Arial"/>
          <w:sz w:val="18"/>
          <w:szCs w:val="18"/>
          <w:color w:val="auto"/>
        </w:rPr>
        <w:t xml:space="preserve"> for additional details on financial results and adjustments.</w:t>
      </w:r>
    </w:p>
    <w:p>
      <w:pPr>
        <w:spacing w:after="0" w:line="117" w:lineRule="exact"/>
        <w:rPr>
          <w:sz w:val="20"/>
          <w:szCs w:val="20"/>
          <w:color w:val="auto"/>
        </w:rPr>
      </w:pPr>
    </w:p>
    <w:p>
      <w:pPr>
        <w:ind w:right="6140"/>
        <w:spacing w:after="0" w:line="268" w:lineRule="auto"/>
        <w:rPr>
          <w:sz w:val="20"/>
          <w:szCs w:val="20"/>
          <w:color w:val="auto"/>
        </w:rPr>
      </w:pPr>
      <w:r>
        <w:rPr>
          <w:rFonts w:ascii="Arial" w:cs="Arial" w:eastAsia="Arial" w:hAnsi="Arial"/>
          <w:sz w:val="18"/>
          <w:szCs w:val="18"/>
          <w:color w:val="auto"/>
        </w:rPr>
        <w:t>The Science and Technology Committee sets annual objectives for each pipeline category. The graphic to the right shows the relative distribution of pipeline objectives.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At year end, the Science and Technology Committee assessed pipeline achievements, including those disclosed in “Innovation Pipeline and Other Business Development” within the Proxy Statement Summary. The assessment resulted in a 230% pipeline bonus multiple.</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Strong financial performance combined with a 230% pipeline multiple resulted in an above-target final bonus payout. Product-specific revenue targets and internal pipeline goals are not disclosed to avoid competitive harm. The target set at the beginning of the year for annual EPS was $24.01.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Results for each bonus metric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120650</wp:posOffset>
            </wp:positionV>
            <wp:extent cx="4354830" cy="264033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35483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D52B1E"/>
        </w:rPr>
        <w:t>Bonus Plan Payments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2025 bonuses paid to the named executive officers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85432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3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99"/>
              </w:rPr>
              <w:t>2025 Bonus ($)</w:t>
            </w:r>
          </w:p>
        </w:tc>
      </w:tr>
      <w:tr>
        <w:trPr>
          <w:trHeight w:val="250"/>
        </w:trPr>
        <w:tc>
          <w:tcPr>
            <w:tcW w:w="21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Ricks</w:t>
            </w:r>
          </w:p>
        </w:tc>
        <w:tc>
          <w:tcPr>
            <w:tcW w:w="2340" w:type="dxa"/>
            <w:vAlign w:val="bottom"/>
            <w:tcBorders>
              <w:bottom w:val="single" w:sz="8" w:color="F2F2F2"/>
            </w:tcBorders>
            <w:shd w:val="clear" w:color="auto" w:fill="F2F2F2"/>
          </w:tcPr>
          <w:p>
            <w:pPr>
              <w:jc w:val="center"/>
              <w:ind w:left="430"/>
              <w:spacing w:after="0"/>
              <w:rPr>
                <w:sz w:val="20"/>
                <w:szCs w:val="20"/>
                <w:color w:val="auto"/>
              </w:rPr>
            </w:pPr>
            <w:r>
              <w:rPr>
                <w:rFonts w:ascii="Arial" w:cs="Arial" w:eastAsia="Arial" w:hAnsi="Arial"/>
                <w:sz w:val="18"/>
                <w:szCs w:val="18"/>
                <w:color w:val="auto"/>
                <w:w w:val="99"/>
              </w:rPr>
              <w:t>$6,485,500</w:t>
            </w:r>
          </w:p>
        </w:tc>
      </w:tr>
      <w:tr>
        <w:trPr>
          <w:trHeight w:val="247"/>
        </w:trPr>
        <w:tc>
          <w:tcPr>
            <w:tcW w:w="2160" w:type="dxa"/>
            <w:vAlign w:val="bottom"/>
          </w:tcPr>
          <w:p>
            <w:pPr>
              <w:ind w:left="20"/>
              <w:spacing w:after="0"/>
              <w:rPr>
                <w:sz w:val="20"/>
                <w:szCs w:val="20"/>
                <w:color w:val="auto"/>
              </w:rPr>
            </w:pPr>
            <w:r>
              <w:rPr>
                <w:rFonts w:ascii="Arial" w:cs="Arial" w:eastAsia="Arial" w:hAnsi="Arial"/>
                <w:sz w:val="18"/>
                <w:szCs w:val="18"/>
                <w:color w:val="auto"/>
              </w:rPr>
              <w:t>Mr. Montarce</w:t>
            </w:r>
          </w:p>
        </w:tc>
        <w:tc>
          <w:tcPr>
            <w:tcW w:w="2340" w:type="dxa"/>
            <w:vAlign w:val="bottom"/>
          </w:tcPr>
          <w:p>
            <w:pPr>
              <w:jc w:val="center"/>
              <w:ind w:left="430"/>
              <w:spacing w:after="0"/>
              <w:rPr>
                <w:sz w:val="20"/>
                <w:szCs w:val="20"/>
                <w:color w:val="auto"/>
              </w:rPr>
            </w:pPr>
            <w:r>
              <w:rPr>
                <w:rFonts w:ascii="Arial" w:cs="Arial" w:eastAsia="Arial" w:hAnsi="Arial"/>
                <w:sz w:val="18"/>
                <w:szCs w:val="18"/>
                <w:color w:val="auto"/>
                <w:w w:val="99"/>
              </w:rPr>
              <w:t>$2,180,000</w:t>
            </w:r>
          </w:p>
        </w:tc>
      </w:tr>
      <w:tr>
        <w:trPr>
          <w:trHeight w:val="23"/>
        </w:trPr>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1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Dr. Skovronsky</w:t>
            </w:r>
          </w:p>
        </w:tc>
        <w:tc>
          <w:tcPr>
            <w:tcW w:w="2340" w:type="dxa"/>
            <w:vAlign w:val="bottom"/>
            <w:tcBorders>
              <w:bottom w:val="single" w:sz="8" w:color="F2F2F2"/>
            </w:tcBorders>
            <w:shd w:val="clear" w:color="auto" w:fill="F2F2F2"/>
          </w:tcPr>
          <w:p>
            <w:pPr>
              <w:jc w:val="center"/>
              <w:ind w:left="430"/>
              <w:spacing w:after="0"/>
              <w:rPr>
                <w:sz w:val="20"/>
                <w:szCs w:val="20"/>
                <w:color w:val="auto"/>
              </w:rPr>
            </w:pPr>
            <w:r>
              <w:rPr>
                <w:rFonts w:ascii="Arial" w:cs="Arial" w:eastAsia="Arial" w:hAnsi="Arial"/>
                <w:sz w:val="18"/>
                <w:szCs w:val="18"/>
                <w:color w:val="auto"/>
                <w:w w:val="99"/>
              </w:rPr>
              <w:t>$3,249,039</w:t>
            </w:r>
          </w:p>
        </w:tc>
      </w:tr>
      <w:tr>
        <w:trPr>
          <w:trHeight w:val="247"/>
        </w:trPr>
        <w:tc>
          <w:tcPr>
            <w:tcW w:w="2160" w:type="dxa"/>
            <w:vAlign w:val="bottom"/>
          </w:tcPr>
          <w:p>
            <w:pPr>
              <w:ind w:left="20"/>
              <w:spacing w:after="0"/>
              <w:rPr>
                <w:sz w:val="20"/>
                <w:szCs w:val="20"/>
                <w:color w:val="auto"/>
              </w:rPr>
            </w:pPr>
            <w:r>
              <w:rPr>
                <w:rFonts w:ascii="Arial" w:cs="Arial" w:eastAsia="Arial" w:hAnsi="Arial"/>
                <w:sz w:val="18"/>
                <w:szCs w:val="18"/>
                <w:color w:val="auto"/>
              </w:rPr>
              <w:t>Ms. Hakim</w:t>
            </w:r>
          </w:p>
        </w:tc>
        <w:tc>
          <w:tcPr>
            <w:tcW w:w="2340" w:type="dxa"/>
            <w:vAlign w:val="bottom"/>
          </w:tcPr>
          <w:p>
            <w:pPr>
              <w:jc w:val="center"/>
              <w:ind w:left="430"/>
              <w:spacing w:after="0"/>
              <w:rPr>
                <w:sz w:val="20"/>
                <w:szCs w:val="20"/>
                <w:color w:val="auto"/>
              </w:rPr>
            </w:pPr>
            <w:r>
              <w:rPr>
                <w:rFonts w:ascii="Arial" w:cs="Arial" w:eastAsia="Arial" w:hAnsi="Arial"/>
                <w:sz w:val="18"/>
                <w:szCs w:val="18"/>
                <w:color w:val="auto"/>
                <w:w w:val="99"/>
              </w:rPr>
              <w:t>$2,180,000</w:t>
            </w:r>
          </w:p>
        </w:tc>
      </w:tr>
      <w:tr>
        <w:trPr>
          <w:trHeight w:val="23"/>
        </w:trPr>
        <w:tc>
          <w:tcPr>
            <w:tcW w:w="21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16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Van Naarden</w:t>
            </w:r>
          </w:p>
        </w:tc>
        <w:tc>
          <w:tcPr>
            <w:tcW w:w="2340" w:type="dxa"/>
            <w:vAlign w:val="bottom"/>
            <w:tcBorders>
              <w:bottom w:val="single" w:sz="8" w:color="F2F2F2"/>
            </w:tcBorders>
            <w:shd w:val="clear" w:color="auto" w:fill="F2F2F2"/>
          </w:tcPr>
          <w:p>
            <w:pPr>
              <w:jc w:val="center"/>
              <w:ind w:left="430"/>
              <w:spacing w:after="0"/>
              <w:rPr>
                <w:sz w:val="20"/>
                <w:szCs w:val="20"/>
                <w:color w:val="auto"/>
              </w:rPr>
            </w:pPr>
            <w:r>
              <w:rPr>
                <w:rFonts w:ascii="Arial" w:cs="Arial" w:eastAsia="Arial" w:hAnsi="Arial"/>
                <w:sz w:val="18"/>
                <w:szCs w:val="18"/>
                <w:color w:val="auto"/>
                <w:w w:val="99"/>
              </w:rPr>
              <w:t>$2,006,019</w:t>
            </w:r>
          </w:p>
        </w:tc>
      </w:tr>
      <w:tr>
        <w:trPr>
          <w:trHeight w:val="20"/>
        </w:trPr>
        <w:tc>
          <w:tcPr>
            <w:tcW w:w="216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2"/>
          <w:szCs w:val="22"/>
          <w:b w:val="1"/>
          <w:bCs w:val="1"/>
          <w:color w:val="auto"/>
        </w:rPr>
        <w:t>2023 Shareholder Value Award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target stock price of $441.12 was set in 2023, and represented a 21.5 percent stock price growth from the starting stock price of</w:t>
      </w:r>
    </w:p>
    <w:p>
      <w:pPr>
        <w:spacing w:after="0" w:line="27"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$363.15, which was the average closing price November - December 2022. The ending stock price of $1,028.58 (average closing price November - December 2025) represents 183.2 percent stock price growth over the three-year period, resulting in a 200 percent payout. Shares settled under the SVA remain subject to a one-year post-vesting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760720" cy="12255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76072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Shares paid to each NEO for the 2023 SVA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401193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Target Shares</w:t>
            </w:r>
          </w:p>
        </w:tc>
        <w:tc>
          <w:tcPr>
            <w:tcW w:w="1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 Paid</w:t>
            </w:r>
          </w:p>
        </w:tc>
      </w:tr>
      <w:tr>
        <w:trPr>
          <w:trHeight w:val="250"/>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Ricks</w:t>
            </w:r>
          </w:p>
        </w:tc>
        <w:tc>
          <w:tcPr>
            <w:tcW w:w="236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19,512.000</w:t>
            </w:r>
          </w:p>
        </w:tc>
        <w:tc>
          <w:tcPr>
            <w:tcW w:w="182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39,024.000</w:t>
            </w:r>
          </w:p>
        </w:tc>
      </w:tr>
      <w:tr>
        <w:trPr>
          <w:trHeight w:val="270"/>
        </w:trPr>
        <w:tc>
          <w:tcPr>
            <w:tcW w:w="2140" w:type="dxa"/>
            <w:vAlign w:val="bottom"/>
          </w:tcPr>
          <w:p>
            <w:pPr>
              <w:ind w:left="20"/>
              <w:spacing w:after="0"/>
              <w:rPr>
                <w:sz w:val="20"/>
                <w:szCs w:val="20"/>
                <w:color w:val="auto"/>
              </w:rPr>
            </w:pPr>
            <w:r>
              <w:rPr>
                <w:rFonts w:ascii="Arial" w:cs="Arial" w:eastAsia="Arial" w:hAnsi="Arial"/>
                <w:sz w:val="18"/>
                <w:szCs w:val="18"/>
                <w:color w:val="auto"/>
              </w:rPr>
              <w:t>Mr. Montarce</w:t>
            </w:r>
            <w:r>
              <w:rPr>
                <w:rFonts w:ascii="Arial" w:cs="Arial" w:eastAsia="Arial" w:hAnsi="Arial"/>
                <w:sz w:val="23"/>
                <w:szCs w:val="23"/>
                <w:color w:val="auto"/>
                <w:vertAlign w:val="superscript"/>
              </w:rPr>
              <w:t>1</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559.000</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1,118.000</w:t>
            </w:r>
          </w:p>
        </w:tc>
      </w:tr>
      <w:tr>
        <w:trPr>
          <w:trHeight w:val="250"/>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Dr. Skovronsky</w:t>
            </w:r>
          </w:p>
        </w:tc>
        <w:tc>
          <w:tcPr>
            <w:tcW w:w="236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7,750.000</w:t>
            </w:r>
          </w:p>
        </w:tc>
        <w:tc>
          <w:tcPr>
            <w:tcW w:w="182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15,500.000</w:t>
            </w:r>
          </w:p>
        </w:tc>
      </w:tr>
      <w:tr>
        <w:trPr>
          <w:trHeight w:val="247"/>
        </w:trPr>
        <w:tc>
          <w:tcPr>
            <w:tcW w:w="2140" w:type="dxa"/>
            <w:vAlign w:val="bottom"/>
          </w:tcPr>
          <w:p>
            <w:pPr>
              <w:ind w:left="20"/>
              <w:spacing w:after="0"/>
              <w:rPr>
                <w:sz w:val="20"/>
                <w:szCs w:val="20"/>
                <w:color w:val="auto"/>
              </w:rPr>
            </w:pPr>
            <w:r>
              <w:rPr>
                <w:rFonts w:ascii="Arial" w:cs="Arial" w:eastAsia="Arial" w:hAnsi="Arial"/>
                <w:sz w:val="18"/>
                <w:szCs w:val="18"/>
                <w:color w:val="auto"/>
              </w:rPr>
              <w:t>Ms. Hakim</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4,093.000</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8,186.000</w:t>
            </w:r>
          </w:p>
        </w:tc>
      </w:tr>
      <w:tr>
        <w:trPr>
          <w:trHeight w:val="23"/>
        </w:trPr>
        <w:tc>
          <w:tcPr>
            <w:tcW w:w="2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Van Naarden</w:t>
            </w:r>
          </w:p>
        </w:tc>
        <w:tc>
          <w:tcPr>
            <w:tcW w:w="236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2,511.000</w:t>
            </w:r>
          </w:p>
        </w:tc>
        <w:tc>
          <w:tcPr>
            <w:tcW w:w="182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5,022.000</w:t>
            </w:r>
          </w:p>
        </w:tc>
      </w:tr>
      <w:tr>
        <w:trPr>
          <w:trHeight w:val="20"/>
        </w:trPr>
        <w:tc>
          <w:tcPr>
            <w:tcW w:w="21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180" w:right="180" w:hanging="172"/>
        <w:spacing w:after="0" w:line="231" w:lineRule="auto"/>
        <w:tabs>
          <w:tab w:leader="none" w:pos="213"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Mr. Montarce was not an executive officer on grant date; as such, the one-year post-vesting holding requirement doesn’t apply to this award.</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 Relative Value Award</w:t>
      </w:r>
    </w:p>
    <w:p>
      <w:pPr>
        <w:spacing w:after="0" w:line="5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RVA is based on Lilly’s three-year TSR compared to the RVA peer group. TSR is calculated by comparing average closing prices (adjusted for dividend reinvestment) for November - December 2022 to November - December 2025. Lilly’s TSR is then compared to the median peer TSR to determine payout.</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Lilly’s TSR over the performance period was 190.1 percent compared to median peer TSR of 22.0 percent. This 168.1 percentage point outperformance resulted in a 200 percent payout. Shares settled under the RVA remain subject to a one-year post-vesting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-41910</wp:posOffset>
            </wp:positionV>
            <wp:extent cx="5349240" cy="11576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34924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Shares paid to each NEO for the 2023 RVA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401193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2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Target Shares</w:t>
            </w:r>
          </w:p>
        </w:tc>
        <w:tc>
          <w:tcPr>
            <w:tcW w:w="1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 Paid</w:t>
            </w:r>
          </w:p>
        </w:tc>
      </w:tr>
      <w:tr>
        <w:trPr>
          <w:trHeight w:val="250"/>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Ricks</w:t>
            </w:r>
          </w:p>
        </w:tc>
        <w:tc>
          <w:tcPr>
            <w:tcW w:w="236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15,721.000</w:t>
            </w:r>
          </w:p>
        </w:tc>
        <w:tc>
          <w:tcPr>
            <w:tcW w:w="182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31,442.000</w:t>
            </w:r>
          </w:p>
        </w:tc>
      </w:tr>
      <w:tr>
        <w:trPr>
          <w:trHeight w:val="270"/>
        </w:trPr>
        <w:tc>
          <w:tcPr>
            <w:tcW w:w="2140" w:type="dxa"/>
            <w:vAlign w:val="bottom"/>
          </w:tcPr>
          <w:p>
            <w:pPr>
              <w:ind w:left="20"/>
              <w:spacing w:after="0"/>
              <w:rPr>
                <w:sz w:val="20"/>
                <w:szCs w:val="20"/>
                <w:color w:val="auto"/>
              </w:rPr>
            </w:pPr>
            <w:r>
              <w:rPr>
                <w:rFonts w:ascii="Arial" w:cs="Arial" w:eastAsia="Arial" w:hAnsi="Arial"/>
                <w:sz w:val="18"/>
                <w:szCs w:val="18"/>
                <w:color w:val="auto"/>
              </w:rPr>
              <w:t>Mr. Montarce</w:t>
            </w:r>
            <w:r>
              <w:rPr>
                <w:rFonts w:ascii="Arial" w:cs="Arial" w:eastAsia="Arial" w:hAnsi="Arial"/>
                <w:sz w:val="23"/>
                <w:szCs w:val="23"/>
                <w:color w:val="auto"/>
                <w:vertAlign w:val="superscript"/>
              </w:rPr>
              <w:t>1</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503.000</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1,006.000</w:t>
            </w:r>
          </w:p>
        </w:tc>
      </w:tr>
      <w:tr>
        <w:trPr>
          <w:trHeight w:val="250"/>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Dr. Skovronsky</w:t>
            </w:r>
          </w:p>
        </w:tc>
        <w:tc>
          <w:tcPr>
            <w:tcW w:w="236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6,245.000</w:t>
            </w:r>
          </w:p>
        </w:tc>
        <w:tc>
          <w:tcPr>
            <w:tcW w:w="182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12,490.000</w:t>
            </w:r>
          </w:p>
        </w:tc>
      </w:tr>
      <w:tr>
        <w:trPr>
          <w:trHeight w:val="247"/>
        </w:trPr>
        <w:tc>
          <w:tcPr>
            <w:tcW w:w="2140" w:type="dxa"/>
            <w:vAlign w:val="bottom"/>
          </w:tcPr>
          <w:p>
            <w:pPr>
              <w:ind w:left="20"/>
              <w:spacing w:after="0"/>
              <w:rPr>
                <w:sz w:val="20"/>
                <w:szCs w:val="20"/>
                <w:color w:val="auto"/>
              </w:rPr>
            </w:pPr>
            <w:r>
              <w:rPr>
                <w:rFonts w:ascii="Arial" w:cs="Arial" w:eastAsia="Arial" w:hAnsi="Arial"/>
                <w:sz w:val="18"/>
                <w:szCs w:val="18"/>
                <w:color w:val="auto"/>
              </w:rPr>
              <w:t>Ms. Hakim</w:t>
            </w:r>
          </w:p>
        </w:tc>
        <w:tc>
          <w:tcPr>
            <w:tcW w:w="2360" w:type="dxa"/>
            <w:vAlign w:val="bottom"/>
          </w:tcPr>
          <w:p>
            <w:pPr>
              <w:jc w:val="right"/>
              <w:ind w:right="390"/>
              <w:spacing w:after="0"/>
              <w:rPr>
                <w:sz w:val="20"/>
                <w:szCs w:val="20"/>
                <w:color w:val="auto"/>
              </w:rPr>
            </w:pPr>
            <w:r>
              <w:rPr>
                <w:rFonts w:ascii="Arial" w:cs="Arial" w:eastAsia="Arial" w:hAnsi="Arial"/>
                <w:sz w:val="18"/>
                <w:szCs w:val="18"/>
                <w:color w:val="auto"/>
              </w:rPr>
              <w:t>3,298.000</w:t>
            </w: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6,596.000</w:t>
            </w:r>
          </w:p>
        </w:tc>
      </w:tr>
      <w:tr>
        <w:trPr>
          <w:trHeight w:val="23"/>
        </w:trPr>
        <w:tc>
          <w:tcPr>
            <w:tcW w:w="2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1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Mr. Van Naarden</w:t>
            </w:r>
          </w:p>
        </w:tc>
        <w:tc>
          <w:tcPr>
            <w:tcW w:w="236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2,023.000</w:t>
            </w:r>
          </w:p>
        </w:tc>
        <w:tc>
          <w:tcPr>
            <w:tcW w:w="1820" w:type="dxa"/>
            <w:vAlign w:val="bottom"/>
            <w:tcBorders>
              <w:bottom w:val="single" w:sz="8" w:color="F2F2F2"/>
            </w:tcBorders>
            <w:shd w:val="clear" w:color="auto" w:fill="F2F2F2"/>
          </w:tcPr>
          <w:p>
            <w:pPr>
              <w:jc w:val="right"/>
              <w:ind w:right="390"/>
              <w:spacing w:after="0"/>
              <w:rPr>
                <w:sz w:val="20"/>
                <w:szCs w:val="20"/>
                <w:color w:val="auto"/>
              </w:rPr>
            </w:pPr>
            <w:r>
              <w:rPr>
                <w:rFonts w:ascii="Arial" w:cs="Arial" w:eastAsia="Arial" w:hAnsi="Arial"/>
                <w:sz w:val="18"/>
                <w:szCs w:val="18"/>
                <w:color w:val="auto"/>
              </w:rPr>
              <w:t>4,046.000</w:t>
            </w:r>
          </w:p>
        </w:tc>
      </w:tr>
      <w:tr>
        <w:trPr>
          <w:trHeight w:val="20"/>
        </w:trPr>
        <w:tc>
          <w:tcPr>
            <w:tcW w:w="214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180" w:right="480" w:hanging="172"/>
        <w:spacing w:after="0" w:line="231" w:lineRule="auto"/>
        <w:tabs>
          <w:tab w:leader="none" w:pos="213" w:val="left"/>
        </w:tabs>
        <w:numPr>
          <w:ilvl w:val="0"/>
          <w:numId w:val="135"/>
        </w:numPr>
        <w:rPr>
          <w:rFonts w:ascii="Arial" w:cs="Arial" w:eastAsia="Arial" w:hAnsi="Arial"/>
          <w:sz w:val="23"/>
          <w:szCs w:val="23"/>
          <w:color w:val="auto"/>
          <w:vertAlign w:val="superscript"/>
        </w:rPr>
      </w:pPr>
      <w:r>
        <w:rPr>
          <w:rFonts w:ascii="Arial" w:cs="Arial" w:eastAsia="Arial" w:hAnsi="Arial"/>
          <w:sz w:val="18"/>
          <w:szCs w:val="18"/>
          <w:color w:val="auto"/>
        </w:rPr>
        <w:t>Mr. Montarce was not an executive officer on grant date; as such, the one-year post-vesting holding requirement doesn’t apply to this award.</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Other Compensation Practices and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Benefits</w:t>
      </w:r>
    </w:p>
    <w:p>
      <w:pPr>
        <w:spacing w:after="0" w:line="54"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company provides a comprehensive benefits program designed to support employee’s financial security, health, and well-being. These benefits provide financial support and time off during illness or injury, ensure post-retirement income security, and enhance productivity and job satisfaction through well-being-focused programs.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eligible U.S. employees have access to medical and dental coverage, disability insurance, and life insurance. The company also sponsors the 401(k) Plan and The Lilly Retirement Plan (the Retirement Plan) to provide U.S. employees with a reasonable level of retirement that reflects their career with the company.</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When an employee’s calculated retirement benefit exceeds Internal Revenue Service (IRS) limits for qualified retirement plans, the company offers a nonqualified pension plan (Nonqualified Pension Plan) and a nonqualified savings plan (Nonqualified Savings Plan). These plans provide benefits equal to the difference between the calculated benefits and the IRS-imposed limits, using the same benefit formula applied to all participants. Employees, including executive officers, share the cost of these benefits.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Security and Perquisites</w:t>
      </w:r>
    </w:p>
    <w:p>
      <w:pPr>
        <w:spacing w:after="0" w:line="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provides security for employees based on a risk assessment conducted as part of its comprehensive security program, which is designed to help employees safely and securely conduct business. While SEC disclosure regulations require certain security costs to be reported as compensation for NEOs in the Summary Compensation Table, the company does not consider such security costs to be personal benefits as they arise from the nature of the employee’s role and are generally required by the company. Security services include protection at residences and during personal travel, as well as the procurement, installation, and maintenance of residential security equipment. The Committee periodically reviews the security program.</w:t>
      </w:r>
    </w:p>
    <w:p>
      <w:pPr>
        <w:spacing w:after="0" w:line="12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Committee requires our Chair and CEO to use the company’s corporate aircraft for all travel, including personal travel, whenever possible. The Committee believes these costs are appropriate and necessary business expenses.</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Other officers may also use the corporate aircraft for personal purposes up to a maximum incremental cost established by the Committee, enabling them to maximize time available for company business and protecting their health and safety. The incremental cost of personal use of the corporate aircraft is included in the Summary Compensation Table under the heading “All Other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Lilly Deferred Compensation Plan</w:t>
      </w:r>
    </w:p>
    <w:p>
      <w:pPr>
        <w:spacing w:after="0" w:line="67"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Members of senior management may defer receipt of part or all of their annual bonus under The Lilly Deferred Compensation Plan (the “Deferred Compensation Plan”), enabling them to save for retirement in a tax-effective manner. Participants may select from investment funds available under the Deferred Compensation Plan, which, effective January 1, 2025, are substantially the same as those available under the 401(k) Plan. Deferred amounts are credited based on the investment elections made by the participant. Additional details are provided in the “</w:t>
      </w:r>
      <w:r>
        <w:rPr>
          <w:rFonts w:ascii="Arial" w:cs="Arial" w:eastAsia="Arial" w:hAnsi="Arial"/>
          <w:sz w:val="18"/>
          <w:szCs w:val="18"/>
          <w:u w:val="single" w:color="auto"/>
          <w:color w:val="0000FF"/>
        </w:rPr>
        <w:t>Nonqualified Deferred Compensation in 2025</w:t>
      </w:r>
      <w:r>
        <w:rPr>
          <w:rFonts w:ascii="Arial" w:cs="Arial" w:eastAsia="Arial" w:hAnsi="Arial"/>
          <w:sz w:val="18"/>
          <w:szCs w:val="18"/>
          <w:color w:val="auto"/>
        </w:rPr>
        <w:t>” table.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Other Post-Termination Benefits</w:t>
      </w:r>
    </w:p>
    <w:p>
      <w:pPr>
        <w:spacing w:after="0" w:line="54"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Except in cases of certain terminations following a change in control of the company, the company is generally not obligated to pay severance to executive officers upon termination of employment; any such payments are at the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0" w:name="page61"/>
    <w:bookmarkEnd w:id="60"/>
    <w:p>
      <w:pPr>
        <w:ind w:right="40"/>
        <w:spacing w:after="0" w:line="287" w:lineRule="auto"/>
        <w:rPr>
          <w:sz w:val="20"/>
          <w:szCs w:val="20"/>
          <w:color w:val="auto"/>
        </w:rPr>
      </w:pPr>
      <w:r>
        <w:rPr>
          <w:rFonts w:ascii="Arial" w:cs="Arial" w:eastAsia="Arial" w:hAnsi="Arial"/>
          <w:sz w:val="18"/>
          <w:szCs w:val="18"/>
          <w:color w:val="auto"/>
        </w:rPr>
        <w:t>discretion of the Committee. However, if the company enforces restrictive covenant agreements with certain executive officers, those officers would be entitled to post-termination payments, as described and quantified in “Payments upon Termination or Change in Control”.</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adopted change-in-control severance pay plans for nearly all employees, including executive officers. These plans aim to preserve employee morale and productivity and encourage retention amidst the potentially disruptive impact of an actual or rumored change in control. The plans also align executive and shareholder interests by enabling executives to evaluate corporate transactions objectively – assessing whether such transactions would benefit shareholders and other company stakeholders – without undue concern over their own employment security.</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of Our Change-in-Control Severance Plans</w:t>
      </w:r>
    </w:p>
    <w:p>
      <w:pPr>
        <w:spacing w:after="0" w:line="54" w:lineRule="exact"/>
        <w:rPr>
          <w:sz w:val="20"/>
          <w:szCs w:val="20"/>
          <w:color w:val="auto"/>
        </w:rPr>
      </w:pPr>
    </w:p>
    <w:p>
      <w:pPr>
        <w:ind w:left="480" w:hanging="310"/>
        <w:spacing w:after="0"/>
        <w:tabs>
          <w:tab w:leader="none" w:pos="480" w:val="left"/>
        </w:tabs>
        <w:numPr>
          <w:ilvl w:val="0"/>
          <w:numId w:val="136"/>
        </w:numPr>
        <w:rPr>
          <w:rFonts w:ascii="Arial" w:cs="Arial" w:eastAsia="Arial" w:hAnsi="Arial"/>
          <w:sz w:val="16"/>
          <w:szCs w:val="16"/>
          <w:color w:val="auto"/>
        </w:rPr>
      </w:pPr>
      <w:r>
        <w:rPr>
          <w:rFonts w:ascii="Arial" w:cs="Arial" w:eastAsia="Arial" w:hAnsi="Arial"/>
          <w:sz w:val="18"/>
          <w:szCs w:val="18"/>
          <w:color w:val="auto"/>
        </w:rPr>
        <w:t>All regular employees are covered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6"/>
        </w:numPr>
        <w:rPr>
          <w:rFonts w:ascii="Arial" w:cs="Arial" w:eastAsia="Arial" w:hAnsi="Arial"/>
          <w:sz w:val="16"/>
          <w:szCs w:val="16"/>
          <w:color w:val="auto"/>
        </w:rPr>
      </w:pPr>
      <w:r>
        <w:rPr>
          <w:rFonts w:ascii="Arial" w:cs="Arial" w:eastAsia="Arial" w:hAnsi="Arial"/>
          <w:sz w:val="18"/>
          <w:szCs w:val="18"/>
          <w:color w:val="auto"/>
        </w:rPr>
        <w:t>Double trigger required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6"/>
        </w:numPr>
        <w:rPr>
          <w:rFonts w:ascii="Arial" w:cs="Arial" w:eastAsia="Arial" w:hAnsi="Arial"/>
          <w:sz w:val="16"/>
          <w:szCs w:val="16"/>
          <w:color w:val="auto"/>
        </w:rPr>
      </w:pPr>
      <w:r>
        <w:rPr>
          <w:rFonts w:ascii="Arial" w:cs="Arial" w:eastAsia="Arial" w:hAnsi="Arial"/>
          <w:sz w:val="18"/>
          <w:szCs w:val="18"/>
          <w:color w:val="auto"/>
        </w:rPr>
        <w:t>No tax gross-ups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6"/>
        </w:numPr>
        <w:rPr>
          <w:rFonts w:ascii="Arial" w:cs="Arial" w:eastAsia="Arial" w:hAnsi="Arial"/>
          <w:sz w:val="16"/>
          <w:szCs w:val="16"/>
          <w:color w:val="auto"/>
        </w:rPr>
      </w:pPr>
      <w:r>
        <w:rPr>
          <w:rFonts w:ascii="Arial" w:cs="Arial" w:eastAsia="Arial" w:hAnsi="Arial"/>
          <w:sz w:val="18"/>
          <w:szCs w:val="18"/>
          <w:color w:val="auto"/>
        </w:rPr>
        <w:t>Up to two-year pay protection</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36"/>
        </w:numPr>
        <w:rPr>
          <w:rFonts w:ascii="Arial" w:cs="Arial" w:eastAsia="Arial" w:hAnsi="Arial"/>
          <w:sz w:val="16"/>
          <w:szCs w:val="16"/>
          <w:color w:val="auto"/>
        </w:rPr>
      </w:pPr>
      <w:r>
        <w:rPr>
          <w:rFonts w:ascii="Arial" w:cs="Arial" w:eastAsia="Arial" w:hAnsi="Arial"/>
          <w:sz w:val="18"/>
          <w:szCs w:val="18"/>
          <w:color w:val="auto"/>
        </w:rPr>
        <w:t>18-month benefit continuation</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Although benefit levels may differ depending on the employee’s job level and seniority, the basic elements of the plans are comparable for all eligible employees:</w:t>
      </w:r>
    </w:p>
    <w:p>
      <w:pPr>
        <w:spacing w:after="0" w:line="104" w:lineRule="exact"/>
        <w:rPr>
          <w:sz w:val="20"/>
          <w:szCs w:val="20"/>
          <w:color w:val="auto"/>
        </w:rPr>
      </w:pPr>
    </w:p>
    <w:p>
      <w:pPr>
        <w:ind w:left="500" w:hanging="330"/>
        <w:spacing w:after="0" w:line="270" w:lineRule="auto"/>
        <w:tabs>
          <w:tab w:leader="none" w:pos="495" w:val="left"/>
        </w:tabs>
        <w:numPr>
          <w:ilvl w:val="0"/>
          <w:numId w:val="137"/>
        </w:numPr>
        <w:rPr>
          <w:rFonts w:ascii="Arial" w:cs="Arial" w:eastAsia="Arial" w:hAnsi="Arial"/>
          <w:sz w:val="18"/>
          <w:szCs w:val="18"/>
          <w:color w:val="D52B1E"/>
        </w:rPr>
      </w:pPr>
      <w:r>
        <w:rPr>
          <w:rFonts w:ascii="Arial" w:cs="Arial" w:eastAsia="Arial" w:hAnsi="Arial"/>
          <w:sz w:val="19"/>
          <w:szCs w:val="19"/>
          <w:b w:val="1"/>
          <w:bCs w:val="1"/>
          <w:color w:val="D52B1E"/>
        </w:rPr>
        <w:t xml:space="preserve">Double trigger: </w:t>
      </w:r>
      <w:r>
        <w:rPr>
          <w:rFonts w:ascii="Arial" w:cs="Arial" w:eastAsia="Arial" w:hAnsi="Arial"/>
          <w:sz w:val="17"/>
          <w:szCs w:val="17"/>
          <w:color w:val="000000"/>
        </w:rPr>
        <w:t>The company’s plans require a “double trigger”—a change in control followed by a covered loss of employment within</w:t>
      </w:r>
      <w:r>
        <w:rPr>
          <w:rFonts w:ascii="Arial" w:cs="Arial" w:eastAsia="Arial" w:hAnsi="Arial"/>
          <w:sz w:val="19"/>
          <w:szCs w:val="19"/>
          <w:b w:val="1"/>
          <w:bCs w:val="1"/>
          <w:color w:val="D52B1E"/>
        </w:rPr>
        <w:t xml:space="preserve"> </w:t>
      </w:r>
      <w:r>
        <w:rPr>
          <w:rFonts w:ascii="Arial" w:cs="Arial" w:eastAsia="Arial" w:hAnsi="Arial"/>
          <w:sz w:val="17"/>
          <w:szCs w:val="17"/>
          <w:color w:val="000000"/>
        </w:rPr>
        <w:t>two years. This approach aligns with the plans’ intent to provide employees with financial protection upon loss of employment. For unvested stock awards, performance through the date of the change in control is used to determine the number of shares earned under an award. However, vesting does not accelerate immediately upon a change in control. Instead, the performance-adjusted awards convert to time-based restricted stock units that continue to vest following the transaction. Shares are paid upon the earliest of: completion of the original award period; a covered termination; or failure by the successor entity to assume, substitute, or otherwise replace the awards.</w:t>
      </w:r>
    </w:p>
    <w:p>
      <w:pPr>
        <w:spacing w:after="0" w:line="342" w:lineRule="exact"/>
        <w:rPr>
          <w:rFonts w:ascii="Arial" w:cs="Arial" w:eastAsia="Arial" w:hAnsi="Arial"/>
          <w:sz w:val="18"/>
          <w:szCs w:val="18"/>
          <w:color w:val="D52B1E"/>
        </w:rPr>
      </w:pPr>
    </w:p>
    <w:p>
      <w:pPr>
        <w:ind w:left="500" w:right="20" w:hanging="330"/>
        <w:spacing w:after="0" w:line="267" w:lineRule="auto"/>
        <w:tabs>
          <w:tab w:leader="none" w:pos="489" w:val="left"/>
        </w:tabs>
        <w:numPr>
          <w:ilvl w:val="0"/>
          <w:numId w:val="137"/>
        </w:numPr>
        <w:rPr>
          <w:rFonts w:ascii="Arial" w:cs="Arial" w:eastAsia="Arial" w:hAnsi="Arial"/>
          <w:sz w:val="16"/>
          <w:szCs w:val="16"/>
          <w:b w:val="1"/>
          <w:bCs w:val="1"/>
          <w:color w:val="D52B1E"/>
        </w:rPr>
      </w:pPr>
      <w:r>
        <w:rPr>
          <w:rFonts w:ascii="Arial" w:cs="Arial" w:eastAsia="Arial" w:hAnsi="Arial"/>
          <w:sz w:val="19"/>
          <w:szCs w:val="19"/>
          <w:b w:val="1"/>
          <w:bCs w:val="1"/>
          <w:color w:val="D52B1E"/>
        </w:rPr>
        <w:t xml:space="preserve">Covered terminations: </w:t>
      </w:r>
      <w:r>
        <w:rPr>
          <w:rFonts w:ascii="Arial" w:cs="Arial" w:eastAsia="Arial" w:hAnsi="Arial"/>
          <w:sz w:val="17"/>
          <w:szCs w:val="17"/>
          <w:color w:val="000000"/>
        </w:rPr>
        <w:t>Eligible employees may receive payments if their employment is terminated within two years of the change in</w:t>
      </w:r>
      <w:r>
        <w:rPr>
          <w:rFonts w:ascii="Arial" w:cs="Arial" w:eastAsia="Arial" w:hAnsi="Arial"/>
          <w:sz w:val="19"/>
          <w:szCs w:val="19"/>
          <w:b w:val="1"/>
          <w:bCs w:val="1"/>
          <w:color w:val="D52B1E"/>
        </w:rPr>
        <w:t xml:space="preserve"> </w:t>
      </w:r>
      <w:r>
        <w:rPr>
          <w:rFonts w:ascii="Arial" w:cs="Arial" w:eastAsia="Arial" w:hAnsi="Arial"/>
          <w:sz w:val="17"/>
          <w:szCs w:val="17"/>
          <w:color w:val="000000"/>
        </w:rPr>
        <w:t>control, either (i) without cause by the company or (ii) for good reason by the employee, each as defined in the plans. For further details, refer to the section “</w:t>
      </w:r>
      <w:r>
        <w:rPr>
          <w:rFonts w:ascii="Arial" w:cs="Arial" w:eastAsia="Arial" w:hAnsi="Arial"/>
          <w:sz w:val="17"/>
          <w:szCs w:val="17"/>
          <w:u w:val="single" w:color="auto"/>
          <w:color w:val="0000FF"/>
        </w:rPr>
        <w:t>Compensation—Executive Compensation—Payments upon Termination or Change in Control</w:t>
      </w:r>
      <w:r>
        <w:rPr>
          <w:rFonts w:ascii="Arial" w:cs="Arial" w:eastAsia="Arial" w:hAnsi="Arial"/>
          <w:sz w:val="17"/>
          <w:szCs w:val="17"/>
          <w:color w:val="000000"/>
        </w:rPr>
        <w:t>”.</w:t>
      </w:r>
    </w:p>
    <w:p>
      <w:pPr>
        <w:spacing w:after="0" w:line="119" w:lineRule="exact"/>
        <w:rPr>
          <w:rFonts w:ascii="Arial" w:cs="Arial" w:eastAsia="Arial" w:hAnsi="Arial"/>
          <w:sz w:val="16"/>
          <w:szCs w:val="16"/>
          <w:b w:val="1"/>
          <w:bCs w:val="1"/>
          <w:color w:val="D52B1E"/>
        </w:rPr>
      </w:pPr>
    </w:p>
    <w:p>
      <w:pPr>
        <w:ind w:left="500" w:right="60" w:hanging="330"/>
        <w:spacing w:after="0" w:line="287" w:lineRule="auto"/>
        <w:tabs>
          <w:tab w:leader="none" w:pos="489" w:val="left"/>
        </w:tabs>
        <w:numPr>
          <w:ilvl w:val="0"/>
          <w:numId w:val="137"/>
        </w:numPr>
        <w:rPr>
          <w:rFonts w:ascii="Arial" w:cs="Arial" w:eastAsia="Arial" w:hAnsi="Arial"/>
          <w:sz w:val="16"/>
          <w:szCs w:val="16"/>
          <w:b w:val="1"/>
          <w:bCs w:val="1"/>
          <w:color w:val="D52B1E"/>
        </w:rPr>
      </w:pPr>
      <w:r>
        <w:rPr>
          <w:rFonts w:ascii="Arial" w:cs="Arial" w:eastAsia="Arial" w:hAnsi="Arial"/>
          <w:sz w:val="19"/>
          <w:szCs w:val="19"/>
          <w:b w:val="1"/>
          <w:bCs w:val="1"/>
          <w:color w:val="D52B1E"/>
        </w:rPr>
        <w:t xml:space="preserve">Severance and Benefits Continuation: </w:t>
      </w:r>
      <w:r>
        <w:rPr>
          <w:rFonts w:ascii="Arial" w:cs="Arial" w:eastAsia="Arial" w:hAnsi="Arial"/>
          <w:sz w:val="17"/>
          <w:szCs w:val="17"/>
          <w:color w:val="000000"/>
        </w:rPr>
        <w:t>Employees who experience a covered termination are provided with up to two years of</w:t>
      </w:r>
      <w:r>
        <w:rPr>
          <w:rFonts w:ascii="Arial" w:cs="Arial" w:eastAsia="Arial" w:hAnsi="Arial"/>
          <w:sz w:val="19"/>
          <w:szCs w:val="19"/>
          <w:b w:val="1"/>
          <w:bCs w:val="1"/>
          <w:color w:val="D52B1E"/>
        </w:rPr>
        <w:t xml:space="preserve"> </w:t>
      </w:r>
      <w:r>
        <w:rPr>
          <w:rFonts w:ascii="Arial" w:cs="Arial" w:eastAsia="Arial" w:hAnsi="Arial"/>
          <w:sz w:val="17"/>
          <w:szCs w:val="17"/>
          <w:color w:val="000000"/>
        </w:rPr>
        <w:t>base salary and bonus and 18 months of benefits continuation, providing income protection and essential benefits during the transition period.</w:t>
      </w:r>
    </w:p>
    <w:p>
      <w:pPr>
        <w:spacing w:after="0" w:line="323" w:lineRule="exact"/>
        <w:rPr>
          <w:rFonts w:ascii="Arial" w:cs="Arial" w:eastAsia="Arial" w:hAnsi="Arial"/>
          <w:sz w:val="16"/>
          <w:szCs w:val="16"/>
          <w:b w:val="1"/>
          <w:bCs w:val="1"/>
          <w:color w:val="D52B1E"/>
        </w:rPr>
      </w:pPr>
    </w:p>
    <w:p>
      <w:pPr>
        <w:ind w:left="820" w:right="280" w:hanging="324"/>
        <w:spacing w:after="0" w:line="287" w:lineRule="auto"/>
        <w:rPr>
          <w:rFonts w:ascii="Arial" w:cs="Arial" w:eastAsia="Arial" w:hAnsi="Arial"/>
          <w:sz w:val="16"/>
          <w:szCs w:val="16"/>
          <w:b w:val="1"/>
          <w:bCs w:val="1"/>
          <w:color w:val="D52B1E"/>
        </w:rPr>
      </w:pPr>
      <w:r>
        <w:rPr>
          <w:rFonts w:ascii="Arial" w:cs="Arial" w:eastAsia="Arial" w:hAnsi="Arial"/>
          <w:sz w:val="18"/>
          <w:szCs w:val="18"/>
          <w:color w:val="auto"/>
        </w:rPr>
        <w:t xml:space="preserve">– </w:t>
      </w:r>
      <w:r>
        <w:rPr>
          <w:rFonts w:ascii="Arial" w:cs="Arial" w:eastAsia="Arial" w:hAnsi="Arial"/>
          <w:sz w:val="18"/>
          <w:szCs w:val="18"/>
          <w:b w:val="1"/>
          <w:bCs w:val="1"/>
          <w:color w:val="auto"/>
        </w:rPr>
        <w:t>Severance:</w:t>
      </w:r>
      <w:r>
        <w:rPr>
          <w:rFonts w:ascii="Arial" w:cs="Arial" w:eastAsia="Arial" w:hAnsi="Arial"/>
          <w:sz w:val="18"/>
          <w:szCs w:val="18"/>
          <w:color w:val="auto"/>
        </w:rPr>
        <w:t xml:space="preserve"> Eligible employees who are terminated receive a severance payment ranging from six months to two years of base salary. Eligible executives receive a severance payment equal to two times the sum of their base salary and target bonus.</w:t>
      </w:r>
    </w:p>
    <w:p>
      <w:pPr>
        <w:spacing w:after="0" w:line="98" w:lineRule="exact"/>
        <w:rPr>
          <w:rFonts w:ascii="Arial" w:cs="Arial" w:eastAsia="Arial" w:hAnsi="Arial"/>
          <w:sz w:val="16"/>
          <w:szCs w:val="16"/>
          <w:b w:val="1"/>
          <w:bCs w:val="1"/>
          <w:color w:val="D52B1E"/>
        </w:rPr>
      </w:pPr>
    </w:p>
    <w:p>
      <w:pPr>
        <w:ind w:left="820" w:right="60" w:hanging="324"/>
        <w:spacing w:after="0" w:line="262" w:lineRule="auto"/>
        <w:rPr>
          <w:rFonts w:ascii="Arial" w:cs="Arial" w:eastAsia="Arial" w:hAnsi="Arial"/>
          <w:sz w:val="16"/>
          <w:szCs w:val="16"/>
          <w:b w:val="1"/>
          <w:bCs w:val="1"/>
          <w:color w:val="D52B1E"/>
        </w:rPr>
      </w:pPr>
      <w:r>
        <w:rPr>
          <w:rFonts w:ascii="Arial" w:cs="Arial" w:eastAsia="Arial" w:hAnsi="Arial"/>
          <w:sz w:val="18"/>
          <w:szCs w:val="18"/>
          <w:color w:val="auto"/>
        </w:rPr>
        <w:t xml:space="preserve">– </w:t>
      </w:r>
      <w:r>
        <w:rPr>
          <w:rFonts w:ascii="Arial" w:cs="Arial" w:eastAsia="Arial" w:hAnsi="Arial"/>
          <w:sz w:val="18"/>
          <w:szCs w:val="18"/>
          <w:b w:val="1"/>
          <w:bCs w:val="1"/>
          <w:color w:val="auto"/>
        </w:rPr>
        <w:t>Benefits:</w:t>
      </w:r>
      <w:r>
        <w:rPr>
          <w:rFonts w:ascii="Arial" w:cs="Arial" w:eastAsia="Arial" w:hAnsi="Arial"/>
          <w:sz w:val="18"/>
          <w:szCs w:val="18"/>
          <w:color w:val="auto"/>
        </w:rPr>
        <w:t xml:space="preserve"> Health, dental, life insurance, and long-term disability coverage are maintained for 18 months post-termination, provided the individual does not become eligible for similar benefits with a new employer. Additionally, all employees receive two years of both age and years-of-service credit, calculating eligibility for retiree medical and dental benefits. The additional age and years of service credit are not considered when calculating benefit value.</w:t>
      </w:r>
    </w:p>
    <w:p>
      <w:pPr>
        <w:spacing w:after="0" w:line="127" w:lineRule="exact"/>
        <w:rPr>
          <w:rFonts w:ascii="Arial" w:cs="Arial" w:eastAsia="Arial" w:hAnsi="Arial"/>
          <w:sz w:val="16"/>
          <w:szCs w:val="16"/>
          <w:b w:val="1"/>
          <w:bCs w:val="1"/>
          <w:color w:val="D52B1E"/>
        </w:rPr>
      </w:pPr>
    </w:p>
    <w:p>
      <w:pPr>
        <w:ind w:left="500" w:right="100" w:hanging="330"/>
        <w:spacing w:after="0" w:line="268" w:lineRule="auto"/>
        <w:tabs>
          <w:tab w:leader="none" w:pos="489" w:val="left"/>
        </w:tabs>
        <w:numPr>
          <w:ilvl w:val="0"/>
          <w:numId w:val="137"/>
        </w:numPr>
        <w:rPr>
          <w:rFonts w:ascii="Arial" w:cs="Arial" w:eastAsia="Arial" w:hAnsi="Arial"/>
          <w:sz w:val="16"/>
          <w:szCs w:val="16"/>
          <w:b w:val="1"/>
          <w:bCs w:val="1"/>
          <w:color w:val="D52B1E"/>
        </w:rPr>
      </w:pPr>
      <w:r>
        <w:rPr>
          <w:rFonts w:ascii="Arial" w:cs="Arial" w:eastAsia="Arial" w:hAnsi="Arial"/>
          <w:sz w:val="19"/>
          <w:szCs w:val="19"/>
          <w:b w:val="1"/>
          <w:bCs w:val="1"/>
          <w:color w:val="D52B1E"/>
        </w:rPr>
        <w:t xml:space="preserve">Accelerated vesting of stock awards: </w:t>
      </w:r>
      <w:r>
        <w:rPr>
          <w:rFonts w:ascii="Arial" w:cs="Arial" w:eastAsia="Arial" w:hAnsi="Arial"/>
          <w:sz w:val="17"/>
          <w:szCs w:val="17"/>
          <w:color w:val="000000"/>
        </w:rPr>
        <w:t>Any unvested stock awards vest at the time of a covered termination (i.e., a “double trigger”</w:t>
      </w:r>
      <w:r>
        <w:rPr>
          <w:rFonts w:ascii="Arial" w:cs="Arial" w:eastAsia="Arial" w:hAnsi="Arial"/>
          <w:sz w:val="19"/>
          <w:szCs w:val="19"/>
          <w:b w:val="1"/>
          <w:bCs w:val="1"/>
          <w:color w:val="D52B1E"/>
        </w:rPr>
        <w:t xml:space="preserve"> </w:t>
      </w:r>
      <w:r>
        <w:rPr>
          <w:rFonts w:ascii="Arial" w:cs="Arial" w:eastAsia="Arial" w:hAnsi="Arial"/>
          <w:sz w:val="17"/>
          <w:szCs w:val="17"/>
          <w:color w:val="000000"/>
        </w:rPr>
        <w:t>occurs).</w:t>
      </w:r>
    </w:p>
    <w:p>
      <w:pPr>
        <w:spacing w:after="0" w:line="119" w:lineRule="exact"/>
        <w:rPr>
          <w:rFonts w:ascii="Arial" w:cs="Arial" w:eastAsia="Arial" w:hAnsi="Arial"/>
          <w:sz w:val="16"/>
          <w:szCs w:val="16"/>
          <w:b w:val="1"/>
          <w:bCs w:val="1"/>
          <w:color w:val="D52B1E"/>
        </w:rPr>
      </w:pPr>
    </w:p>
    <w:p>
      <w:pPr>
        <w:ind w:left="500" w:right="120" w:hanging="330"/>
        <w:spacing w:after="0" w:line="265" w:lineRule="auto"/>
        <w:tabs>
          <w:tab w:leader="none" w:pos="495" w:val="left"/>
        </w:tabs>
        <w:numPr>
          <w:ilvl w:val="0"/>
          <w:numId w:val="137"/>
        </w:numPr>
        <w:rPr>
          <w:rFonts w:ascii="Arial" w:cs="Arial" w:eastAsia="Arial" w:hAnsi="Arial"/>
          <w:sz w:val="18"/>
          <w:szCs w:val="18"/>
          <w:color w:val="D52B1E"/>
        </w:rPr>
      </w:pPr>
      <w:r>
        <w:rPr>
          <w:rFonts w:ascii="Arial" w:cs="Arial" w:eastAsia="Arial" w:hAnsi="Arial"/>
          <w:sz w:val="19"/>
          <w:szCs w:val="19"/>
          <w:b w:val="1"/>
          <w:bCs w:val="1"/>
          <w:color w:val="D52B1E"/>
        </w:rPr>
        <w:t xml:space="preserve">Excise tax: </w:t>
      </w:r>
      <w:r>
        <w:rPr>
          <w:rFonts w:ascii="Arial" w:cs="Arial" w:eastAsia="Arial" w:hAnsi="Arial"/>
          <w:sz w:val="17"/>
          <w:szCs w:val="17"/>
          <w:color w:val="000000"/>
        </w:rPr>
        <w:t>In certain circumstances, an employee’s payments or other benefits resulting from a change in control may exceed limits</w:t>
      </w:r>
      <w:r>
        <w:rPr>
          <w:rFonts w:ascii="Arial" w:cs="Arial" w:eastAsia="Arial" w:hAnsi="Arial"/>
          <w:sz w:val="19"/>
          <w:szCs w:val="19"/>
          <w:b w:val="1"/>
          <w:bCs w:val="1"/>
          <w:color w:val="D52B1E"/>
        </w:rPr>
        <w:t xml:space="preserve"> </w:t>
      </w:r>
      <w:r>
        <w:rPr>
          <w:rFonts w:ascii="Arial" w:cs="Arial" w:eastAsia="Arial" w:hAnsi="Arial"/>
          <w:sz w:val="17"/>
          <w:szCs w:val="17"/>
          <w:color w:val="000000"/>
        </w:rPr>
        <w:t>established under Section 280G of the Internal Revenue Code, triggering an excise tax in addition to the standard federal income tax. The company does not provide tax gross-ups for these additional taxes. However, if reducing the benefits related to the change in control to the 280G limit results in a higher after-tax benefit to the employee the payment is reduced accordingly.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spacing w:after="0"/>
        <w:rPr>
          <w:sz w:val="20"/>
          <w:szCs w:val="20"/>
          <w:color w:val="auto"/>
        </w:rPr>
      </w:pPr>
      <w:r>
        <w:rPr>
          <w:rFonts w:ascii="Arial" w:cs="Arial" w:eastAsia="Arial" w:hAnsi="Arial"/>
          <w:sz w:val="25"/>
          <w:szCs w:val="25"/>
          <w:b w:val="1"/>
          <w:bCs w:val="1"/>
          <w:color w:val="0F3A85"/>
        </w:rPr>
        <w:t>Share Ownership and Retention Guidelines</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Lilly’s share ownership and retention guidelines are designed to align interests of senior management with those of shareholders. Under the company’s share ownership policy, the CEO is required to hold Lilly shares with a value equivalent to 12 times his annual base salary. The CFO is required to hold shares equivalent to eight times his base salary, and other senior executives must hold shares equivalent to six times their annual base salary. Shares held outright from stock payouts, shares held in the Lilly 401(k) Plan, shares held in the Deferred Compensation Plan, and shares held in family trusts count toward the ownership requirement. Unvested stock awards do not count toward the ownership requirement.</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Until the required share ownership level is achieved, executive officers must retain 50 percent of all shares received from stock payouts, net of taxes. Additionally, executive officers are required to hold all shares received from stock program payouts, net of taxes, for at least one year following vesting.</w:t>
      </w:r>
    </w:p>
    <w:p>
      <w:pPr>
        <w:spacing w:after="0" w:line="11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All NEOs are in compliance with the share ownership guidelines; see below for individual requirements and holdings as of December 31, 2025.</w:t>
      </w:r>
    </w:p>
    <w:p>
      <w:pPr>
        <w:spacing w:after="0" w:line="319" w:lineRule="exact"/>
        <w:rPr>
          <w:sz w:val="20"/>
          <w:szCs w:val="20"/>
          <w:color w:val="auto"/>
        </w:rPr>
      </w:pPr>
    </w:p>
    <w:tbl>
      <w:tblPr>
        <w:tblLayout w:type="fixed"/>
        <w:tblInd w:w="80" w:type="dxa"/>
        <w:tblCellMar>
          <w:top w:w="0" w:type="dxa"/>
          <w:left w:w="0" w:type="dxa"/>
          <w:bottom w:w="0" w:type="dxa"/>
          <w:right w:w="0" w:type="dxa"/>
        </w:tblCellMar>
      </w:tblPr>
      <w:tr>
        <w:trPr>
          <w:trHeight w:val="297"/>
        </w:trPr>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320" w:type="dxa"/>
            <w:vAlign w:val="bottom"/>
            <w:gridSpan w:val="4"/>
          </w:tcPr>
          <w:p>
            <w:pPr>
              <w:ind w:left="200"/>
              <w:spacing w:after="0"/>
              <w:rPr>
                <w:sz w:val="20"/>
                <w:szCs w:val="20"/>
                <w:color w:val="auto"/>
              </w:rPr>
            </w:pPr>
            <w:r>
              <w:rPr>
                <w:rFonts w:ascii="Arial" w:cs="Arial" w:eastAsia="Arial" w:hAnsi="Arial"/>
                <w:sz w:val="22"/>
                <w:szCs w:val="22"/>
                <w:b w:val="1"/>
                <w:bCs w:val="1"/>
                <w:color w:val="auto"/>
              </w:rPr>
              <w:t>Share Ownership and Retention</w:t>
            </w: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320" w:type="dxa"/>
            <w:vAlign w:val="bottom"/>
            <w:gridSpan w:val="4"/>
          </w:tcPr>
          <w:p>
            <w:pPr>
              <w:ind w:left="20"/>
              <w:spacing w:after="0"/>
              <w:rPr>
                <w:sz w:val="20"/>
                <w:szCs w:val="20"/>
                <w:color w:val="auto"/>
              </w:rPr>
            </w:pPr>
            <w:r>
              <w:rPr>
                <w:rFonts w:ascii="Arial" w:cs="Arial" w:eastAsia="Arial" w:hAnsi="Arial"/>
                <w:sz w:val="13"/>
                <w:szCs w:val="13"/>
                <w:b w:val="1"/>
                <w:bCs w:val="1"/>
                <w:color w:val="0F3A85"/>
              </w:rPr>
              <w:t>12x Base Salary Ownership Requirement</w:t>
            </w:r>
          </w:p>
        </w:tc>
        <w:tc>
          <w:tcPr>
            <w:tcW w:w="0" w:type="dxa"/>
            <w:vAlign w:val="bottom"/>
          </w:tcPr>
          <w:p>
            <w:pPr>
              <w:spacing w:after="0"/>
              <w:rPr>
                <w:sz w:val="1"/>
                <w:szCs w:val="1"/>
                <w:color w:val="auto"/>
              </w:rPr>
            </w:pPr>
          </w:p>
        </w:tc>
      </w:tr>
      <w:tr>
        <w:trPr>
          <w:trHeight w:val="76"/>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Mr. Ricks</w:t>
            </w: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960" w:type="dxa"/>
            <w:vAlign w:val="bottom"/>
            <w:shd w:val="clear" w:color="auto" w:fill="D0E7F7"/>
          </w:tcPr>
          <w:p>
            <w:pPr>
              <w:spacing w:after="0"/>
              <w:rPr>
                <w:sz w:val="23"/>
                <w:szCs w:val="23"/>
                <w:color w:val="auto"/>
              </w:rPr>
            </w:pPr>
          </w:p>
        </w:tc>
        <w:tc>
          <w:tcPr>
            <w:tcW w:w="720" w:type="dxa"/>
            <w:vAlign w:val="bottom"/>
            <w:shd w:val="clear" w:color="auto" w:fill="D0E7F7"/>
          </w:tcPr>
          <w:p>
            <w:pPr>
              <w:spacing w:after="0"/>
              <w:rPr>
                <w:sz w:val="23"/>
                <w:szCs w:val="23"/>
                <w:color w:val="auto"/>
              </w:rPr>
            </w:pPr>
          </w:p>
        </w:tc>
        <w:tc>
          <w:tcPr>
            <w:tcW w:w="380" w:type="dxa"/>
            <w:vAlign w:val="bottom"/>
            <w:shd w:val="clear" w:color="auto" w:fill="D0E7F7"/>
          </w:tcPr>
          <w:p>
            <w:pPr>
              <w:spacing w:after="0"/>
              <w:rPr>
                <w:sz w:val="23"/>
                <w:szCs w:val="23"/>
                <w:color w:val="auto"/>
              </w:rPr>
            </w:pPr>
          </w:p>
        </w:tc>
        <w:tc>
          <w:tcPr>
            <w:tcW w:w="2160" w:type="dxa"/>
            <w:vAlign w:val="bottom"/>
            <w:shd w:val="clear" w:color="auto" w:fill="D0E7F7"/>
          </w:tcPr>
          <w:p>
            <w:pPr>
              <w:spacing w:after="0"/>
              <w:rPr>
                <w:sz w:val="23"/>
                <w:szCs w:val="23"/>
                <w:color w:val="auto"/>
              </w:rPr>
            </w:pPr>
          </w:p>
        </w:tc>
        <w:tc>
          <w:tcPr>
            <w:tcW w:w="3060" w:type="dxa"/>
            <w:vAlign w:val="bottom"/>
            <w:shd w:val="clear" w:color="auto" w:fill="D0E7F7"/>
          </w:tcPr>
          <w:p>
            <w:pPr>
              <w:ind w:left="2720"/>
              <w:spacing w:after="0"/>
              <w:rPr>
                <w:sz w:val="20"/>
                <w:szCs w:val="20"/>
                <w:color w:val="auto"/>
              </w:rPr>
            </w:pPr>
            <w:r>
              <w:rPr>
                <w:rFonts w:ascii="Arial" w:cs="Arial" w:eastAsia="Arial" w:hAnsi="Arial"/>
                <w:sz w:val="14"/>
                <w:szCs w:val="14"/>
                <w:b w:val="1"/>
                <w:bCs w:val="1"/>
                <w:color w:val="auto"/>
              </w:rPr>
              <w:t>412x</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7280" w:type="dxa"/>
            <w:vAlign w:val="bottom"/>
            <w:tcBorders>
              <w:bottom w:val="single" w:sz="8" w:color="B6B6B6"/>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4"/>
                <w:szCs w:val="24"/>
                <w:color w:val="auto"/>
              </w:rPr>
            </w:pPr>
          </w:p>
        </w:tc>
        <w:tc>
          <w:tcPr>
            <w:tcW w:w="7280" w:type="dxa"/>
            <w:vAlign w:val="bottom"/>
            <w:gridSpan w:val="5"/>
          </w:tcPr>
          <w:p>
            <w:pPr>
              <w:ind w:left="460"/>
              <w:spacing w:after="0"/>
              <w:rPr>
                <w:sz w:val="20"/>
                <w:szCs w:val="20"/>
                <w:color w:val="auto"/>
              </w:rPr>
            </w:pPr>
            <w:r>
              <w:rPr>
                <w:rFonts w:ascii="Arial" w:cs="Arial" w:eastAsia="Arial" w:hAnsi="Arial"/>
                <w:sz w:val="13"/>
                <w:szCs w:val="13"/>
                <w:b w:val="1"/>
                <w:bCs w:val="1"/>
                <w:color w:val="0F3A85"/>
              </w:rPr>
              <w:t>8x Base Salary Ownership Requirement</w:t>
            </w:r>
          </w:p>
        </w:tc>
        <w:tc>
          <w:tcPr>
            <w:tcW w:w="0" w:type="dxa"/>
            <w:vAlign w:val="bottom"/>
          </w:tcPr>
          <w:p>
            <w:pPr>
              <w:spacing w:after="0"/>
              <w:rPr>
                <w:sz w:val="1"/>
                <w:szCs w:val="1"/>
                <w:color w:val="auto"/>
              </w:rPr>
            </w:pPr>
          </w:p>
        </w:tc>
      </w:tr>
      <w:tr>
        <w:trPr>
          <w:trHeight w:val="76"/>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Mr. Montarce</w:t>
            </w:r>
          </w:p>
        </w:tc>
        <w:tc>
          <w:tcPr>
            <w:tcW w:w="1680" w:type="dxa"/>
            <w:vAlign w:val="bottom"/>
            <w:gridSpan w:val="2"/>
          </w:tcPr>
          <w:p>
            <w:pPr>
              <w:spacing w:after="0"/>
              <w:rPr>
                <w:sz w:val="6"/>
                <w:szCs w:val="6"/>
                <w:color w:val="auto"/>
              </w:rPr>
            </w:pPr>
          </w:p>
        </w:tc>
        <w:tc>
          <w:tcPr>
            <w:tcW w:w="3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3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960" w:type="dxa"/>
            <w:vAlign w:val="bottom"/>
            <w:shd w:val="clear" w:color="auto" w:fill="D0E7F7"/>
          </w:tcPr>
          <w:p>
            <w:pPr>
              <w:ind w:left="700"/>
              <w:spacing w:after="0"/>
              <w:rPr>
                <w:sz w:val="20"/>
                <w:szCs w:val="20"/>
                <w:color w:val="auto"/>
              </w:rPr>
            </w:pPr>
            <w:r>
              <w:rPr>
                <w:rFonts w:ascii="Arial" w:cs="Arial" w:eastAsia="Arial" w:hAnsi="Arial"/>
                <w:sz w:val="14"/>
                <w:szCs w:val="14"/>
                <w:b w:val="1"/>
                <w:bCs w:val="1"/>
                <w:color w:val="auto"/>
              </w:rPr>
              <w:t>16x</w:t>
            </w: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7280" w:type="dxa"/>
            <w:vAlign w:val="bottom"/>
            <w:tcBorders>
              <w:bottom w:val="single" w:sz="8" w:color="B6B6B6"/>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4"/>
                <w:szCs w:val="24"/>
                <w:color w:val="auto"/>
              </w:rPr>
            </w:pPr>
          </w:p>
        </w:tc>
        <w:tc>
          <w:tcPr>
            <w:tcW w:w="7280" w:type="dxa"/>
            <w:vAlign w:val="bottom"/>
            <w:gridSpan w:val="5"/>
          </w:tcPr>
          <w:p>
            <w:pPr>
              <w:ind w:left="300"/>
              <w:spacing w:after="0"/>
              <w:rPr>
                <w:sz w:val="20"/>
                <w:szCs w:val="20"/>
                <w:color w:val="auto"/>
              </w:rPr>
            </w:pPr>
            <w:r>
              <w:rPr>
                <w:rFonts w:ascii="Arial" w:cs="Arial" w:eastAsia="Arial" w:hAnsi="Arial"/>
                <w:sz w:val="13"/>
                <w:szCs w:val="13"/>
                <w:b w:val="1"/>
                <w:bCs w:val="1"/>
                <w:color w:val="0F3A85"/>
              </w:rPr>
              <w:t>6x Base Salary Ownership Requirement</w:t>
            </w:r>
          </w:p>
        </w:tc>
        <w:tc>
          <w:tcPr>
            <w:tcW w:w="0" w:type="dxa"/>
            <w:vAlign w:val="bottom"/>
          </w:tcPr>
          <w:p>
            <w:pPr>
              <w:spacing w:after="0"/>
              <w:rPr>
                <w:sz w:val="1"/>
                <w:szCs w:val="1"/>
                <w:color w:val="auto"/>
              </w:rPr>
            </w:pPr>
          </w:p>
        </w:tc>
      </w:tr>
      <w:tr>
        <w:trPr>
          <w:trHeight w:val="76"/>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Dr. Skovronsky</w:t>
            </w: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960" w:type="dxa"/>
            <w:vAlign w:val="bottom"/>
            <w:shd w:val="clear" w:color="auto" w:fill="D0E7F7"/>
          </w:tcPr>
          <w:p>
            <w:pPr>
              <w:spacing w:after="0"/>
              <w:rPr>
                <w:sz w:val="23"/>
                <w:szCs w:val="23"/>
                <w:color w:val="auto"/>
              </w:rPr>
            </w:pPr>
          </w:p>
        </w:tc>
        <w:tc>
          <w:tcPr>
            <w:tcW w:w="720" w:type="dxa"/>
            <w:vAlign w:val="bottom"/>
            <w:shd w:val="clear" w:color="auto" w:fill="D0E7F7"/>
          </w:tcPr>
          <w:p>
            <w:pPr>
              <w:spacing w:after="0"/>
              <w:rPr>
                <w:sz w:val="23"/>
                <w:szCs w:val="23"/>
                <w:color w:val="auto"/>
              </w:rPr>
            </w:pPr>
          </w:p>
        </w:tc>
        <w:tc>
          <w:tcPr>
            <w:tcW w:w="380" w:type="dxa"/>
            <w:vAlign w:val="bottom"/>
            <w:shd w:val="clear" w:color="auto" w:fill="D0E7F7"/>
          </w:tcPr>
          <w:p>
            <w:pPr>
              <w:spacing w:after="0"/>
              <w:rPr>
                <w:sz w:val="23"/>
                <w:szCs w:val="23"/>
                <w:color w:val="auto"/>
              </w:rPr>
            </w:pPr>
          </w:p>
        </w:tc>
        <w:tc>
          <w:tcPr>
            <w:tcW w:w="2160" w:type="dxa"/>
            <w:vAlign w:val="bottom"/>
            <w:shd w:val="clear" w:color="auto" w:fill="D0E7F7"/>
          </w:tcPr>
          <w:p>
            <w:pPr>
              <w:ind w:left="1820"/>
              <w:spacing w:after="0"/>
              <w:rPr>
                <w:sz w:val="20"/>
                <w:szCs w:val="20"/>
                <w:color w:val="auto"/>
              </w:rPr>
            </w:pPr>
            <w:r>
              <w:rPr>
                <w:rFonts w:ascii="Arial" w:cs="Arial" w:eastAsia="Arial" w:hAnsi="Arial"/>
                <w:sz w:val="14"/>
                <w:szCs w:val="14"/>
                <w:b w:val="1"/>
                <w:bCs w:val="1"/>
                <w:color w:val="auto"/>
              </w:rPr>
              <w:t>153x</w:t>
            </w: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Ms. Hakim</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960" w:type="dxa"/>
            <w:vAlign w:val="bottom"/>
            <w:shd w:val="clear" w:color="auto" w:fill="D0E7F7"/>
          </w:tcPr>
          <w:p>
            <w:pPr>
              <w:spacing w:after="0"/>
              <w:rPr>
                <w:sz w:val="23"/>
                <w:szCs w:val="23"/>
                <w:color w:val="auto"/>
              </w:rPr>
            </w:pPr>
          </w:p>
        </w:tc>
        <w:tc>
          <w:tcPr>
            <w:tcW w:w="720" w:type="dxa"/>
            <w:vAlign w:val="bottom"/>
            <w:shd w:val="clear" w:color="auto" w:fill="D0E7F7"/>
          </w:tcPr>
          <w:p>
            <w:pPr>
              <w:spacing w:after="0"/>
              <w:rPr>
                <w:sz w:val="23"/>
                <w:szCs w:val="23"/>
                <w:color w:val="auto"/>
              </w:rPr>
            </w:pPr>
          </w:p>
        </w:tc>
        <w:tc>
          <w:tcPr>
            <w:tcW w:w="380" w:type="dxa"/>
            <w:vAlign w:val="bottom"/>
            <w:shd w:val="clear" w:color="auto" w:fill="D0E7F7"/>
          </w:tcPr>
          <w:p>
            <w:pPr>
              <w:ind w:left="120"/>
              <w:spacing w:after="0"/>
              <w:rPr>
                <w:sz w:val="20"/>
                <w:szCs w:val="20"/>
                <w:color w:val="auto"/>
              </w:rPr>
            </w:pPr>
            <w:r>
              <w:rPr>
                <w:rFonts w:ascii="Arial" w:cs="Arial" w:eastAsia="Arial" w:hAnsi="Arial"/>
                <w:sz w:val="14"/>
                <w:szCs w:val="14"/>
                <w:b w:val="1"/>
                <w:bCs w:val="1"/>
                <w:color w:val="auto"/>
              </w:rPr>
              <w:t>47x</w:t>
            </w:r>
          </w:p>
        </w:tc>
        <w:tc>
          <w:tcPr>
            <w:tcW w:w="52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Mr. Van Naarden</w:t>
            </w:r>
          </w:p>
        </w:tc>
        <w:tc>
          <w:tcPr>
            <w:tcW w:w="960" w:type="dxa"/>
            <w:vAlign w:val="bottom"/>
          </w:tcPr>
          <w:p>
            <w:pPr>
              <w:spacing w:after="0"/>
              <w:rPr>
                <w:sz w:val="12"/>
                <w:szCs w:val="12"/>
                <w:color w:val="auto"/>
              </w:rPr>
            </w:pPr>
          </w:p>
        </w:tc>
        <w:tc>
          <w:tcPr>
            <w:tcW w:w="63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00" w:type="dxa"/>
            <w:vAlign w:val="bottom"/>
            <w:vMerge w:val="continue"/>
          </w:tcPr>
          <w:p>
            <w:pPr>
              <w:spacing w:after="0"/>
              <w:rPr>
                <w:sz w:val="23"/>
                <w:szCs w:val="23"/>
                <w:color w:val="auto"/>
              </w:rPr>
            </w:pPr>
          </w:p>
        </w:tc>
        <w:tc>
          <w:tcPr>
            <w:tcW w:w="960" w:type="dxa"/>
            <w:vAlign w:val="bottom"/>
            <w:shd w:val="clear" w:color="auto" w:fill="D0E7F7"/>
          </w:tcPr>
          <w:p>
            <w:pPr>
              <w:spacing w:after="0"/>
              <w:rPr>
                <w:sz w:val="23"/>
                <w:szCs w:val="23"/>
                <w:color w:val="auto"/>
              </w:rPr>
            </w:pPr>
          </w:p>
        </w:tc>
        <w:tc>
          <w:tcPr>
            <w:tcW w:w="720" w:type="dxa"/>
            <w:vAlign w:val="bottom"/>
            <w:shd w:val="clear" w:color="auto" w:fill="D0E7F7"/>
          </w:tcPr>
          <w:p>
            <w:pPr>
              <w:ind w:left="480"/>
              <w:spacing w:after="0"/>
              <w:rPr>
                <w:sz w:val="20"/>
                <w:szCs w:val="20"/>
                <w:color w:val="auto"/>
              </w:rPr>
            </w:pPr>
            <w:r>
              <w:rPr>
                <w:rFonts w:ascii="Arial" w:cs="Arial" w:eastAsia="Arial" w:hAnsi="Arial"/>
                <w:sz w:val="14"/>
                <w:szCs w:val="14"/>
                <w:b w:val="1"/>
                <w:bCs w:val="1"/>
                <w:color w:val="auto"/>
                <w:w w:val="94"/>
              </w:rPr>
              <w:t>34x</w:t>
            </w:r>
          </w:p>
        </w:tc>
        <w:tc>
          <w:tcPr>
            <w:tcW w:w="56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-835025</wp:posOffset>
            </wp:positionV>
            <wp:extent cx="33655" cy="8483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3655" cy="848360"/>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-1366520</wp:posOffset>
            </wp:positionV>
            <wp:extent cx="33655" cy="3429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342900"/>
                    </a:xfrm>
                    <a:prstGeom prst="rect">
                      <a:avLst/>
                    </a:prstGeom>
                    <a:noFill/>
                  </pic:spPr>
                </pic:pic>
              </a:graphicData>
            </a:graphic>
          </wp:anchor>
        </w:drawing>
        <w:drawing>
          <wp:anchor simplePos="0" relativeHeight="251657728" behindDoc="1" locked="0" layoutInCell="0" allowOverlap="1">
            <wp:simplePos x="0" y="0"/>
            <wp:positionH relativeFrom="column">
              <wp:posOffset>1663700</wp:posOffset>
            </wp:positionH>
            <wp:positionV relativeFrom="paragraph">
              <wp:posOffset>-1880870</wp:posOffset>
            </wp:positionV>
            <wp:extent cx="34290" cy="3511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3511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Prohibition on Hedging and Pledging Shares</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Non-employee directors and employees, including executive officers, are prohibited from hedging their economic exposure to company stock through short sales or derivative transactions. Additionally, they are prohibited from pledging company stock as collateral for a loan or holding shares in a margin account.</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Executive Compensation Recovery Policy</w:t>
      </w:r>
    </w:p>
    <w:p>
      <w:pPr>
        <w:spacing w:after="0" w:line="8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Lilly has implemented a comprehensive executive compensation recovery policy (Executive Compensation Recovery Policy) that complies with SEC rules and applicable NYSE listing standards. Under this policy, if Lilly is required to prepare an accounting restatement, the company must recoup incentive compensation overpayments to executive officers during the three fiscal years immediately preceding the restatement date, including any transition periods within or immediately following those years, in accordance with the policy’s terms.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Additionally, the policy allows for the recoupment of incentive compensation (cash or stock) and/or non-qualified benefits previously granted or paid to executives (including certain non-executive officers) in the event of: (a) payments based on materially inaccurate assessments of performance, (b) financial restatements due to misconduct, or (c) other misconduct resulting in material violations of law or company policy that causes significant harm to the company. Subsequent changes in status, including retirement or termination of employment, do not affect the company’s rights to recover compensation under the Executive Compensation Recovery Policy. Furthermore, all outstanding stock grants and cash awards and/or non-qualified benefits are subject to forfeiture or reduction in the event an executive is subject to disciplinary action by Lilly for misconduct.</w:t>
      </w:r>
    </w:p>
    <w:p>
      <w:pPr>
        <w:spacing w:after="0" w:line="1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Executive Compensation Recovery Policy is administered by the Committee. The company will disclose actions taken under the Executive Compensation Recovery Policy in its proxy materials when required by, and in compliance with, SEC rules and regulations and other applicable laws. Additionally, when legally permissible to do so, the company will disclose a decision to act under this policy when the facts and circumstances of the matter that triggered application of the policy have been publicly disclosed in the company’s SEC filings and where</w:t>
      </w:r>
    </w:p>
    <w:p>
      <w:pPr>
        <w:sectPr>
          <w:pgSz w:w="11900" w:h="16838" w:orient="portrait"/>
          <w:cols w:equalWidth="0" w:num="1">
            <w:col w:w="11220"/>
          </w:cols>
          <w:pgMar w:left="320" w:top="925" w:right="3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type w:val="continuous"/>
        </w:sectPr>
      </w:pPr>
    </w:p>
    <w:bookmarkStart w:id="62" w:name="page63"/>
    <w:bookmarkEnd w:id="62"/>
    <w:p>
      <w:pPr>
        <w:ind w:right="80"/>
        <w:spacing w:after="0" w:line="268" w:lineRule="auto"/>
        <w:rPr>
          <w:sz w:val="20"/>
          <w:szCs w:val="20"/>
          <w:color w:val="auto"/>
        </w:rPr>
      </w:pPr>
      <w:r>
        <w:rPr>
          <w:rFonts w:ascii="Arial" w:cs="Arial" w:eastAsia="Arial" w:hAnsi="Arial"/>
          <w:sz w:val="18"/>
          <w:szCs w:val="18"/>
          <w:color w:val="auto"/>
        </w:rPr>
        <w:t>disclosure can be made without prejudicing the company and its shareholders. This summary does not purport to be complete and is qualified in its entirety by reference to such policy, which has been filed as Exhibit 97 of Lilly’s Form 10-K for the fiscal year ended December 31, 2025.</w:t>
      </w: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Executive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73468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Non-Stock</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26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420" w:type="dxa"/>
            <w:vAlign w:val="bottom"/>
          </w:tcPr>
          <w:p>
            <w:pPr>
              <w:spacing w:after="0"/>
              <w:rPr>
                <w:sz w:val="5"/>
                <w:szCs w:val="5"/>
                <w:color w:val="auto"/>
              </w:rPr>
            </w:pP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Salary</w:t>
            </w: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Stock</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Incentive Plan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Pension</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88"/>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4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Awards</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120" w:type="dxa"/>
            <w:vAlign w:val="bottom"/>
            <w:vMerge w:val="continue"/>
          </w:tcPr>
          <w:p>
            <w:pPr>
              <w:spacing w:after="0"/>
              <w:rPr>
                <w:sz w:val="7"/>
                <w:szCs w:val="7"/>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106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42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8"/>
                <w:szCs w:val="18"/>
                <w:b w:val="1"/>
                <w:bCs w:val="1"/>
                <w:color w:val="auto"/>
                <w:w w:val="93"/>
                <w:vertAlign w:val="superscript"/>
              </w:rPr>
              <w:t>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8"/>
                <w:szCs w:val="18"/>
                <w:b w:val="1"/>
                <w:bCs w:val="1"/>
                <w:color w:val="auto"/>
                <w:w w:val="93"/>
                <w:vertAlign w:val="superscript"/>
              </w:rPr>
              <w:t>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8"/>
                <w:szCs w:val="18"/>
                <w:b w:val="1"/>
                <w:bCs w:val="1"/>
                <w:color w:val="auto"/>
                <w:w w:val="93"/>
                <w:vertAlign w:val="superscript"/>
              </w:rPr>
              <w:t>3</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 </w:t>
            </w:r>
            <w:r>
              <w:rPr>
                <w:rFonts w:ascii="Arial" w:cs="Arial" w:eastAsia="Arial" w:hAnsi="Arial"/>
                <w:sz w:val="18"/>
                <w:szCs w:val="18"/>
                <w:b w:val="1"/>
                <w:bCs w:val="1"/>
                <w:color w:val="auto"/>
                <w:w w:val="93"/>
                <w:vertAlign w:val="superscript"/>
              </w:rPr>
              <w:t>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David A. Ricks</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$1,700,000</w:t>
            </w:r>
          </w:p>
        </w:tc>
        <w:tc>
          <w:tcPr>
            <w:tcW w:w="720" w:type="dxa"/>
            <w:vAlign w:val="bottom"/>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$23,325,000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$6,485,500</w:t>
            </w:r>
          </w:p>
        </w:tc>
        <w:tc>
          <w:tcPr>
            <w:tcW w:w="10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$4,451,636</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$736,201</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$36,698,337</w:t>
            </w:r>
          </w:p>
        </w:tc>
        <w:tc>
          <w:tcPr>
            <w:tcW w:w="0" w:type="dxa"/>
            <w:vAlign w:val="bottom"/>
          </w:tcPr>
          <w:p>
            <w:pPr>
              <w:spacing w:after="0"/>
              <w:rPr>
                <w:sz w:val="1"/>
                <w:szCs w:val="1"/>
                <w:color w:val="auto"/>
              </w:rPr>
            </w:pPr>
          </w:p>
        </w:tc>
      </w:tr>
      <w:tr>
        <w:trPr>
          <w:trHeight w:val="282"/>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Chair, President,</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$1,690,385</w:t>
            </w:r>
          </w:p>
        </w:tc>
        <w:tc>
          <w:tcPr>
            <w:tcW w:w="720" w:type="dxa"/>
            <w:vAlign w:val="bottom"/>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$19,749,324</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$5,705,049</w:t>
            </w:r>
          </w:p>
        </w:tc>
        <w:tc>
          <w:tcPr>
            <w:tcW w:w="10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$1,746,483</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$351,685</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$29,242,926</w:t>
            </w:r>
          </w:p>
        </w:tc>
        <w:tc>
          <w:tcPr>
            <w:tcW w:w="0" w:type="dxa"/>
            <w:vAlign w:val="bottom"/>
          </w:tcPr>
          <w:p>
            <w:pPr>
              <w:spacing w:after="0"/>
              <w:rPr>
                <w:sz w:val="1"/>
                <w:szCs w:val="1"/>
                <w:color w:val="auto"/>
              </w:rPr>
            </w:pPr>
          </w:p>
        </w:tc>
      </w:tr>
      <w:tr>
        <w:trPr>
          <w:trHeight w:val="175"/>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and Chief</w:t>
            </w:r>
          </w:p>
        </w:tc>
        <w:tc>
          <w:tcPr>
            <w:tcW w:w="42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98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$1,621,154</w:t>
            </w:r>
          </w:p>
        </w:tc>
        <w:tc>
          <w:tcPr>
            <w:tcW w:w="720" w:type="dxa"/>
            <w:vAlign w:val="bottom"/>
            <w:vMerge w:val="restart"/>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$18,840,250</w:t>
            </w:r>
          </w:p>
        </w:tc>
        <w:tc>
          <w:tcPr>
            <w:tcW w:w="1280" w:type="dxa"/>
            <w:vAlign w:val="bottom"/>
            <w:vMerge w:val="restart"/>
            <w:shd w:val="clear" w:color="auto" w:fill="F2F2F2"/>
          </w:tcPr>
          <w:p>
            <w:pPr>
              <w:jc w:val="right"/>
              <w:ind w:right="88"/>
              <w:spacing w:after="0"/>
              <w:rPr>
                <w:sz w:val="20"/>
                <w:szCs w:val="20"/>
                <w:color w:val="auto"/>
              </w:rPr>
            </w:pPr>
            <w:r>
              <w:rPr>
                <w:rFonts w:ascii="Arial" w:cs="Arial" w:eastAsia="Arial" w:hAnsi="Arial"/>
                <w:sz w:val="14"/>
                <w:szCs w:val="14"/>
                <w:color w:val="auto"/>
              </w:rPr>
              <w:t>$4,401,433</w:t>
            </w:r>
          </w:p>
        </w:tc>
        <w:tc>
          <w:tcPr>
            <w:tcW w:w="100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$1,439,822</w:t>
            </w:r>
          </w:p>
        </w:tc>
        <w:tc>
          <w:tcPr>
            <w:tcW w:w="126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$263,073</w:t>
            </w:r>
          </w:p>
        </w:tc>
        <w:tc>
          <w:tcPr>
            <w:tcW w:w="12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$26,565,732</w:t>
            </w:r>
          </w:p>
        </w:tc>
        <w:tc>
          <w:tcPr>
            <w:tcW w:w="0" w:type="dxa"/>
            <w:vAlign w:val="bottom"/>
          </w:tcPr>
          <w:p>
            <w:pPr>
              <w:spacing w:after="0"/>
              <w:rPr>
                <w:sz w:val="1"/>
                <w:szCs w:val="1"/>
                <w:color w:val="auto"/>
              </w:rPr>
            </w:pPr>
          </w:p>
        </w:tc>
      </w:tr>
      <w:tr>
        <w:trPr>
          <w:trHeight w:val="190"/>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Executive Officer</w:t>
            </w:r>
          </w:p>
        </w:tc>
        <w:tc>
          <w:tcPr>
            <w:tcW w:w="420" w:type="dxa"/>
            <w:vAlign w:val="bottom"/>
            <w:vMerge w:val="continue"/>
            <w:shd w:val="clear" w:color="auto" w:fill="F2F2F2"/>
          </w:tcPr>
          <w:p>
            <w:pPr>
              <w:spacing w:after="0"/>
              <w:rPr>
                <w:sz w:val="16"/>
                <w:szCs w:val="16"/>
                <w:color w:val="auto"/>
              </w:rPr>
            </w:pPr>
          </w:p>
        </w:tc>
        <w:tc>
          <w:tcPr>
            <w:tcW w:w="980" w:type="dxa"/>
            <w:vAlign w:val="bottom"/>
            <w:vMerge w:val="continue"/>
            <w:shd w:val="clear" w:color="auto" w:fill="F2F2F2"/>
          </w:tcPr>
          <w:p>
            <w:pPr>
              <w:spacing w:after="0"/>
              <w:rPr>
                <w:sz w:val="16"/>
                <w:szCs w:val="16"/>
                <w:color w:val="auto"/>
              </w:rPr>
            </w:pPr>
          </w:p>
        </w:tc>
        <w:tc>
          <w:tcPr>
            <w:tcW w:w="720" w:type="dxa"/>
            <w:vAlign w:val="bottom"/>
            <w:vMerge w:val="continue"/>
            <w:shd w:val="clear" w:color="auto" w:fill="F2F2F2"/>
          </w:tcPr>
          <w:p>
            <w:pPr>
              <w:spacing w:after="0"/>
              <w:rPr>
                <w:sz w:val="16"/>
                <w:szCs w:val="16"/>
                <w:color w:val="auto"/>
              </w:rPr>
            </w:pPr>
          </w:p>
        </w:tc>
        <w:tc>
          <w:tcPr>
            <w:tcW w:w="1060" w:type="dxa"/>
            <w:vAlign w:val="bottom"/>
            <w:vMerge w:val="continue"/>
            <w:shd w:val="clear" w:color="auto" w:fill="F2F2F2"/>
          </w:tcPr>
          <w:p>
            <w:pPr>
              <w:spacing w:after="0"/>
              <w:rPr>
                <w:sz w:val="16"/>
                <w:szCs w:val="16"/>
                <w:color w:val="auto"/>
              </w:rPr>
            </w:pPr>
          </w:p>
        </w:tc>
        <w:tc>
          <w:tcPr>
            <w:tcW w:w="1280" w:type="dxa"/>
            <w:vAlign w:val="bottom"/>
            <w:vMerge w:val="continue"/>
            <w:shd w:val="clear" w:color="auto" w:fill="F2F2F2"/>
          </w:tcPr>
          <w:p>
            <w:pPr>
              <w:spacing w:after="0"/>
              <w:rPr>
                <w:sz w:val="16"/>
                <w:szCs w:val="16"/>
                <w:color w:val="auto"/>
              </w:rPr>
            </w:pPr>
          </w:p>
        </w:tc>
        <w:tc>
          <w:tcPr>
            <w:tcW w:w="1000" w:type="dxa"/>
            <w:vAlign w:val="bottom"/>
            <w:vMerge w:val="continue"/>
            <w:shd w:val="clear" w:color="auto" w:fill="F2F2F2"/>
          </w:tcPr>
          <w:p>
            <w:pPr>
              <w:spacing w:after="0"/>
              <w:rPr>
                <w:sz w:val="16"/>
                <w:szCs w:val="16"/>
                <w:color w:val="auto"/>
              </w:rPr>
            </w:pPr>
          </w:p>
        </w:tc>
        <w:tc>
          <w:tcPr>
            <w:tcW w:w="1260" w:type="dxa"/>
            <w:vAlign w:val="bottom"/>
            <w:vMerge w:val="continue"/>
            <w:shd w:val="clear" w:color="auto" w:fill="F2F2F2"/>
          </w:tcPr>
          <w:p>
            <w:pPr>
              <w:spacing w:after="0"/>
              <w:rPr>
                <w:sz w:val="16"/>
                <w:szCs w:val="16"/>
                <w:color w:val="auto"/>
              </w:rPr>
            </w:pPr>
          </w:p>
        </w:tc>
        <w:tc>
          <w:tcPr>
            <w:tcW w:w="120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120" w:type="dxa"/>
            <w:vAlign w:val="bottom"/>
            <w:shd w:val="clear" w:color="auto" w:fill="F2F2F2"/>
          </w:tcPr>
          <w:p>
            <w:pPr>
              <w:spacing w:after="0"/>
              <w:rPr>
                <w:sz w:val="5"/>
                <w:szCs w:val="5"/>
                <w:color w:val="auto"/>
              </w:rPr>
            </w:pPr>
          </w:p>
        </w:tc>
        <w:tc>
          <w:tcPr>
            <w:tcW w:w="42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1060" w:type="dxa"/>
            <w:vAlign w:val="bottom"/>
            <w:shd w:val="clear" w:color="auto" w:fill="F2F2F2"/>
          </w:tcPr>
          <w:p>
            <w:pPr>
              <w:spacing w:after="0"/>
              <w:rPr>
                <w:sz w:val="5"/>
                <w:szCs w:val="5"/>
                <w:color w:val="auto"/>
              </w:rPr>
            </w:pPr>
          </w:p>
        </w:tc>
        <w:tc>
          <w:tcPr>
            <w:tcW w:w="1280" w:type="dxa"/>
            <w:vAlign w:val="bottom"/>
            <w:shd w:val="clear" w:color="auto" w:fill="F2F2F2"/>
          </w:tcPr>
          <w:p>
            <w:pPr>
              <w:spacing w:after="0"/>
              <w:rPr>
                <w:sz w:val="5"/>
                <w:szCs w:val="5"/>
                <w:color w:val="auto"/>
              </w:rPr>
            </w:pPr>
          </w:p>
        </w:tc>
        <w:tc>
          <w:tcPr>
            <w:tcW w:w="1000" w:type="dxa"/>
            <w:vAlign w:val="bottom"/>
            <w:shd w:val="clear" w:color="auto" w:fill="F2F2F2"/>
          </w:tcPr>
          <w:p>
            <w:pPr>
              <w:spacing w:after="0"/>
              <w:rPr>
                <w:sz w:val="5"/>
                <w:szCs w:val="5"/>
                <w:color w:val="auto"/>
              </w:rPr>
            </w:pPr>
          </w:p>
        </w:tc>
        <w:tc>
          <w:tcPr>
            <w:tcW w:w="1260" w:type="dxa"/>
            <w:vAlign w:val="bottom"/>
            <w:shd w:val="clear" w:color="auto" w:fill="F2F2F2"/>
          </w:tcPr>
          <w:p>
            <w:pPr>
              <w:spacing w:after="0"/>
              <w:rPr>
                <w:sz w:val="5"/>
                <w:szCs w:val="5"/>
                <w:color w:val="auto"/>
              </w:rPr>
            </w:pPr>
          </w:p>
        </w:tc>
        <w:tc>
          <w:tcPr>
            <w:tcW w:w="12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120" w:type="dxa"/>
            <w:vAlign w:val="bottom"/>
          </w:tcPr>
          <w:p>
            <w:pPr>
              <w:ind w:left="20"/>
              <w:spacing w:after="0"/>
              <w:rPr>
                <w:sz w:val="20"/>
                <w:szCs w:val="20"/>
                <w:color w:val="auto"/>
              </w:rPr>
            </w:pPr>
            <w:r>
              <w:rPr>
                <w:rFonts w:ascii="Arial" w:cs="Arial" w:eastAsia="Arial" w:hAnsi="Arial"/>
                <w:sz w:val="14"/>
                <w:szCs w:val="14"/>
                <w:color w:val="auto"/>
              </w:rPr>
              <w:t>Lucas Montarce</w:t>
            </w:r>
          </w:p>
        </w:tc>
        <w:tc>
          <w:tcPr>
            <w:tcW w:w="420" w:type="dxa"/>
            <w:vAlign w:val="bottom"/>
          </w:tcPr>
          <w:p>
            <w:pPr>
              <w:ind w:left="6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720" w:type="dxa"/>
            <w:vAlign w:val="bottom"/>
          </w:tcPr>
          <w:p>
            <w:pPr>
              <w:ind w:left="4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$5,000,000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$2,180,000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$243,315</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$60,000</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$8,483,315</w:t>
            </w:r>
          </w:p>
        </w:tc>
        <w:tc>
          <w:tcPr>
            <w:tcW w:w="0" w:type="dxa"/>
            <w:vAlign w:val="bottom"/>
          </w:tcPr>
          <w:p>
            <w:pPr>
              <w:spacing w:after="0"/>
              <w:rPr>
                <w:sz w:val="1"/>
                <w:szCs w:val="1"/>
                <w:color w:val="auto"/>
              </w:rPr>
            </w:pPr>
          </w:p>
        </w:tc>
      </w:tr>
      <w:tr>
        <w:trPr>
          <w:trHeight w:val="296"/>
        </w:trPr>
        <w:tc>
          <w:tcPr>
            <w:tcW w:w="112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tcPr>
          <w:p>
            <w:pPr>
              <w:ind w:left="60"/>
              <w:spacing w:after="0"/>
              <w:rPr>
                <w:sz w:val="20"/>
                <w:szCs w:val="20"/>
                <w:color w:val="auto"/>
              </w:rPr>
            </w:pPr>
            <w:r>
              <w:rPr>
                <w:rFonts w:ascii="Arial" w:cs="Arial" w:eastAsia="Arial" w:hAnsi="Arial"/>
                <w:sz w:val="14"/>
                <w:szCs w:val="14"/>
                <w:color w:val="auto"/>
              </w:rPr>
              <w:t>2024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$664,639</w:t>
            </w:r>
          </w:p>
        </w:tc>
        <w:tc>
          <w:tcPr>
            <w:tcW w:w="720" w:type="dxa"/>
            <w:vAlign w:val="bottom"/>
          </w:tcPr>
          <w:p>
            <w:pPr>
              <w:ind w:left="4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$1,067,135</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$1,114,558</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$62,309</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$39,878</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$2,948,519</w:t>
            </w:r>
          </w:p>
        </w:tc>
        <w:tc>
          <w:tcPr>
            <w:tcW w:w="0" w:type="dxa"/>
            <w:vAlign w:val="bottom"/>
          </w:tcPr>
          <w:p>
            <w:pPr>
              <w:spacing w:after="0"/>
              <w:rPr>
                <w:sz w:val="1"/>
                <w:szCs w:val="1"/>
                <w:color w:val="auto"/>
              </w:rPr>
            </w:pPr>
          </w:p>
        </w:tc>
      </w:tr>
      <w:tr>
        <w:trPr>
          <w:trHeight w:val="176"/>
        </w:trPr>
        <w:tc>
          <w:tcPr>
            <w:tcW w:w="1120" w:type="dxa"/>
            <w:vAlign w:val="bottom"/>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ind w:left="20"/>
              <w:spacing w:after="0"/>
              <w:rPr>
                <w:sz w:val="20"/>
                <w:szCs w:val="20"/>
                <w:color w:val="auto"/>
              </w:rPr>
            </w:pPr>
            <w:r>
              <w:rPr>
                <w:rFonts w:ascii="Arial" w:cs="Arial" w:eastAsia="Arial" w:hAnsi="Arial"/>
                <w:sz w:val="14"/>
                <w:szCs w:val="14"/>
                <w:color w:val="auto"/>
              </w:rPr>
              <w:t>Chief Financial</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120" w:type="dxa"/>
            <w:vAlign w:val="bottom"/>
          </w:tcPr>
          <w:p>
            <w:pPr>
              <w:ind w:left="20"/>
              <w:spacing w:after="0"/>
              <w:rPr>
                <w:sz w:val="20"/>
                <w:szCs w:val="20"/>
                <w:color w:val="auto"/>
              </w:rPr>
            </w:pPr>
            <w:r>
              <w:rPr>
                <w:rFonts w:ascii="Arial" w:cs="Arial" w:eastAsia="Arial" w:hAnsi="Arial"/>
                <w:sz w:val="14"/>
                <w:szCs w:val="14"/>
                <w:color w:val="auto"/>
              </w:rPr>
              <w:t>Officer</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Daniel M.</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$1,490,385</w:t>
            </w:r>
          </w:p>
        </w:tc>
        <w:tc>
          <w:tcPr>
            <w:tcW w:w="720" w:type="dxa"/>
            <w:vAlign w:val="bottom"/>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$12,000,000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$3,249,039</w:t>
            </w:r>
          </w:p>
        </w:tc>
        <w:tc>
          <w:tcPr>
            <w:tcW w:w="10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$887,845</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$159,307</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$17,786,576</w:t>
            </w:r>
          </w:p>
        </w:tc>
        <w:tc>
          <w:tcPr>
            <w:tcW w:w="0" w:type="dxa"/>
            <w:vAlign w:val="bottom"/>
          </w:tcPr>
          <w:p>
            <w:pPr>
              <w:spacing w:after="0"/>
              <w:rPr>
                <w:sz w:val="1"/>
                <w:szCs w:val="1"/>
                <w:color w:val="auto"/>
              </w:rPr>
            </w:pPr>
          </w:p>
        </w:tc>
      </w:tr>
      <w:tr>
        <w:trPr>
          <w:trHeight w:val="176"/>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Skovronsky,</w:t>
            </w:r>
          </w:p>
        </w:tc>
        <w:tc>
          <w:tcPr>
            <w:tcW w:w="4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1060" w:type="dxa"/>
            <w:vAlign w:val="bottom"/>
            <w:shd w:val="clear" w:color="auto" w:fill="F2F2F2"/>
          </w:tcPr>
          <w:p>
            <w:pPr>
              <w:spacing w:after="0"/>
              <w:rPr>
                <w:sz w:val="15"/>
                <w:szCs w:val="15"/>
                <w:color w:val="auto"/>
              </w:rPr>
            </w:pPr>
          </w:p>
        </w:tc>
        <w:tc>
          <w:tcPr>
            <w:tcW w:w="128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M.D., Ph.D.</w:t>
            </w:r>
          </w:p>
        </w:tc>
        <w:tc>
          <w:tcPr>
            <w:tcW w:w="4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$1,430,769</w:t>
            </w:r>
          </w:p>
        </w:tc>
        <w:tc>
          <w:tcPr>
            <w:tcW w:w="720" w:type="dxa"/>
            <w:vAlign w:val="bottom"/>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$7,499,895</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$3,219,230</w:t>
            </w:r>
          </w:p>
        </w:tc>
        <w:tc>
          <w:tcPr>
            <w:tcW w:w="10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$281,870</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$206,980</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$12,638,744</w:t>
            </w:r>
          </w:p>
        </w:tc>
        <w:tc>
          <w:tcPr>
            <w:tcW w:w="0" w:type="dxa"/>
            <w:vAlign w:val="bottom"/>
          </w:tcPr>
          <w:p>
            <w:pPr>
              <w:spacing w:after="0"/>
              <w:rPr>
                <w:sz w:val="1"/>
                <w:szCs w:val="1"/>
                <w:color w:val="auto"/>
              </w:rPr>
            </w:pPr>
          </w:p>
        </w:tc>
      </w:tr>
      <w:tr>
        <w:trPr>
          <w:trHeight w:val="175"/>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w:t>
            </w:r>
          </w:p>
        </w:tc>
        <w:tc>
          <w:tcPr>
            <w:tcW w:w="4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1060" w:type="dxa"/>
            <w:vAlign w:val="bottom"/>
            <w:shd w:val="clear" w:color="auto" w:fill="F2F2F2"/>
          </w:tcPr>
          <w:p>
            <w:pPr>
              <w:spacing w:after="0"/>
              <w:rPr>
                <w:sz w:val="15"/>
                <w:szCs w:val="15"/>
                <w:color w:val="auto"/>
              </w:rPr>
            </w:pPr>
          </w:p>
        </w:tc>
        <w:tc>
          <w:tcPr>
            <w:tcW w:w="128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Chief Scientific</w:t>
            </w:r>
          </w:p>
        </w:tc>
        <w:tc>
          <w:tcPr>
            <w:tcW w:w="4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1060" w:type="dxa"/>
            <w:vAlign w:val="bottom"/>
            <w:shd w:val="clear" w:color="auto" w:fill="F2F2F2"/>
          </w:tcPr>
          <w:p>
            <w:pPr>
              <w:spacing w:after="0"/>
              <w:rPr>
                <w:sz w:val="15"/>
                <w:szCs w:val="15"/>
                <w:color w:val="auto"/>
              </w:rPr>
            </w:pPr>
          </w:p>
        </w:tc>
        <w:tc>
          <w:tcPr>
            <w:tcW w:w="128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and Product</w:t>
            </w:r>
          </w:p>
        </w:tc>
        <w:tc>
          <w:tcPr>
            <w:tcW w:w="420" w:type="dxa"/>
            <w:vAlign w:val="bottom"/>
            <w:shd w:val="clear" w:color="auto" w:fill="F2F2F2"/>
          </w:tcPr>
          <w:p>
            <w:pPr>
              <w:spacing w:after="0"/>
              <w:rPr>
                <w:sz w:val="14"/>
                <w:szCs w:val="14"/>
                <w:color w:val="auto"/>
              </w:rPr>
            </w:pPr>
          </w:p>
        </w:tc>
        <w:tc>
          <w:tcPr>
            <w:tcW w:w="98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128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1260" w:type="dxa"/>
            <w:vAlign w:val="bottom"/>
            <w:shd w:val="clear" w:color="auto" w:fill="F2F2F2"/>
          </w:tcPr>
          <w:p>
            <w:pPr>
              <w:spacing w:after="0"/>
              <w:rPr>
                <w:sz w:val="14"/>
                <w:szCs w:val="14"/>
                <w:color w:val="auto"/>
              </w:rPr>
            </w:pPr>
          </w:p>
        </w:tc>
        <w:tc>
          <w:tcPr>
            <w:tcW w:w="120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Officer and</w:t>
            </w:r>
          </w:p>
        </w:tc>
        <w:tc>
          <w:tcPr>
            <w:tcW w:w="420" w:type="dxa"/>
            <w:vAlign w:val="bottom"/>
            <w:shd w:val="clear" w:color="auto" w:fill="F2F2F2"/>
          </w:tcPr>
          <w:p>
            <w:pPr>
              <w:spacing w:after="0"/>
              <w:rPr>
                <w:sz w:val="15"/>
                <w:szCs w:val="15"/>
                <w:color w:val="auto"/>
              </w:rPr>
            </w:pPr>
          </w:p>
        </w:tc>
        <w:tc>
          <w:tcPr>
            <w:tcW w:w="980" w:type="dxa"/>
            <w:vAlign w:val="bottom"/>
            <w:shd w:val="clear" w:color="auto" w:fill="F2F2F2"/>
          </w:tcPr>
          <w:p>
            <w:pPr>
              <w:spacing w:after="0"/>
              <w:rPr>
                <w:sz w:val="15"/>
                <w:szCs w:val="15"/>
                <w:color w:val="auto"/>
              </w:rPr>
            </w:pPr>
          </w:p>
        </w:tc>
        <w:tc>
          <w:tcPr>
            <w:tcW w:w="720" w:type="dxa"/>
            <w:vAlign w:val="bottom"/>
            <w:shd w:val="clear" w:color="auto" w:fill="F2F2F2"/>
          </w:tcPr>
          <w:p>
            <w:pPr>
              <w:spacing w:after="0"/>
              <w:rPr>
                <w:sz w:val="15"/>
                <w:szCs w:val="15"/>
                <w:color w:val="auto"/>
              </w:rPr>
            </w:pPr>
          </w:p>
        </w:tc>
        <w:tc>
          <w:tcPr>
            <w:tcW w:w="1060" w:type="dxa"/>
            <w:vAlign w:val="bottom"/>
            <w:shd w:val="clear" w:color="auto" w:fill="F2F2F2"/>
          </w:tcPr>
          <w:p>
            <w:pPr>
              <w:spacing w:after="0"/>
              <w:rPr>
                <w:sz w:val="15"/>
                <w:szCs w:val="15"/>
                <w:color w:val="auto"/>
              </w:rPr>
            </w:pPr>
          </w:p>
        </w:tc>
        <w:tc>
          <w:tcPr>
            <w:tcW w:w="128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1260" w:type="dxa"/>
            <w:vAlign w:val="bottom"/>
            <w:shd w:val="clear" w:color="auto" w:fill="F2F2F2"/>
          </w:tcPr>
          <w:p>
            <w:pPr>
              <w:spacing w:after="0"/>
              <w:rPr>
                <w:sz w:val="15"/>
                <w:szCs w:val="15"/>
                <w:color w:val="auto"/>
              </w:rPr>
            </w:pPr>
          </w:p>
        </w:tc>
        <w:tc>
          <w:tcPr>
            <w:tcW w:w="12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President, Lilly</w:t>
            </w:r>
          </w:p>
        </w:tc>
        <w:tc>
          <w:tcPr>
            <w:tcW w:w="42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98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$1,330,769</w:t>
            </w:r>
          </w:p>
        </w:tc>
        <w:tc>
          <w:tcPr>
            <w:tcW w:w="720" w:type="dxa"/>
            <w:vAlign w:val="bottom"/>
            <w:vMerge w:val="restart"/>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$7,483,400</w:t>
            </w:r>
          </w:p>
        </w:tc>
        <w:tc>
          <w:tcPr>
            <w:tcW w:w="1280" w:type="dxa"/>
            <w:vAlign w:val="bottom"/>
            <w:vMerge w:val="restart"/>
            <w:shd w:val="clear" w:color="auto" w:fill="F2F2F2"/>
          </w:tcPr>
          <w:p>
            <w:pPr>
              <w:jc w:val="right"/>
              <w:ind w:right="88"/>
              <w:spacing w:after="0"/>
              <w:rPr>
                <w:sz w:val="20"/>
                <w:szCs w:val="20"/>
                <w:color w:val="auto"/>
              </w:rPr>
            </w:pPr>
            <w:r>
              <w:rPr>
                <w:rFonts w:ascii="Arial" w:cs="Arial" w:eastAsia="Arial" w:hAnsi="Arial"/>
                <w:sz w:val="14"/>
                <w:szCs w:val="14"/>
                <w:color w:val="auto"/>
              </w:rPr>
              <w:t>$2,408,692</w:t>
            </w:r>
          </w:p>
        </w:tc>
        <w:tc>
          <w:tcPr>
            <w:tcW w:w="100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$551,222</w:t>
            </w:r>
          </w:p>
        </w:tc>
        <w:tc>
          <w:tcPr>
            <w:tcW w:w="1260" w:type="dxa"/>
            <w:vAlign w:val="bottom"/>
            <w:vMerge w:val="restart"/>
            <w:shd w:val="clear" w:color="auto" w:fill="F2F2F2"/>
          </w:tcPr>
          <w:p>
            <w:pPr>
              <w:jc w:val="right"/>
              <w:ind w:right="68"/>
              <w:spacing w:after="0"/>
              <w:rPr>
                <w:sz w:val="20"/>
                <w:szCs w:val="20"/>
                <w:color w:val="auto"/>
              </w:rPr>
            </w:pPr>
            <w:r>
              <w:rPr>
                <w:rFonts w:ascii="Arial" w:cs="Arial" w:eastAsia="Arial" w:hAnsi="Arial"/>
                <w:sz w:val="14"/>
                <w:szCs w:val="14"/>
                <w:color w:val="auto"/>
              </w:rPr>
              <w:t>$79,846</w:t>
            </w:r>
          </w:p>
        </w:tc>
        <w:tc>
          <w:tcPr>
            <w:tcW w:w="12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$11,853,929</w:t>
            </w:r>
          </w:p>
        </w:tc>
        <w:tc>
          <w:tcPr>
            <w:tcW w:w="0" w:type="dxa"/>
            <w:vAlign w:val="bottom"/>
          </w:tcPr>
          <w:p>
            <w:pPr>
              <w:spacing w:after="0"/>
              <w:rPr>
                <w:sz w:val="1"/>
                <w:szCs w:val="1"/>
                <w:color w:val="auto"/>
              </w:rPr>
            </w:pPr>
          </w:p>
        </w:tc>
      </w:tr>
      <w:tr>
        <w:trPr>
          <w:trHeight w:val="123"/>
        </w:trPr>
        <w:tc>
          <w:tcPr>
            <w:tcW w:w="112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Research Labs</w:t>
            </w:r>
          </w:p>
        </w:tc>
        <w:tc>
          <w:tcPr>
            <w:tcW w:w="420" w:type="dxa"/>
            <w:vAlign w:val="bottom"/>
            <w:vMerge w:val="continue"/>
            <w:shd w:val="clear" w:color="auto" w:fill="F2F2F2"/>
          </w:tcPr>
          <w:p>
            <w:pPr>
              <w:spacing w:after="0"/>
              <w:rPr>
                <w:sz w:val="10"/>
                <w:szCs w:val="10"/>
                <w:color w:val="auto"/>
              </w:rPr>
            </w:pPr>
          </w:p>
        </w:tc>
        <w:tc>
          <w:tcPr>
            <w:tcW w:w="980" w:type="dxa"/>
            <w:vAlign w:val="bottom"/>
            <w:vMerge w:val="continue"/>
            <w:shd w:val="clear" w:color="auto" w:fill="F2F2F2"/>
          </w:tcPr>
          <w:p>
            <w:pPr>
              <w:spacing w:after="0"/>
              <w:rPr>
                <w:sz w:val="10"/>
                <w:szCs w:val="10"/>
                <w:color w:val="auto"/>
              </w:rPr>
            </w:pPr>
          </w:p>
        </w:tc>
        <w:tc>
          <w:tcPr>
            <w:tcW w:w="720" w:type="dxa"/>
            <w:vAlign w:val="bottom"/>
            <w:vMerge w:val="continue"/>
            <w:shd w:val="clear" w:color="auto" w:fill="F2F2F2"/>
          </w:tcPr>
          <w:p>
            <w:pPr>
              <w:spacing w:after="0"/>
              <w:rPr>
                <w:sz w:val="10"/>
                <w:szCs w:val="10"/>
                <w:color w:val="auto"/>
              </w:rPr>
            </w:pPr>
          </w:p>
        </w:tc>
        <w:tc>
          <w:tcPr>
            <w:tcW w:w="1060" w:type="dxa"/>
            <w:vAlign w:val="bottom"/>
            <w:vMerge w:val="continue"/>
            <w:shd w:val="clear" w:color="auto" w:fill="F2F2F2"/>
          </w:tcPr>
          <w:p>
            <w:pPr>
              <w:spacing w:after="0"/>
              <w:rPr>
                <w:sz w:val="10"/>
                <w:szCs w:val="10"/>
                <w:color w:val="auto"/>
              </w:rPr>
            </w:pPr>
          </w:p>
        </w:tc>
        <w:tc>
          <w:tcPr>
            <w:tcW w:w="1280" w:type="dxa"/>
            <w:vAlign w:val="bottom"/>
            <w:vMerge w:val="continue"/>
            <w:shd w:val="clear" w:color="auto" w:fill="F2F2F2"/>
          </w:tcPr>
          <w:p>
            <w:pPr>
              <w:spacing w:after="0"/>
              <w:rPr>
                <w:sz w:val="10"/>
                <w:szCs w:val="10"/>
                <w:color w:val="auto"/>
              </w:rPr>
            </w:pPr>
          </w:p>
        </w:tc>
        <w:tc>
          <w:tcPr>
            <w:tcW w:w="1000" w:type="dxa"/>
            <w:vAlign w:val="bottom"/>
            <w:vMerge w:val="continue"/>
            <w:shd w:val="clear" w:color="auto" w:fill="F2F2F2"/>
          </w:tcPr>
          <w:p>
            <w:pPr>
              <w:spacing w:after="0"/>
              <w:rPr>
                <w:sz w:val="10"/>
                <w:szCs w:val="10"/>
                <w:color w:val="auto"/>
              </w:rPr>
            </w:pPr>
          </w:p>
        </w:tc>
        <w:tc>
          <w:tcPr>
            <w:tcW w:w="1260" w:type="dxa"/>
            <w:vAlign w:val="bottom"/>
            <w:vMerge w:val="continue"/>
            <w:shd w:val="clear" w:color="auto" w:fill="F2F2F2"/>
          </w:tcPr>
          <w:p>
            <w:pPr>
              <w:spacing w:after="0"/>
              <w:rPr>
                <w:sz w:val="10"/>
                <w:szCs w:val="10"/>
                <w:color w:val="auto"/>
              </w:rPr>
            </w:pPr>
          </w:p>
        </w:tc>
        <w:tc>
          <w:tcPr>
            <w:tcW w:w="120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120" w:type="dxa"/>
            <w:vAlign w:val="bottom"/>
            <w:tcBorders>
              <w:bottom w:val="single" w:sz="8" w:color="F2F2F2"/>
            </w:tcBorders>
            <w:vMerge w:val="continue"/>
            <w:shd w:val="clear" w:color="auto" w:fill="F2F2F2"/>
          </w:tcPr>
          <w:p>
            <w:pPr>
              <w:spacing w:after="0"/>
              <w:rPr>
                <w:sz w:val="6"/>
                <w:szCs w:val="6"/>
                <w:color w:val="auto"/>
              </w:rPr>
            </w:pPr>
          </w:p>
        </w:tc>
        <w:tc>
          <w:tcPr>
            <w:tcW w:w="420" w:type="dxa"/>
            <w:vAlign w:val="bottom"/>
            <w:tcBorders>
              <w:bottom w:val="single" w:sz="8" w:color="F2F2F2"/>
            </w:tcBorders>
            <w:shd w:val="clear" w:color="auto" w:fill="F2F2F2"/>
          </w:tcPr>
          <w:p>
            <w:pPr>
              <w:spacing w:after="0"/>
              <w:rPr>
                <w:sz w:val="6"/>
                <w:szCs w:val="6"/>
                <w:color w:val="auto"/>
              </w:rPr>
            </w:pPr>
          </w:p>
        </w:tc>
        <w:tc>
          <w:tcPr>
            <w:tcW w:w="980" w:type="dxa"/>
            <w:vAlign w:val="bottom"/>
            <w:tcBorders>
              <w:bottom w:val="single" w:sz="8" w:color="F2F2F2"/>
            </w:tcBorders>
            <w:shd w:val="clear" w:color="auto" w:fill="F2F2F2"/>
          </w:tcPr>
          <w:p>
            <w:pPr>
              <w:spacing w:after="0"/>
              <w:rPr>
                <w:sz w:val="6"/>
                <w:szCs w:val="6"/>
                <w:color w:val="auto"/>
              </w:rPr>
            </w:pPr>
          </w:p>
        </w:tc>
        <w:tc>
          <w:tcPr>
            <w:tcW w:w="720" w:type="dxa"/>
            <w:vAlign w:val="bottom"/>
            <w:tcBorders>
              <w:bottom w:val="single" w:sz="8" w:color="F2F2F2"/>
            </w:tcBorders>
            <w:shd w:val="clear" w:color="auto" w:fill="F2F2F2"/>
          </w:tcPr>
          <w:p>
            <w:pPr>
              <w:spacing w:after="0"/>
              <w:rPr>
                <w:sz w:val="6"/>
                <w:szCs w:val="6"/>
                <w:color w:val="auto"/>
              </w:rPr>
            </w:pPr>
          </w:p>
        </w:tc>
        <w:tc>
          <w:tcPr>
            <w:tcW w:w="1060" w:type="dxa"/>
            <w:vAlign w:val="bottom"/>
            <w:tcBorders>
              <w:bottom w:val="single" w:sz="8" w:color="F2F2F2"/>
            </w:tcBorders>
            <w:shd w:val="clear" w:color="auto" w:fill="F2F2F2"/>
          </w:tcPr>
          <w:p>
            <w:pPr>
              <w:spacing w:after="0"/>
              <w:rPr>
                <w:sz w:val="6"/>
                <w:szCs w:val="6"/>
                <w:color w:val="auto"/>
              </w:rPr>
            </w:pPr>
          </w:p>
        </w:tc>
        <w:tc>
          <w:tcPr>
            <w:tcW w:w="1280" w:type="dxa"/>
            <w:vAlign w:val="bottom"/>
            <w:tcBorders>
              <w:bottom w:val="single" w:sz="8" w:color="F2F2F2"/>
            </w:tcBorders>
            <w:shd w:val="clear" w:color="auto" w:fill="F2F2F2"/>
          </w:tcPr>
          <w:p>
            <w:pPr>
              <w:spacing w:after="0"/>
              <w:rPr>
                <w:sz w:val="6"/>
                <w:szCs w:val="6"/>
                <w:color w:val="auto"/>
              </w:rPr>
            </w:pPr>
          </w:p>
        </w:tc>
        <w:tc>
          <w:tcPr>
            <w:tcW w:w="1000" w:type="dxa"/>
            <w:vAlign w:val="bottom"/>
            <w:tcBorders>
              <w:bottom w:val="single" w:sz="8" w:color="F2F2F2"/>
            </w:tcBorders>
            <w:shd w:val="clear" w:color="auto" w:fill="F2F2F2"/>
          </w:tcPr>
          <w:p>
            <w:pPr>
              <w:spacing w:after="0"/>
              <w:rPr>
                <w:sz w:val="6"/>
                <w:szCs w:val="6"/>
                <w:color w:val="auto"/>
              </w:rPr>
            </w:pPr>
          </w:p>
        </w:tc>
        <w:tc>
          <w:tcPr>
            <w:tcW w:w="1260" w:type="dxa"/>
            <w:vAlign w:val="bottom"/>
            <w:tcBorders>
              <w:bottom w:val="single" w:sz="8" w:color="F2F2F2"/>
            </w:tcBorders>
            <w:shd w:val="clear" w:color="auto" w:fill="F2F2F2"/>
          </w:tcPr>
          <w:p>
            <w:pPr>
              <w:spacing w:after="0"/>
              <w:rPr>
                <w:sz w:val="6"/>
                <w:szCs w:val="6"/>
                <w:color w:val="auto"/>
              </w:rPr>
            </w:pPr>
          </w:p>
        </w:tc>
        <w:tc>
          <w:tcPr>
            <w:tcW w:w="1200" w:type="dxa"/>
            <w:vAlign w:val="bottom"/>
            <w:tcBorders>
              <w:bottom w:val="single" w:sz="8" w:color="F2F2F2"/>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1120" w:type="dxa"/>
            <w:vAlign w:val="bottom"/>
          </w:tcPr>
          <w:p>
            <w:pPr>
              <w:ind w:left="20"/>
              <w:spacing w:after="0"/>
              <w:rPr>
                <w:sz w:val="20"/>
                <w:szCs w:val="20"/>
                <w:color w:val="auto"/>
              </w:rPr>
            </w:pPr>
            <w:r>
              <w:rPr>
                <w:rFonts w:ascii="Arial" w:cs="Arial" w:eastAsia="Arial" w:hAnsi="Arial"/>
                <w:sz w:val="14"/>
                <w:szCs w:val="14"/>
                <w:color w:val="auto"/>
              </w:rPr>
              <w:t>Anat Hakim</w:t>
            </w:r>
          </w:p>
        </w:tc>
        <w:tc>
          <w:tcPr>
            <w:tcW w:w="420" w:type="dxa"/>
            <w:vAlign w:val="bottom"/>
          </w:tcPr>
          <w:p>
            <w:pPr>
              <w:ind w:left="60"/>
              <w:spacing w:after="0"/>
              <w:rPr>
                <w:sz w:val="20"/>
                <w:szCs w:val="20"/>
                <w:color w:val="auto"/>
              </w:rPr>
            </w:pPr>
            <w:r>
              <w:rPr>
                <w:rFonts w:ascii="Arial" w:cs="Arial" w:eastAsia="Arial" w:hAnsi="Arial"/>
                <w:sz w:val="14"/>
                <w:szCs w:val="14"/>
                <w:color w:val="auto"/>
              </w:rPr>
              <w:t>2025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720" w:type="dxa"/>
            <w:vAlign w:val="bottom"/>
          </w:tcPr>
          <w:p>
            <w:pPr>
              <w:ind w:left="4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$6,000,000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$2,180,000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$502,948</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$162,570</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$9,845,518</w:t>
            </w:r>
          </w:p>
        </w:tc>
        <w:tc>
          <w:tcPr>
            <w:tcW w:w="0" w:type="dxa"/>
            <w:vAlign w:val="bottom"/>
          </w:tcPr>
          <w:p>
            <w:pPr>
              <w:spacing w:after="0"/>
              <w:rPr>
                <w:sz w:val="1"/>
                <w:szCs w:val="1"/>
                <w:color w:val="auto"/>
              </w:rPr>
            </w:pPr>
          </w:p>
        </w:tc>
      </w:tr>
      <w:tr>
        <w:trPr>
          <w:trHeight w:val="296"/>
        </w:trPr>
        <w:tc>
          <w:tcPr>
            <w:tcW w:w="112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tcPr>
          <w:p>
            <w:pPr>
              <w:ind w:left="60"/>
              <w:spacing w:after="0"/>
              <w:rPr>
                <w:sz w:val="20"/>
                <w:szCs w:val="20"/>
                <w:color w:val="auto"/>
              </w:rPr>
            </w:pPr>
            <w:r>
              <w:rPr>
                <w:rFonts w:ascii="Arial" w:cs="Arial" w:eastAsia="Arial" w:hAnsi="Arial"/>
                <w:sz w:val="14"/>
                <w:szCs w:val="14"/>
                <w:color w:val="auto"/>
              </w:rPr>
              <w:t>2024</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$1,000,000</w:t>
            </w:r>
          </w:p>
        </w:tc>
        <w:tc>
          <w:tcPr>
            <w:tcW w:w="720" w:type="dxa"/>
            <w:vAlign w:val="bottom"/>
          </w:tcPr>
          <w:p>
            <w:pPr>
              <w:ind w:left="4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$3,950,071</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$2,250,000</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$211,521</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$66,834</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$7,478,426</w:t>
            </w:r>
          </w:p>
        </w:tc>
        <w:tc>
          <w:tcPr>
            <w:tcW w:w="0" w:type="dxa"/>
            <w:vAlign w:val="bottom"/>
          </w:tcPr>
          <w:p>
            <w:pPr>
              <w:spacing w:after="0"/>
              <w:rPr>
                <w:sz w:val="1"/>
                <w:szCs w:val="1"/>
                <w:color w:val="auto"/>
              </w:rPr>
            </w:pPr>
          </w:p>
        </w:tc>
      </w:tr>
      <w:tr>
        <w:trPr>
          <w:trHeight w:val="144"/>
        </w:trPr>
        <w:tc>
          <w:tcPr>
            <w:tcW w:w="1120" w:type="dxa"/>
            <w:vAlign w:val="bottom"/>
          </w:tcPr>
          <w:p>
            <w:pPr>
              <w:ind w:left="20"/>
              <w:spacing w:after="0" w:line="145" w:lineRule="exact"/>
              <w:rPr>
                <w:sz w:val="20"/>
                <w:szCs w:val="20"/>
                <w:color w:val="auto"/>
              </w:rPr>
            </w:pPr>
            <w:r>
              <w:rPr>
                <w:rFonts w:ascii="Arial" w:cs="Arial" w:eastAsia="Arial" w:hAnsi="Arial"/>
                <w:sz w:val="14"/>
                <w:szCs w:val="14"/>
                <w:color w:val="auto"/>
              </w:rPr>
              <w:t>President,</w:t>
            </w: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40" w:type="dxa"/>
            <w:vAlign w:val="bottom"/>
            <w:gridSpan w:val="2"/>
          </w:tcPr>
          <w:p>
            <w:pPr>
              <w:ind w:left="20"/>
              <w:spacing w:after="0" w:line="207" w:lineRule="exact"/>
              <w:rPr>
                <w:sz w:val="20"/>
                <w:szCs w:val="20"/>
                <w:color w:val="auto"/>
              </w:rPr>
            </w:pPr>
            <w:r>
              <w:rPr>
                <w:rFonts w:ascii="Arial" w:cs="Arial" w:eastAsia="Arial" w:hAnsi="Arial"/>
                <w:sz w:val="13"/>
                <w:szCs w:val="13"/>
                <w:color w:val="auto"/>
              </w:rPr>
              <w:t xml:space="preserve">General Counsel </w:t>
            </w:r>
            <w:r>
              <w:rPr>
                <w:rFonts w:ascii="Arial" w:cs="Arial" w:eastAsia="Arial" w:hAnsi="Arial"/>
                <w:sz w:val="23"/>
                <w:szCs w:val="23"/>
                <w:color w:val="auto"/>
                <w:vertAlign w:val="superscript"/>
              </w:rPr>
              <w:t>2023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$980,769</w:t>
            </w:r>
          </w:p>
        </w:tc>
        <w:tc>
          <w:tcPr>
            <w:tcW w:w="720" w:type="dxa"/>
            <w:vAlign w:val="bottom"/>
          </w:tcPr>
          <w:p>
            <w:pPr>
              <w:ind w:left="4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$3,952,500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$1,775,192</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$239,430</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$58,846</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$7,006,737</w:t>
            </w:r>
          </w:p>
        </w:tc>
        <w:tc>
          <w:tcPr>
            <w:tcW w:w="0" w:type="dxa"/>
            <w:vAlign w:val="bottom"/>
          </w:tcPr>
          <w:p>
            <w:pPr>
              <w:spacing w:after="0"/>
              <w:rPr>
                <w:sz w:val="1"/>
                <w:szCs w:val="1"/>
                <w:color w:val="auto"/>
              </w:rPr>
            </w:pPr>
          </w:p>
        </w:tc>
      </w:tr>
      <w:tr>
        <w:trPr>
          <w:trHeight w:val="194"/>
        </w:trPr>
        <w:tc>
          <w:tcPr>
            <w:tcW w:w="1120" w:type="dxa"/>
            <w:vAlign w:val="bottom"/>
          </w:tcPr>
          <w:p>
            <w:pPr>
              <w:ind w:left="20"/>
              <w:spacing w:after="0"/>
              <w:rPr>
                <w:sz w:val="20"/>
                <w:szCs w:val="20"/>
                <w:color w:val="auto"/>
              </w:rPr>
            </w:pPr>
            <w:r>
              <w:rPr>
                <w:rFonts w:ascii="Arial" w:cs="Arial" w:eastAsia="Arial" w:hAnsi="Arial"/>
                <w:sz w:val="14"/>
                <w:szCs w:val="14"/>
                <w:color w:val="auto"/>
              </w:rPr>
              <w:t>and Secretary</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20" w:type="dxa"/>
            <w:vAlign w:val="bottom"/>
            <w:shd w:val="clear" w:color="auto" w:fill="F2F2F2"/>
          </w:tcPr>
          <w:p>
            <w:pPr>
              <w:ind w:left="20"/>
              <w:spacing w:after="0"/>
              <w:rPr>
                <w:sz w:val="20"/>
                <w:szCs w:val="20"/>
                <w:color w:val="auto"/>
              </w:rPr>
            </w:pPr>
            <w:r>
              <w:rPr>
                <w:rFonts w:ascii="Arial" w:cs="Arial" w:eastAsia="Arial" w:hAnsi="Arial"/>
                <w:sz w:val="14"/>
                <w:szCs w:val="14"/>
                <w:color w:val="auto"/>
              </w:rPr>
              <w:t>Jake Van</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2025</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$920,192</w:t>
            </w:r>
          </w:p>
        </w:tc>
        <w:tc>
          <w:tcPr>
            <w:tcW w:w="720" w:type="dxa"/>
            <w:vAlign w:val="bottom"/>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$4,500,000</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$2,006,019</w:t>
            </w:r>
          </w:p>
        </w:tc>
        <w:tc>
          <w:tcPr>
            <w:tcW w:w="10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$87,367</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$72,519</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$7,586,097</w:t>
            </w:r>
          </w:p>
        </w:tc>
        <w:tc>
          <w:tcPr>
            <w:tcW w:w="0" w:type="dxa"/>
            <w:vAlign w:val="bottom"/>
          </w:tcPr>
          <w:p>
            <w:pPr>
              <w:spacing w:after="0"/>
              <w:rPr>
                <w:sz w:val="1"/>
                <w:szCs w:val="1"/>
                <w:color w:val="auto"/>
              </w:rPr>
            </w:pPr>
          </w:p>
        </w:tc>
      </w:tr>
      <w:tr>
        <w:trPr>
          <w:trHeight w:val="192"/>
        </w:trPr>
        <w:tc>
          <w:tcPr>
            <w:tcW w:w="11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Naarden</w:t>
            </w:r>
          </w:p>
        </w:tc>
        <w:tc>
          <w:tcPr>
            <w:tcW w:w="420" w:type="dxa"/>
            <w:vAlign w:val="bottom"/>
            <w:tcBorders>
              <w:bottom w:val="single" w:sz="8" w:color="F2F2F2"/>
            </w:tcBorders>
            <w:shd w:val="clear" w:color="auto" w:fill="F2F2F2"/>
          </w:tcPr>
          <w:p>
            <w:pPr>
              <w:spacing w:after="0"/>
              <w:rPr>
                <w:sz w:val="16"/>
                <w:szCs w:val="16"/>
                <w:color w:val="auto"/>
              </w:rPr>
            </w:pPr>
          </w:p>
        </w:tc>
        <w:tc>
          <w:tcPr>
            <w:tcW w:w="98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shd w:val="clear" w:color="auto" w:fill="F2F2F2"/>
          </w:tcPr>
          <w:p>
            <w:pPr>
              <w:spacing w:after="0"/>
              <w:rPr>
                <w:sz w:val="16"/>
                <w:szCs w:val="16"/>
                <w:color w:val="auto"/>
              </w:rPr>
            </w:pPr>
          </w:p>
        </w:tc>
        <w:tc>
          <w:tcPr>
            <w:tcW w:w="1060" w:type="dxa"/>
            <w:vAlign w:val="bottom"/>
            <w:tcBorders>
              <w:bottom w:val="single" w:sz="8" w:color="F2F2F2"/>
            </w:tcBorders>
            <w:shd w:val="clear" w:color="auto" w:fill="F2F2F2"/>
          </w:tcPr>
          <w:p>
            <w:pPr>
              <w:spacing w:after="0"/>
              <w:rPr>
                <w:sz w:val="16"/>
                <w:szCs w:val="16"/>
                <w:color w:val="auto"/>
              </w:rPr>
            </w:pPr>
          </w:p>
        </w:tc>
        <w:tc>
          <w:tcPr>
            <w:tcW w:w="1280" w:type="dxa"/>
            <w:vAlign w:val="bottom"/>
            <w:tcBorders>
              <w:bottom w:val="single" w:sz="8" w:color="F2F2F2"/>
            </w:tcBorders>
            <w:shd w:val="clear" w:color="auto" w:fill="F2F2F2"/>
          </w:tcPr>
          <w:p>
            <w:pPr>
              <w:spacing w:after="0"/>
              <w:rPr>
                <w:sz w:val="16"/>
                <w:szCs w:val="16"/>
                <w:color w:val="auto"/>
              </w:rPr>
            </w:pPr>
          </w:p>
        </w:tc>
        <w:tc>
          <w:tcPr>
            <w:tcW w:w="1000" w:type="dxa"/>
            <w:vAlign w:val="bottom"/>
            <w:tcBorders>
              <w:bottom w:val="single" w:sz="8" w:color="F2F2F2"/>
            </w:tcBorders>
            <w:shd w:val="clear" w:color="auto" w:fill="F2F2F2"/>
          </w:tcPr>
          <w:p>
            <w:pPr>
              <w:spacing w:after="0"/>
              <w:rPr>
                <w:sz w:val="16"/>
                <w:szCs w:val="16"/>
                <w:color w:val="auto"/>
              </w:rPr>
            </w:pPr>
          </w:p>
        </w:tc>
        <w:tc>
          <w:tcPr>
            <w:tcW w:w="1260" w:type="dxa"/>
            <w:vAlign w:val="bottom"/>
            <w:tcBorders>
              <w:bottom w:val="single" w:sz="8" w:color="F2F2F2"/>
            </w:tcBorders>
            <w:shd w:val="clear" w:color="auto" w:fill="F2F2F2"/>
          </w:tcPr>
          <w:p>
            <w:pPr>
              <w:spacing w:after="0"/>
              <w:rPr>
                <w:sz w:val="16"/>
                <w:szCs w:val="16"/>
                <w:color w:val="auto"/>
              </w:rPr>
            </w:pPr>
          </w:p>
        </w:tc>
        <w:tc>
          <w:tcPr>
            <w:tcW w:w="120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120" w:type="dxa"/>
            <w:vAlign w:val="bottom"/>
          </w:tcPr>
          <w:p>
            <w:pPr>
              <w:ind w:left="20"/>
              <w:spacing w:after="0"/>
              <w:rPr>
                <w:sz w:val="20"/>
                <w:szCs w:val="20"/>
                <w:color w:val="auto"/>
              </w:rPr>
            </w:pPr>
            <w:r>
              <w:rPr>
                <w:rFonts w:ascii="Arial" w:cs="Arial" w:eastAsia="Arial" w:hAnsi="Arial"/>
                <w:sz w:val="14"/>
                <w:szCs w:val="14"/>
                <w:color w:val="auto"/>
              </w:rPr>
              <w:t>Executive Vice</w:t>
            </w:r>
          </w:p>
        </w:tc>
        <w:tc>
          <w:tcPr>
            <w:tcW w:w="4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98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$890,385</w:t>
            </w:r>
          </w:p>
        </w:tc>
        <w:tc>
          <w:tcPr>
            <w:tcW w:w="720" w:type="dxa"/>
            <w:vAlign w:val="bottom"/>
            <w:shd w:val="clear" w:color="auto" w:fill="F2F2F2"/>
          </w:tcPr>
          <w:p>
            <w:pPr>
              <w:ind w:left="4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$2,700,248</w:t>
            </w:r>
          </w:p>
        </w:tc>
        <w:tc>
          <w:tcPr>
            <w:tcW w:w="128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$2,003,366</w:t>
            </w:r>
          </w:p>
        </w:tc>
        <w:tc>
          <w:tcPr>
            <w:tcW w:w="100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$66,887</w:t>
            </w:r>
          </w:p>
        </w:tc>
        <w:tc>
          <w:tcPr>
            <w:tcW w:w="1260" w:type="dxa"/>
            <w:vAlign w:val="bottom"/>
            <w:shd w:val="clear" w:color="auto" w:fill="F2F2F2"/>
          </w:tcPr>
          <w:p>
            <w:pPr>
              <w:jc w:val="right"/>
              <w:ind w:right="68"/>
              <w:spacing w:after="0"/>
              <w:rPr>
                <w:sz w:val="20"/>
                <w:szCs w:val="20"/>
                <w:color w:val="auto"/>
              </w:rPr>
            </w:pPr>
            <w:r>
              <w:rPr>
                <w:rFonts w:ascii="Arial" w:cs="Arial" w:eastAsia="Arial" w:hAnsi="Arial"/>
                <w:sz w:val="14"/>
                <w:szCs w:val="14"/>
                <w:color w:val="auto"/>
              </w:rPr>
              <w:t>$113,062</w:t>
            </w:r>
          </w:p>
        </w:tc>
        <w:tc>
          <w:tcPr>
            <w:tcW w:w="12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$5,773,948</w:t>
            </w:r>
          </w:p>
        </w:tc>
        <w:tc>
          <w:tcPr>
            <w:tcW w:w="0" w:type="dxa"/>
            <w:vAlign w:val="bottom"/>
          </w:tcPr>
          <w:p>
            <w:pPr>
              <w:spacing w:after="0"/>
              <w:rPr>
                <w:sz w:val="1"/>
                <w:szCs w:val="1"/>
                <w:color w:val="auto"/>
              </w:rPr>
            </w:pPr>
          </w:p>
        </w:tc>
      </w:tr>
      <w:tr>
        <w:trPr>
          <w:trHeight w:val="185"/>
        </w:trPr>
        <w:tc>
          <w:tcPr>
            <w:tcW w:w="1120" w:type="dxa"/>
            <w:vAlign w:val="bottom"/>
          </w:tcPr>
          <w:p>
            <w:pPr>
              <w:ind w:left="20"/>
              <w:spacing w:after="0"/>
              <w:rPr>
                <w:sz w:val="20"/>
                <w:szCs w:val="20"/>
                <w:color w:val="auto"/>
              </w:rPr>
            </w:pPr>
            <w:r>
              <w:rPr>
                <w:rFonts w:ascii="Arial" w:cs="Arial" w:eastAsia="Arial" w:hAnsi="Arial"/>
                <w:sz w:val="14"/>
                <w:szCs w:val="14"/>
                <w:color w:val="auto"/>
              </w:rPr>
              <w:t>President and</w:t>
            </w:r>
          </w:p>
        </w:tc>
        <w:tc>
          <w:tcPr>
            <w:tcW w:w="420" w:type="dxa"/>
            <w:vAlign w:val="bottom"/>
            <w:shd w:val="clear" w:color="auto" w:fill="F2F2F2"/>
          </w:tcPr>
          <w:p>
            <w:pPr>
              <w:spacing w:after="0"/>
              <w:rPr>
                <w:sz w:val="16"/>
                <w:szCs w:val="16"/>
                <w:color w:val="auto"/>
              </w:rPr>
            </w:pPr>
          </w:p>
        </w:tc>
        <w:tc>
          <w:tcPr>
            <w:tcW w:w="980" w:type="dxa"/>
            <w:vAlign w:val="bottom"/>
            <w:shd w:val="clear" w:color="auto" w:fill="F2F2F2"/>
          </w:tcPr>
          <w:p>
            <w:pPr>
              <w:spacing w:after="0"/>
              <w:rPr>
                <w:sz w:val="16"/>
                <w:szCs w:val="16"/>
                <w:color w:val="auto"/>
              </w:rPr>
            </w:pPr>
          </w:p>
        </w:tc>
        <w:tc>
          <w:tcPr>
            <w:tcW w:w="72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c>
          <w:tcPr>
            <w:tcW w:w="12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120" w:type="dxa"/>
            <w:vAlign w:val="bottom"/>
          </w:tcPr>
          <w:p>
            <w:pPr>
              <w:ind w:left="20"/>
              <w:spacing w:after="0"/>
              <w:rPr>
                <w:sz w:val="20"/>
                <w:szCs w:val="20"/>
                <w:color w:val="auto"/>
              </w:rPr>
            </w:pPr>
            <w:r>
              <w:rPr>
                <w:rFonts w:ascii="Arial" w:cs="Arial" w:eastAsia="Arial" w:hAnsi="Arial"/>
                <w:sz w:val="14"/>
                <w:szCs w:val="14"/>
                <w:color w:val="auto"/>
              </w:rPr>
              <w:t>President, Lilly</w:t>
            </w:r>
          </w:p>
        </w:tc>
        <w:tc>
          <w:tcPr>
            <w:tcW w:w="420" w:type="dxa"/>
            <w:vAlign w:val="bottom"/>
          </w:tcPr>
          <w:p>
            <w:pPr>
              <w:ind w:left="60"/>
              <w:spacing w:after="0"/>
              <w:rPr>
                <w:sz w:val="20"/>
                <w:szCs w:val="20"/>
                <w:color w:val="auto"/>
              </w:rPr>
            </w:pPr>
            <w:r>
              <w:rPr>
                <w:rFonts w:ascii="Arial" w:cs="Arial" w:eastAsia="Arial" w:hAnsi="Arial"/>
                <w:sz w:val="14"/>
                <w:szCs w:val="14"/>
                <w:color w:val="auto"/>
              </w:rPr>
              <w:t>2023</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$830,769</w:t>
            </w:r>
          </w:p>
        </w:tc>
        <w:tc>
          <w:tcPr>
            <w:tcW w:w="720" w:type="dxa"/>
            <w:vAlign w:val="bottom"/>
          </w:tcPr>
          <w:p>
            <w:pPr>
              <w:ind w:left="4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$2,424,200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$1,503,692</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$78,013</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$49,846</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$4,886,520</w:t>
            </w:r>
          </w:p>
        </w:tc>
        <w:tc>
          <w:tcPr>
            <w:tcW w:w="0" w:type="dxa"/>
            <w:vAlign w:val="bottom"/>
          </w:tcPr>
          <w:p>
            <w:pPr>
              <w:spacing w:after="0"/>
              <w:rPr>
                <w:sz w:val="1"/>
                <w:szCs w:val="1"/>
                <w:color w:val="auto"/>
              </w:rPr>
            </w:pPr>
          </w:p>
        </w:tc>
      </w:tr>
      <w:tr>
        <w:trPr>
          <w:trHeight w:val="162"/>
        </w:trPr>
        <w:tc>
          <w:tcPr>
            <w:tcW w:w="1120" w:type="dxa"/>
            <w:vAlign w:val="bottom"/>
          </w:tcPr>
          <w:p>
            <w:pPr>
              <w:ind w:left="20"/>
              <w:spacing w:after="0"/>
              <w:rPr>
                <w:sz w:val="20"/>
                <w:szCs w:val="20"/>
                <w:color w:val="auto"/>
              </w:rPr>
            </w:pPr>
            <w:r>
              <w:rPr>
                <w:rFonts w:ascii="Arial" w:cs="Arial" w:eastAsia="Arial" w:hAnsi="Arial"/>
                <w:sz w:val="14"/>
                <w:szCs w:val="14"/>
                <w:color w:val="auto"/>
              </w:rPr>
              <w:t>Oncology and</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20" w:type="dxa"/>
            <w:vAlign w:val="bottom"/>
          </w:tcPr>
          <w:p>
            <w:pPr>
              <w:ind w:left="20"/>
              <w:spacing w:after="0"/>
              <w:rPr>
                <w:sz w:val="20"/>
                <w:szCs w:val="20"/>
                <w:color w:val="auto"/>
              </w:rPr>
            </w:pPr>
            <w:r>
              <w:rPr>
                <w:rFonts w:ascii="Arial" w:cs="Arial" w:eastAsia="Arial" w:hAnsi="Arial"/>
                <w:sz w:val="14"/>
                <w:szCs w:val="14"/>
                <w:color w:val="auto"/>
              </w:rPr>
              <w:t>Head of</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20" w:type="dxa"/>
            <w:vAlign w:val="bottom"/>
          </w:tcPr>
          <w:p>
            <w:pPr>
              <w:ind w:left="20"/>
              <w:spacing w:after="0"/>
              <w:rPr>
                <w:sz w:val="20"/>
                <w:szCs w:val="20"/>
                <w:color w:val="auto"/>
              </w:rPr>
            </w:pPr>
            <w:r>
              <w:rPr>
                <w:rFonts w:ascii="Arial" w:cs="Arial" w:eastAsia="Arial" w:hAnsi="Arial"/>
                <w:sz w:val="14"/>
                <w:szCs w:val="14"/>
                <w:color w:val="auto"/>
              </w:rPr>
              <w:t>Corporate</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-936625</wp:posOffset>
            </wp:positionV>
            <wp:extent cx="5734685" cy="116586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734685" cy="11658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Business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3468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pacing w:after="0" w:line="156" w:lineRule="exact"/>
        <w:rPr>
          <w:sz w:val="20"/>
          <w:szCs w:val="20"/>
          <w:color w:val="auto"/>
        </w:rPr>
      </w:pPr>
    </w:p>
    <w:p>
      <w:pPr>
        <w:ind w:left="180" w:right="60" w:hanging="172"/>
        <w:spacing w:after="0"/>
        <w:tabs>
          <w:tab w:leader="none" w:pos="174" w:val="left"/>
        </w:tabs>
        <w:numPr>
          <w:ilvl w:val="0"/>
          <w:numId w:val="138"/>
        </w:numPr>
        <w:rPr>
          <w:rFonts w:ascii="Arial" w:cs="Arial" w:eastAsia="Arial" w:hAnsi="Arial"/>
          <w:sz w:val="19"/>
          <w:szCs w:val="19"/>
          <w:color w:val="auto"/>
          <w:vertAlign w:val="superscript"/>
        </w:rPr>
      </w:pPr>
      <w:r>
        <w:rPr>
          <w:rFonts w:ascii="Arial" w:cs="Arial" w:eastAsia="Arial" w:hAnsi="Arial"/>
          <w:sz w:val="14"/>
          <w:szCs w:val="14"/>
          <w:color w:val="auto"/>
        </w:rPr>
        <w:t>This column includes the grant date fair value of all stock awards granted to named executive officers computed in accordance with FASB ASC Topic 718. See Note 12 of the consolidated financial statements in the company’s Annual Report on Form 10-K for the fiscal year ended December 31, 2025, for additional detail regarding assumptions underlying the valuation of stock awards. All values in the “Stock Awards” column were based upon the probable outcome of performance conditions as of the grant date, which vary year to year.</w:t>
      </w:r>
    </w:p>
    <w:p>
      <w:pPr>
        <w:spacing w:after="0" w:line="41" w:lineRule="exact"/>
        <w:rPr>
          <w:rFonts w:ascii="Arial" w:cs="Arial" w:eastAsia="Arial" w:hAnsi="Arial"/>
          <w:sz w:val="19"/>
          <w:szCs w:val="19"/>
          <w:color w:val="auto"/>
          <w:vertAlign w:val="superscript"/>
        </w:rPr>
      </w:pPr>
    </w:p>
    <w:p>
      <w:pPr>
        <w:ind w:left="180"/>
        <w:spacing w:after="0" w:line="283" w:lineRule="auto"/>
        <w:rPr>
          <w:rFonts w:ascii="Arial" w:cs="Arial" w:eastAsia="Arial" w:hAnsi="Arial"/>
          <w:sz w:val="19"/>
          <w:szCs w:val="19"/>
          <w:color w:val="auto"/>
          <w:vertAlign w:val="superscript"/>
        </w:rPr>
      </w:pPr>
      <w:r>
        <w:rPr>
          <w:rFonts w:ascii="Arial" w:cs="Arial" w:eastAsia="Arial" w:hAnsi="Arial"/>
          <w:sz w:val="14"/>
          <w:szCs w:val="14"/>
          <w:color w:val="auto"/>
        </w:rPr>
        <w:t>The table below shows the target and maximum payouts (valuing the number of shares that would vest at each payout level using the grant date fair value) for the 2025 shareholder value award and the 2025 relative value award, each of which are included in the Summary Compensation Table above. All awards below will pay out in February 2028 and have a minimum payout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21590</wp:posOffset>
            </wp:positionV>
            <wp:extent cx="278574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58"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15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rPr>
              <w:t>2025 SVA</w:t>
            </w:r>
          </w:p>
        </w:tc>
        <w:tc>
          <w:tcPr>
            <w:tcW w:w="216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2025 RVA</w:t>
            </w:r>
          </w:p>
        </w:tc>
        <w:tc>
          <w:tcPr>
            <w:tcW w:w="0" w:type="dxa"/>
            <w:vAlign w:val="bottom"/>
          </w:tcPr>
          <w:p>
            <w:pPr>
              <w:spacing w:after="0"/>
              <w:rPr>
                <w:sz w:val="1"/>
                <w:szCs w:val="1"/>
                <w:color w:val="auto"/>
              </w:rPr>
            </w:pPr>
          </w:p>
        </w:tc>
      </w:tr>
      <w:tr>
        <w:trPr>
          <w:trHeight w:val="322"/>
        </w:trPr>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Target</w:t>
            </w:r>
          </w:p>
        </w:tc>
        <w:tc>
          <w:tcPr>
            <w:tcW w:w="11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Maximum</w:t>
            </w: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Target</w:t>
            </w: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63"/>
        </w:trPr>
        <w:tc>
          <w:tcPr>
            <w:tcW w:w="15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34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$11,662,500</w:t>
            </w:r>
          </w:p>
        </w:tc>
        <w:tc>
          <w:tcPr>
            <w:tcW w:w="118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$23,325,000</w:t>
            </w:r>
          </w:p>
        </w:tc>
        <w:tc>
          <w:tcPr>
            <w:tcW w:w="118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$11,662,500</w:t>
            </w:r>
          </w:p>
        </w:tc>
        <w:tc>
          <w:tcPr>
            <w:tcW w:w="9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$23,325,000</w:t>
            </w:r>
          </w:p>
        </w:tc>
        <w:tc>
          <w:tcPr>
            <w:tcW w:w="0" w:type="dxa"/>
            <w:vAlign w:val="bottom"/>
          </w:tcPr>
          <w:p>
            <w:pPr>
              <w:spacing w:after="0"/>
              <w:rPr>
                <w:sz w:val="1"/>
                <w:szCs w:val="1"/>
                <w:color w:val="auto"/>
              </w:rPr>
            </w:pPr>
          </w:p>
        </w:tc>
      </w:tr>
      <w:tr>
        <w:trPr>
          <w:trHeight w:val="235"/>
        </w:trPr>
        <w:tc>
          <w:tcPr>
            <w:tcW w:w="152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$2,500,000</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$5,000,000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$2,500,000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34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$6,000,000</w:t>
            </w:r>
          </w:p>
        </w:tc>
        <w:tc>
          <w:tcPr>
            <w:tcW w:w="118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$12,000,000</w:t>
            </w:r>
          </w:p>
        </w:tc>
        <w:tc>
          <w:tcPr>
            <w:tcW w:w="118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$6,000,000</w:t>
            </w:r>
          </w:p>
        </w:tc>
        <w:tc>
          <w:tcPr>
            <w:tcW w:w="9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235"/>
        </w:trPr>
        <w:tc>
          <w:tcPr>
            <w:tcW w:w="1520" w:type="dxa"/>
            <w:vAlign w:val="bottom"/>
          </w:tcPr>
          <w:p>
            <w:pPr>
              <w:ind w:left="20"/>
              <w:spacing w:after="0"/>
              <w:rPr>
                <w:sz w:val="20"/>
                <w:szCs w:val="20"/>
                <w:color w:val="auto"/>
              </w:rPr>
            </w:pPr>
            <w:r>
              <w:rPr>
                <w:rFonts w:ascii="Arial" w:cs="Arial" w:eastAsia="Arial" w:hAnsi="Arial"/>
                <w:sz w:val="14"/>
                <w:szCs w:val="14"/>
                <w:color w:val="auto"/>
              </w:rPr>
              <w:t>Ms. Hakim</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$3,000,000</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$6,000,000</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$3,000,000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$6,000,000</w:t>
            </w: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34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$2,250,000</w:t>
            </w:r>
          </w:p>
        </w:tc>
        <w:tc>
          <w:tcPr>
            <w:tcW w:w="118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$4,500,000</w:t>
            </w:r>
          </w:p>
        </w:tc>
        <w:tc>
          <w:tcPr>
            <w:tcW w:w="118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$2,250,000</w:t>
            </w:r>
          </w:p>
        </w:tc>
        <w:tc>
          <w:tcPr>
            <w:tcW w:w="9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$4,500,000</w:t>
            </w: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60" w:hanging="152"/>
        <w:spacing w:after="0"/>
        <w:tabs>
          <w:tab w:leader="none" w:pos="160" w:val="left"/>
        </w:tabs>
        <w:numPr>
          <w:ilvl w:val="0"/>
          <w:numId w:val="139"/>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reflect payments under the Bonus Plan for performance in the years represented.</w:t>
      </w:r>
    </w:p>
    <w:p>
      <w:pPr>
        <w:spacing w:after="0" w:line="45" w:lineRule="exact"/>
        <w:rPr>
          <w:sz w:val="20"/>
          <w:szCs w:val="20"/>
          <w:color w:val="auto"/>
        </w:rPr>
      </w:pPr>
    </w:p>
    <w:p>
      <w:pPr>
        <w:ind w:left="180" w:hanging="172"/>
        <w:spacing w:after="0" w:line="231" w:lineRule="auto"/>
        <w:tabs>
          <w:tab w:leader="none" w:pos="174" w:val="left"/>
        </w:tabs>
        <w:numPr>
          <w:ilvl w:val="0"/>
          <w:numId w:val="140"/>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reflect the change in pension value, calculated by an actuary. The changes in pension values in 2025 were driven by changes in actuarial assumptions offset by pay changes and an additional year of credited service. The design of the pension benefit plan did not change. See the “Pension Benefits in 2025” table for information about the standard actuarial assumptions used. No named executive officer received preferential or above-market earnings on deferred compensation.</w:t>
      </w:r>
    </w:p>
    <w:p>
      <w:pPr>
        <w:sectPr>
          <w:pgSz w:w="11900" w:h="16838" w:orient="portrait"/>
          <w:cols w:equalWidth="0" w:num="1">
            <w:col w:w="11240"/>
          </w:cols>
          <w:pgMar w:left="320" w:top="769" w:right="339" w:bottom="80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805" w:gutter="0" w:footer="0" w:header="0"/>
          <w:type w:val="continuous"/>
        </w:sectPr>
      </w:pPr>
    </w:p>
    <w:bookmarkStart w:id="63" w:name="page64"/>
    <w:bookmarkEnd w:id="63"/>
    <w:p>
      <w:pPr>
        <w:ind w:left="160" w:hanging="152"/>
        <w:spacing w:after="0"/>
        <w:tabs>
          <w:tab w:leader="none" w:pos="160" w:val="left"/>
        </w:tabs>
        <w:numPr>
          <w:ilvl w:val="0"/>
          <w:numId w:val="141"/>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include 401(k) and Nonqualified Savings Plan company matching contributions as follows: Mr. Ricks: $102,000; Mr. Montarce: $60,000; Dr.</w:t>
      </w:r>
    </w:p>
    <w:p>
      <w:pPr>
        <w:ind w:left="180"/>
        <w:spacing w:after="0"/>
        <w:rPr>
          <w:rFonts w:ascii="Arial" w:cs="Arial" w:eastAsia="Arial" w:hAnsi="Arial"/>
          <w:sz w:val="19"/>
          <w:szCs w:val="19"/>
          <w:color w:val="auto"/>
          <w:vertAlign w:val="superscript"/>
        </w:rPr>
      </w:pPr>
      <w:r>
        <w:rPr>
          <w:rFonts w:ascii="Arial" w:cs="Arial" w:eastAsia="Arial" w:hAnsi="Arial"/>
          <w:sz w:val="14"/>
          <w:szCs w:val="14"/>
          <w:color w:val="auto"/>
        </w:rPr>
        <w:t>Skovronsky: $89,423; Ms. Hakim: $60,000; and Mr. Van Naarden: $55,212.</w:t>
      </w:r>
    </w:p>
    <w:p>
      <w:pPr>
        <w:spacing w:after="0" w:line="54" w:lineRule="exact"/>
        <w:rPr>
          <w:rFonts w:ascii="Arial" w:cs="Arial" w:eastAsia="Arial" w:hAnsi="Arial"/>
          <w:sz w:val="19"/>
          <w:szCs w:val="19"/>
          <w:color w:val="auto"/>
          <w:vertAlign w:val="superscript"/>
        </w:rPr>
      </w:pPr>
    </w:p>
    <w:p>
      <w:pPr>
        <w:ind w:left="180"/>
        <w:spacing w:after="0"/>
        <w:rPr>
          <w:rFonts w:ascii="Arial" w:cs="Arial" w:eastAsia="Arial" w:hAnsi="Arial"/>
          <w:sz w:val="19"/>
          <w:szCs w:val="19"/>
          <w:color w:val="auto"/>
          <w:vertAlign w:val="superscript"/>
        </w:rPr>
      </w:pPr>
      <w:r>
        <w:rPr>
          <w:rFonts w:ascii="Arial" w:cs="Arial" w:eastAsia="Arial" w:hAnsi="Arial"/>
          <w:sz w:val="14"/>
          <w:szCs w:val="14"/>
          <w:color w:val="auto"/>
        </w:rPr>
        <w:t>The amounts in this column also include costs for security services: $276,584 for Mr. Ricks and $102,570 for Ms. Hakim.</w:t>
      </w:r>
    </w:p>
    <w:p>
      <w:pPr>
        <w:spacing w:after="0" w:line="55" w:lineRule="exact"/>
        <w:rPr>
          <w:rFonts w:ascii="Arial" w:cs="Arial" w:eastAsia="Arial" w:hAnsi="Arial"/>
          <w:sz w:val="19"/>
          <w:szCs w:val="19"/>
          <w:color w:val="auto"/>
          <w:vertAlign w:val="superscript"/>
        </w:rPr>
      </w:pPr>
    </w:p>
    <w:p>
      <w:pPr>
        <w:ind w:left="180" w:right="80"/>
        <w:spacing w:after="0" w:line="276" w:lineRule="auto"/>
        <w:rPr>
          <w:rFonts w:ascii="Arial" w:cs="Arial" w:eastAsia="Arial" w:hAnsi="Arial"/>
          <w:sz w:val="19"/>
          <w:szCs w:val="19"/>
          <w:color w:val="auto"/>
          <w:vertAlign w:val="superscript"/>
        </w:rPr>
      </w:pPr>
      <w:r>
        <w:rPr>
          <w:rFonts w:ascii="Arial" w:cs="Arial" w:eastAsia="Arial" w:hAnsi="Arial"/>
          <w:sz w:val="14"/>
          <w:szCs w:val="14"/>
          <w:color w:val="auto"/>
        </w:rPr>
        <w:t>Additionally, this column also includes the aggregate incremental cost for personal use of the corporate aircraft: $357,616 for Mr. Ricks, and $69,884 for Dr. Skovronsky. The aggregate incremental costs for personal use of our aircraft are calculated based on our variable operating costs, which include crew travel expenses, on-board catering, landing fees, trip-related hangar/parking costs, fuel, trip-related maintenance, and other smaller variable costs. Because most of the use of the corporate aircraft is for business purposes, fixed costs such as aircraft purchase costs, maintenance not related to personal trips, and flight crew salaries are not included.</w:t>
      </w:r>
    </w:p>
    <w:p>
      <w:pPr>
        <w:spacing w:after="0" w:line="108"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Grants of Plan-Based Awards During 2025</w:t>
      </w:r>
    </w:p>
    <w:p>
      <w:pPr>
        <w:spacing w:after="0" w:line="6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compensation framework detailed in the CD&amp;A includes the Bonus Plan, a non-stock incentive plan, and the Amended and Restated 2002 Lilly Stock Plan, under which Lilly provides all stock grants.</w:t>
      </w:r>
    </w:p>
    <w:p>
      <w:pPr>
        <w:spacing w:after="0" w:line="9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 qualify for an SVA or RVA payout, the recipient must either remain employed with the company through the end of the performance period, retire after December 31 of the year of grant, or experience a termination due to factors beyond the individual’s control, such as death, disability, a plant closing, or workforce reduction. Additionally, annual awards to executive officers are subject to non-compete and non-solicitation covenants that remain in effect for one year following termination. Under the terms of the applicable award agreement, any breach of these covenants results in immediate revocation of the award and forfeiture of any associated rights. No dividends or dividend equivalents accrue on SVAs or RVAs throughout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606415" cy="7747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606415" cy="77470"/>
                    </a:xfrm>
                    <a:prstGeom prst="rect">
                      <a:avLst/>
                    </a:prstGeom>
                    <a:noFill/>
                  </pic:spPr>
                </pic:pic>
              </a:graphicData>
            </a:graphic>
          </wp:anchor>
        </w:drawing>
      </w:r>
    </w:p>
    <w:p>
      <w:pPr>
        <w:spacing w:after="0" w:line="284" w:lineRule="exact"/>
        <w:rPr>
          <w:sz w:val="20"/>
          <w:szCs w:val="20"/>
          <w:color w:val="auto"/>
        </w:rPr>
      </w:pPr>
    </w:p>
    <w:tbl>
      <w:tblPr>
        <w:tblLayout w:type="fixed"/>
        <w:tblInd w:w="380" w:type="dxa"/>
        <w:tblCellMar>
          <w:top w:w="0" w:type="dxa"/>
          <w:left w:w="0" w:type="dxa"/>
          <w:bottom w:w="0" w:type="dxa"/>
          <w:right w:w="0" w:type="dxa"/>
        </w:tblCellMar>
      </w:tblPr>
      <w:tr>
        <w:trPr>
          <w:trHeight w:val="172"/>
        </w:trPr>
        <w:tc>
          <w:tcPr>
            <w:tcW w:w="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Estimated Future</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1"/>
        </w:trPr>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25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Payouts Under Stock</w:t>
            </w:r>
          </w:p>
        </w:tc>
        <w:tc>
          <w:tcPr>
            <w:tcW w:w="860" w:type="dxa"/>
            <w:vAlign w:val="bottom"/>
          </w:tcPr>
          <w:p>
            <w:pPr>
              <w:spacing w:after="0"/>
              <w:rPr>
                <w:sz w:val="18"/>
                <w:szCs w:val="18"/>
                <w:color w:val="auto"/>
              </w:rPr>
            </w:pPr>
          </w:p>
        </w:tc>
      </w:tr>
      <w:tr>
        <w:trPr>
          <w:trHeight w:val="131"/>
        </w:trPr>
        <w:tc>
          <w:tcPr>
            <w:tcW w:w="6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20" w:type="dxa"/>
            <w:vAlign w:val="bottom"/>
            <w:gridSpan w:val="2"/>
          </w:tcPr>
          <w:p>
            <w:pPr>
              <w:jc w:val="center"/>
              <w:ind w:right="597"/>
              <w:spacing w:after="0" w:line="131" w:lineRule="exact"/>
              <w:rPr>
                <w:sz w:val="20"/>
                <w:szCs w:val="20"/>
                <w:color w:val="auto"/>
              </w:rPr>
            </w:pPr>
            <w:r>
              <w:rPr>
                <w:rFonts w:ascii="Arial" w:cs="Arial" w:eastAsia="Arial" w:hAnsi="Arial"/>
                <w:sz w:val="13"/>
                <w:szCs w:val="13"/>
                <w:b w:val="1"/>
                <w:bCs w:val="1"/>
                <w:color w:val="auto"/>
                <w:w w:val="96"/>
              </w:rPr>
              <w:t>Under Non-Stock</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6"/>
        </w:trPr>
        <w:tc>
          <w:tcPr>
            <w:tcW w:w="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0" w:type="dxa"/>
            <w:vAlign w:val="bottom"/>
            <w:gridSpan w:val="3"/>
          </w:tcPr>
          <w:p>
            <w:pPr>
              <w:jc w:val="center"/>
              <w:spacing w:after="0" w:line="175" w:lineRule="exact"/>
              <w:rPr>
                <w:sz w:val="20"/>
                <w:szCs w:val="20"/>
                <w:color w:val="auto"/>
              </w:rPr>
            </w:pPr>
            <w:r>
              <w:rPr>
                <w:rFonts w:ascii="Arial" w:cs="Arial" w:eastAsia="Arial" w:hAnsi="Arial"/>
                <w:sz w:val="13"/>
                <w:szCs w:val="13"/>
                <w:b w:val="1"/>
                <w:bCs w:val="1"/>
                <w:color w:val="auto"/>
                <w:w w:val="96"/>
              </w:rPr>
              <w:t xml:space="preserve">Incentive Plan Awards </w:t>
            </w:r>
            <w:r>
              <w:rPr>
                <w:rFonts w:ascii="Arial" w:cs="Arial" w:eastAsia="Arial" w:hAnsi="Arial"/>
                <w:sz w:val="16"/>
                <w:szCs w:val="16"/>
                <w:b w:val="1"/>
                <w:bCs w:val="1"/>
                <w:color w:val="auto"/>
                <w:w w:val="96"/>
                <w:vertAlign w:val="superscript"/>
              </w:rPr>
              <w:t>2</w:t>
            </w:r>
          </w:p>
        </w:tc>
        <w:tc>
          <w:tcPr>
            <w:tcW w:w="25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Incentive Plan Awards</w:t>
            </w:r>
          </w:p>
        </w:tc>
        <w:tc>
          <w:tcPr>
            <w:tcW w:w="86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Grant Date</w:t>
            </w:r>
          </w:p>
        </w:tc>
      </w:tr>
      <w:tr>
        <w:trPr>
          <w:trHeight w:val="148"/>
        </w:trPr>
        <w:tc>
          <w:tcPr>
            <w:tcW w:w="6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jc w:val="center"/>
              <w:ind w:left="57"/>
              <w:spacing w:after="0"/>
              <w:rPr>
                <w:sz w:val="20"/>
                <w:szCs w:val="20"/>
                <w:color w:val="auto"/>
              </w:rPr>
            </w:pPr>
            <w:r>
              <w:rPr>
                <w:rFonts w:ascii="Arial" w:cs="Arial" w:eastAsia="Arial" w:hAnsi="Arial"/>
                <w:sz w:val="13"/>
                <w:szCs w:val="13"/>
                <w:b w:val="1"/>
                <w:bCs w:val="1"/>
                <w:color w:val="auto"/>
                <w:w w:val="94"/>
              </w:rPr>
              <w:t>Fair Value of</w:t>
            </w:r>
          </w:p>
        </w:tc>
      </w:tr>
      <w:tr>
        <w:trPr>
          <w:trHeight w:val="180"/>
        </w:trPr>
        <w:tc>
          <w:tcPr>
            <w:tcW w:w="600" w:type="dxa"/>
            <w:vAlign w:val="bottom"/>
          </w:tcPr>
          <w:p>
            <w:pPr>
              <w:spacing w:after="0"/>
              <w:rPr>
                <w:sz w:val="15"/>
                <w:szCs w:val="15"/>
                <w:color w:val="auto"/>
              </w:rPr>
            </w:pPr>
          </w:p>
        </w:tc>
        <w:tc>
          <w:tcPr>
            <w:tcW w:w="1940" w:type="dxa"/>
            <w:vAlign w:val="bottom"/>
          </w:tcPr>
          <w:p>
            <w:pPr>
              <w:jc w:val="center"/>
              <w:ind w:left="877"/>
              <w:spacing w:after="0"/>
              <w:rPr>
                <w:sz w:val="20"/>
                <w:szCs w:val="20"/>
                <w:color w:val="auto"/>
              </w:rPr>
            </w:pPr>
            <w:r>
              <w:rPr>
                <w:rFonts w:ascii="Arial" w:cs="Arial" w:eastAsia="Arial" w:hAnsi="Arial"/>
                <w:sz w:val="13"/>
                <w:szCs w:val="13"/>
                <w:b w:val="1"/>
                <w:bCs w:val="1"/>
                <w:color w:val="auto"/>
                <w:w w:val="97"/>
              </w:rPr>
              <w:t>Compensation</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8"/>
              </w:rPr>
              <w:t>Threshold</w:t>
            </w:r>
          </w:p>
        </w:tc>
        <w:tc>
          <w:tcPr>
            <w:tcW w:w="840" w:type="dxa"/>
            <w:vAlign w:val="bottom"/>
          </w:tcPr>
          <w:p>
            <w:pPr>
              <w:jc w:val="center"/>
              <w:ind w:left="37"/>
              <w:spacing w:after="0"/>
              <w:rPr>
                <w:sz w:val="20"/>
                <w:szCs w:val="20"/>
                <w:color w:val="auto"/>
              </w:rPr>
            </w:pPr>
            <w:r>
              <w:rPr>
                <w:rFonts w:ascii="Arial" w:cs="Arial" w:eastAsia="Arial" w:hAnsi="Arial"/>
                <w:sz w:val="13"/>
                <w:szCs w:val="13"/>
                <w:b w:val="1"/>
                <w:bCs w:val="1"/>
                <w:color w:val="auto"/>
                <w:w w:val="95"/>
              </w:rPr>
              <w:t>Target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760" w:type="dxa"/>
            <w:vAlign w:val="bottom"/>
          </w:tcPr>
          <w:p>
            <w:pPr>
              <w:ind w:left="120"/>
              <w:spacing w:after="0"/>
              <w:rPr>
                <w:sz w:val="20"/>
                <w:szCs w:val="20"/>
                <w:color w:val="auto"/>
              </w:rPr>
            </w:pPr>
            <w:r>
              <w:rPr>
                <w:rFonts w:ascii="Arial" w:cs="Arial" w:eastAsia="Arial" w:hAnsi="Arial"/>
                <w:sz w:val="13"/>
                <w:szCs w:val="13"/>
                <w:b w:val="1"/>
                <w:bCs w:val="1"/>
                <w:color w:val="auto"/>
                <w:w w:val="98"/>
              </w:rPr>
              <w:t>Threshold</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740" w:type="dxa"/>
            <w:vAlign w:val="bottom"/>
          </w:tcPr>
          <w:p>
            <w:pPr>
              <w:ind w:left="20"/>
              <w:spacing w:after="0"/>
              <w:rPr>
                <w:sz w:val="20"/>
                <w:szCs w:val="20"/>
                <w:color w:val="auto"/>
              </w:rPr>
            </w:pPr>
            <w:r>
              <w:rPr>
                <w:rFonts w:ascii="Arial" w:cs="Arial" w:eastAsia="Arial" w:hAnsi="Arial"/>
                <w:sz w:val="13"/>
                <w:szCs w:val="13"/>
                <w:b w:val="1"/>
                <w:bCs w:val="1"/>
                <w:color w:val="auto"/>
              </w:rPr>
              <w:t>Maximum</w:t>
            </w:r>
          </w:p>
        </w:tc>
        <w:tc>
          <w:tcPr>
            <w:tcW w:w="860" w:type="dxa"/>
            <w:vAlign w:val="bottom"/>
          </w:tcPr>
          <w:p>
            <w:pPr>
              <w:jc w:val="center"/>
              <w:ind w:left="37"/>
              <w:spacing w:after="0"/>
              <w:rPr>
                <w:sz w:val="20"/>
                <w:szCs w:val="20"/>
                <w:color w:val="auto"/>
              </w:rPr>
            </w:pPr>
            <w:r>
              <w:rPr>
                <w:rFonts w:ascii="Arial" w:cs="Arial" w:eastAsia="Arial" w:hAnsi="Arial"/>
                <w:sz w:val="13"/>
                <w:szCs w:val="13"/>
                <w:b w:val="1"/>
                <w:bCs w:val="1"/>
                <w:color w:val="auto"/>
                <w:w w:val="96"/>
              </w:rPr>
              <w:t>Stock and</w:t>
            </w:r>
          </w:p>
        </w:tc>
      </w:tr>
      <w:tr>
        <w:trPr>
          <w:trHeight w:val="117"/>
        </w:trPr>
        <w:tc>
          <w:tcPr>
            <w:tcW w:w="600" w:type="dxa"/>
            <w:vAlign w:val="bottom"/>
          </w:tcPr>
          <w:p>
            <w:pPr>
              <w:spacing w:after="0"/>
              <w:rPr>
                <w:sz w:val="10"/>
                <w:szCs w:val="10"/>
                <w:color w:val="auto"/>
              </w:rPr>
            </w:pPr>
          </w:p>
        </w:tc>
        <w:tc>
          <w:tcPr>
            <w:tcW w:w="1940" w:type="dxa"/>
            <w:vAlign w:val="bottom"/>
          </w:tcPr>
          <w:p>
            <w:pPr>
              <w:jc w:val="center"/>
              <w:ind w:left="877"/>
              <w:spacing w:after="0" w:line="117" w:lineRule="exact"/>
              <w:rPr>
                <w:sz w:val="20"/>
                <w:szCs w:val="20"/>
                <w:color w:val="auto"/>
              </w:rPr>
            </w:pPr>
            <w:r>
              <w:rPr>
                <w:rFonts w:ascii="Arial" w:cs="Arial" w:eastAsia="Arial" w:hAnsi="Arial"/>
                <w:sz w:val="13"/>
                <w:szCs w:val="13"/>
                <w:b w:val="1"/>
                <w:bCs w:val="1"/>
                <w:color w:val="auto"/>
                <w:w w:val="95"/>
              </w:rPr>
              <w:t>Committee</w:t>
            </w: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jc w:val="center"/>
              <w:ind w:left="37"/>
              <w:spacing w:after="0" w:line="117" w:lineRule="exact"/>
              <w:rPr>
                <w:sz w:val="20"/>
                <w:szCs w:val="20"/>
                <w:color w:val="auto"/>
              </w:rPr>
            </w:pPr>
            <w:r>
              <w:rPr>
                <w:rFonts w:ascii="Arial" w:cs="Arial" w:eastAsia="Arial" w:hAnsi="Arial"/>
                <w:sz w:val="13"/>
                <w:szCs w:val="13"/>
                <w:b w:val="1"/>
                <w:bCs w:val="1"/>
                <w:color w:val="auto"/>
                <w:w w:val="95"/>
              </w:rPr>
              <w:t>Option</w:t>
            </w:r>
          </w:p>
        </w:tc>
      </w:tr>
      <w:tr>
        <w:trPr>
          <w:trHeight w:val="240"/>
        </w:trPr>
        <w:tc>
          <w:tcPr>
            <w:tcW w:w="600" w:type="dxa"/>
            <w:vAlign w:val="bottom"/>
          </w:tcPr>
          <w:p>
            <w:pPr>
              <w:spacing w:after="0"/>
              <w:rPr>
                <w:sz w:val="20"/>
                <w:szCs w:val="20"/>
                <w:color w:val="auto"/>
              </w:rPr>
            </w:pPr>
            <w:r>
              <w:rPr>
                <w:rFonts w:ascii="Arial" w:cs="Arial" w:eastAsia="Arial" w:hAnsi="Arial"/>
                <w:sz w:val="13"/>
                <w:szCs w:val="13"/>
                <w:b w:val="1"/>
                <w:bCs w:val="1"/>
                <w:color w:val="auto"/>
              </w:rPr>
              <w:t>Award</w:t>
            </w:r>
          </w:p>
        </w:tc>
        <w:tc>
          <w:tcPr>
            <w:tcW w:w="1940" w:type="dxa"/>
            <w:vAlign w:val="bottom"/>
          </w:tcPr>
          <w:p>
            <w:pPr>
              <w:ind w:left="200"/>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 xml:space="preserve">    Action Date</w:t>
            </w:r>
          </w:p>
        </w:tc>
        <w:tc>
          <w:tcPr>
            <w:tcW w:w="68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ind w:left="140"/>
              <w:spacing w:after="0"/>
              <w:rPr>
                <w:sz w:val="20"/>
                <w:szCs w:val="20"/>
                <w:color w:val="auto"/>
              </w:rPr>
            </w:pPr>
            <w:r>
              <w:rPr>
                <w:rFonts w:ascii="Arial" w:cs="Arial" w:eastAsia="Arial" w:hAnsi="Arial"/>
                <w:sz w:val="13"/>
                <w:szCs w:val="13"/>
                <w:b w:val="1"/>
                <w:bCs w:val="1"/>
                <w:color w:val="auto"/>
                <w:w w:val="97"/>
              </w:rPr>
              <w:t>(# shares)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 shares)</w:t>
            </w:r>
          </w:p>
        </w:tc>
        <w:tc>
          <w:tcPr>
            <w:tcW w:w="740" w:type="dxa"/>
            <w:vAlign w:val="bottom"/>
          </w:tcPr>
          <w:p>
            <w:pPr>
              <w:ind w:left="20"/>
              <w:spacing w:after="0"/>
              <w:rPr>
                <w:sz w:val="20"/>
                <w:szCs w:val="20"/>
                <w:color w:val="auto"/>
              </w:rPr>
            </w:pPr>
            <w:r>
              <w:rPr>
                <w:rFonts w:ascii="Arial" w:cs="Arial" w:eastAsia="Arial" w:hAnsi="Arial"/>
                <w:sz w:val="13"/>
                <w:szCs w:val="13"/>
                <w:b w:val="1"/>
                <w:bCs w:val="1"/>
                <w:color w:val="auto"/>
              </w:rPr>
              <w:t>(# shares)</w:t>
            </w:r>
          </w:p>
        </w:tc>
        <w:tc>
          <w:tcPr>
            <w:tcW w:w="860" w:type="dxa"/>
            <w:vAlign w:val="bottom"/>
          </w:tcPr>
          <w:p>
            <w:pPr>
              <w:jc w:val="center"/>
              <w:ind w:left="57"/>
              <w:spacing w:after="0"/>
              <w:rPr>
                <w:sz w:val="20"/>
                <w:szCs w:val="20"/>
                <w:color w:val="auto"/>
              </w:rPr>
            </w:pPr>
            <w:r>
              <w:rPr>
                <w:rFonts w:ascii="Arial" w:cs="Arial" w:eastAsia="Arial" w:hAnsi="Arial"/>
                <w:sz w:val="13"/>
                <w:szCs w:val="13"/>
                <w:b w:val="1"/>
                <w:bCs w:val="1"/>
                <w:color w:val="auto"/>
                <w:w w:val="95"/>
              </w:rPr>
              <w:t xml:space="preserve">Awards </w:t>
            </w:r>
            <w:r>
              <w:rPr>
                <w:rFonts w:ascii="Arial" w:cs="Arial" w:eastAsia="Arial" w:hAnsi="Arial"/>
                <w:sz w:val="16"/>
                <w:szCs w:val="16"/>
                <w:b w:val="1"/>
                <w:bCs w:val="1"/>
                <w:color w:val="auto"/>
                <w:w w:val="95"/>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-354965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-337820</wp:posOffset>
            </wp:positionV>
            <wp:extent cx="825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-320675</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-303530</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-286385</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-269240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-252095</wp:posOffset>
            </wp:positionV>
            <wp:extent cx="825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-234950</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-217805</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-200660</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-183515</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-166370</wp:posOffset>
            </wp:positionV>
            <wp:extent cx="82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-149225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-132080</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-114935</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-97790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-80645</wp:posOffset>
            </wp:positionV>
            <wp:extent cx="825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-63500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-46355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-29210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-12065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4445</wp:posOffset>
            </wp:positionV>
            <wp:extent cx="825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-354965</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-337820</wp:posOffset>
            </wp:positionV>
            <wp:extent cx="825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-320675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-303530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-286385</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-269240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-252095</wp:posOffset>
            </wp:positionV>
            <wp:extent cx="82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-234950</wp:posOffset>
            </wp:positionV>
            <wp:extent cx="825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-217805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-200660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-183515</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-166370</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-149225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-132080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-114935</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-97790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-80645</wp:posOffset>
            </wp:positionV>
            <wp:extent cx="825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-63500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-46355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-12065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4445</wp:posOffset>
            </wp:positionV>
            <wp:extent cx="825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-869315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-852170</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-835025</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-817880</wp:posOffset>
            </wp:positionV>
            <wp:extent cx="825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-800735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-783590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-766445</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-749300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-732155</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-715010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-697865</wp:posOffset>
            </wp:positionV>
            <wp:extent cx="825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-680720</wp:posOffset>
            </wp:positionV>
            <wp:extent cx="825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-663575</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-646430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-629285</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-612140</wp:posOffset>
            </wp:positionV>
            <wp:extent cx="825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-594995</wp:posOffset>
            </wp:positionV>
            <wp:extent cx="825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-577850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-560705</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-543560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-526415</wp:posOffset>
            </wp:positionV>
            <wp:extent cx="825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-509270</wp:posOffset>
            </wp:positionV>
            <wp:extent cx="825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-492125</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-474980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-457835</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-440690</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-423545</wp:posOffset>
            </wp:positionV>
            <wp:extent cx="825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-406400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-389255</wp:posOffset>
            </wp:positionV>
            <wp:extent cx="8255" cy="260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-869315</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-852170</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-835025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-817880</wp:posOffset>
            </wp:positionV>
            <wp:extent cx="825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-800735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-783590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-766445</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-749300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-732155</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-715010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-697865</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-680720</wp:posOffset>
            </wp:positionV>
            <wp:extent cx="825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-663575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-646430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-629285</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-612140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-594995</wp:posOffset>
            </wp:positionV>
            <wp:extent cx="825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-577850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-560705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-543560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-526415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-509270</wp:posOffset>
            </wp:positionV>
            <wp:extent cx="825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-492125</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-474980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-457835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-440690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-423545</wp:posOffset>
            </wp:positionV>
            <wp:extent cx="825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-406400</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-389255</wp:posOffset>
            </wp:positionV>
            <wp:extent cx="8255" cy="260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-869315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-852170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-835025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-817880</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-800735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-783590</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-766445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-749300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-732155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-715010</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-697865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-680720</wp:posOffset>
            </wp:positionV>
            <wp:extent cx="889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-663575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-646430</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-629285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-612140</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-594995</wp:posOffset>
            </wp:positionV>
            <wp:extent cx="889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-577850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-560705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-543560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-526415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-509270</wp:posOffset>
            </wp:positionV>
            <wp:extent cx="889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-492125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-474980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-457835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-440690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-423545</wp:posOffset>
            </wp:positionV>
            <wp:extent cx="889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-406400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-389255</wp:posOffset>
            </wp:positionV>
            <wp:extent cx="8890" cy="260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2603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-354965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-337820</wp:posOffset>
            </wp:positionV>
            <wp:extent cx="889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-320675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-303530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-286385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-269240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-252095</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-234950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-217805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-200660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-183515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-166370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-149225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-132080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-114935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-97790</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-80645</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-63500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-46355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-29210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-12065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4445</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40" w:type="dxa"/>
            <w:vAlign w:val="bottom"/>
            <w:shd w:val="clear" w:color="auto" w:fill="F2F2F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929292"/>
          </w:tcPr>
          <w:p>
            <w:pPr>
              <w:spacing w:after="0" w:line="20" w:lineRule="exact"/>
              <w:rPr>
                <w:sz w:val="1"/>
                <w:szCs w:val="1"/>
                <w:color w:val="auto"/>
              </w:rPr>
            </w:pPr>
          </w:p>
        </w:tc>
        <w:tc>
          <w:tcPr>
            <w:tcW w:w="880" w:type="dxa"/>
            <w:vAlign w:val="bottom"/>
            <w:shd w:val="clear" w:color="auto" w:fill="929292"/>
          </w:tcPr>
          <w:p>
            <w:pPr>
              <w:spacing w:after="0" w:line="20" w:lineRule="exact"/>
              <w:rPr>
                <w:sz w:val="1"/>
                <w:szCs w:val="1"/>
                <w:color w:val="auto"/>
              </w:rPr>
            </w:pPr>
          </w:p>
        </w:tc>
        <w:tc>
          <w:tcPr>
            <w:tcW w:w="860" w:type="dxa"/>
            <w:vAlign w:val="bottom"/>
            <w:shd w:val="clear" w:color="auto" w:fill="929292"/>
          </w:tcPr>
          <w:p>
            <w:pPr>
              <w:spacing w:after="0" w:line="20" w:lineRule="exact"/>
              <w:rPr>
                <w:sz w:val="1"/>
                <w:szCs w:val="1"/>
                <w:color w:val="auto"/>
              </w:rPr>
            </w:pPr>
          </w:p>
        </w:tc>
        <w:tc>
          <w:tcPr>
            <w:tcW w:w="900" w:type="dxa"/>
            <w:vAlign w:val="bottom"/>
            <w:shd w:val="clear" w:color="auto" w:fill="92929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60" w:type="dxa"/>
            <w:vAlign w:val="bottom"/>
            <w:shd w:val="clear" w:color="auto" w:fill="F2F2F2"/>
          </w:tcPr>
          <w:p>
            <w:pPr>
              <w:spacing w:after="0"/>
              <w:rPr>
                <w:sz w:val="18"/>
                <w:szCs w:val="18"/>
                <w:color w:val="auto"/>
              </w:rPr>
            </w:pPr>
          </w:p>
        </w:tc>
        <w:tc>
          <w:tcPr>
            <w:tcW w:w="920" w:type="dxa"/>
            <w:vAlign w:val="bottom"/>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7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$743,750</w:t>
            </w:r>
          </w:p>
        </w:tc>
        <w:tc>
          <w:tcPr>
            <w:tcW w:w="8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$2,975,000</w:t>
            </w:r>
          </w:p>
        </w:tc>
        <w:tc>
          <w:tcPr>
            <w:tcW w:w="8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$7,437,500</w:t>
            </w:r>
          </w:p>
        </w:tc>
        <w:tc>
          <w:tcPr>
            <w:tcW w:w="860" w:type="dxa"/>
            <w:vAlign w:val="bottom"/>
            <w:shd w:val="clear" w:color="auto" w:fill="F2F2F2"/>
          </w:tcPr>
          <w:p>
            <w:pPr>
              <w:spacing w:after="0"/>
              <w:rPr>
                <w:sz w:val="18"/>
                <w:szCs w:val="18"/>
                <w:color w:val="auto"/>
              </w:rPr>
            </w:pPr>
          </w:p>
        </w:tc>
        <w:tc>
          <w:tcPr>
            <w:tcW w:w="880" w:type="dxa"/>
            <w:vAlign w:val="bottom"/>
            <w:shd w:val="clear" w:color="auto" w:fill="F2F2F2"/>
          </w:tcPr>
          <w:p>
            <w:pPr>
              <w:spacing w:after="0"/>
              <w:rPr>
                <w:sz w:val="18"/>
                <w:szCs w:val="18"/>
                <w:color w:val="auto"/>
              </w:rPr>
            </w:pPr>
          </w:p>
        </w:tc>
        <w:tc>
          <w:tcPr>
            <w:tcW w:w="860" w:type="dxa"/>
            <w:vAlign w:val="bottom"/>
            <w:shd w:val="clear" w:color="auto" w:fill="F2F2F2"/>
          </w:tcPr>
          <w:p>
            <w:pPr>
              <w:spacing w:after="0"/>
              <w:rPr>
                <w:sz w:val="18"/>
                <w:szCs w:val="18"/>
                <w:color w:val="auto"/>
              </w:rPr>
            </w:pPr>
          </w:p>
        </w:tc>
        <w:tc>
          <w:tcPr>
            <w:tcW w:w="90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40" w:type="dxa"/>
            <w:vAlign w:val="bottom"/>
            <w:shd w:val="clear" w:color="auto" w:fill="F2F2F2"/>
          </w:tcPr>
          <w:p>
            <w:pPr>
              <w:spacing w:after="0"/>
              <w:rPr>
                <w:sz w:val="12"/>
                <w:szCs w:val="12"/>
                <w:color w:val="auto"/>
              </w:rPr>
            </w:pPr>
          </w:p>
        </w:tc>
        <w:tc>
          <w:tcPr>
            <w:tcW w:w="8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2025 SVA</w:t>
            </w:r>
          </w:p>
        </w:tc>
        <w:tc>
          <w:tcPr>
            <w:tcW w:w="160" w:type="dxa"/>
            <w:vAlign w:val="bottom"/>
            <w:shd w:val="clear" w:color="auto" w:fill="F2F2F2"/>
          </w:tcPr>
          <w:p>
            <w:pPr>
              <w:jc w:val="right"/>
              <w:ind w:right="34"/>
              <w:spacing w:after="0"/>
              <w:rPr>
                <w:sz w:val="20"/>
                <w:szCs w:val="20"/>
                <w:color w:val="auto"/>
              </w:rPr>
            </w:pPr>
            <w:r>
              <w:rPr>
                <w:rFonts w:ascii="Arial" w:cs="Arial" w:eastAsia="Arial" w:hAnsi="Arial"/>
                <w:sz w:val="9"/>
                <w:szCs w:val="9"/>
                <w:color w:val="auto"/>
              </w:rPr>
              <w:t>4</w:t>
            </w:r>
          </w:p>
        </w:tc>
        <w:tc>
          <w:tcPr>
            <w:tcW w:w="920" w:type="dxa"/>
            <w:vAlign w:val="bottom"/>
            <w:vMerge w:val="restart"/>
            <w:shd w:val="clear" w:color="auto" w:fill="F2F2F2"/>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660" w:type="dxa"/>
            <w:vAlign w:val="bottom"/>
            <w:gridSpan w:val="2"/>
            <w:vMerge w:val="restart"/>
            <w:shd w:val="clear" w:color="auto" w:fill="F2F2F2"/>
          </w:tcPr>
          <w:p>
            <w:pPr>
              <w:jc w:val="right"/>
              <w:ind w:right="120"/>
              <w:spacing w:after="0"/>
              <w:rPr>
                <w:sz w:val="20"/>
                <w:szCs w:val="20"/>
                <w:color w:val="auto"/>
              </w:rPr>
            </w:pPr>
            <w:r>
              <w:rPr>
                <w:rFonts w:ascii="Arial" w:cs="Arial" w:eastAsia="Arial" w:hAnsi="Arial"/>
                <w:sz w:val="14"/>
                <w:szCs w:val="14"/>
                <w:color w:val="auto"/>
              </w:rPr>
              <w:t>5,521.547</w:t>
            </w:r>
          </w:p>
        </w:tc>
        <w:tc>
          <w:tcPr>
            <w:tcW w:w="88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11,043.093</w:t>
            </w:r>
          </w:p>
        </w:tc>
        <w:tc>
          <w:tcPr>
            <w:tcW w:w="860" w:type="dxa"/>
            <w:vAlign w:val="bottom"/>
            <w:vMerge w:val="restart"/>
            <w:shd w:val="clear" w:color="auto" w:fill="F2F2F2"/>
          </w:tcPr>
          <w:p>
            <w:pPr>
              <w:jc w:val="right"/>
              <w:ind w:right="28"/>
              <w:spacing w:after="0"/>
              <w:rPr>
                <w:sz w:val="20"/>
                <w:szCs w:val="20"/>
                <w:color w:val="auto"/>
              </w:rPr>
            </w:pPr>
            <w:r>
              <w:rPr>
                <w:rFonts w:ascii="Arial" w:cs="Arial" w:eastAsia="Arial" w:hAnsi="Arial"/>
                <w:sz w:val="14"/>
                <w:szCs w:val="14"/>
                <w:color w:val="auto"/>
              </w:rPr>
              <w:t>22,086.186</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$11,662,500</w:t>
            </w:r>
          </w:p>
        </w:tc>
        <w:tc>
          <w:tcPr>
            <w:tcW w:w="0" w:type="dxa"/>
            <w:vAlign w:val="bottom"/>
          </w:tcPr>
          <w:p>
            <w:pPr>
              <w:spacing w:after="0"/>
              <w:rPr>
                <w:sz w:val="1"/>
                <w:szCs w:val="1"/>
                <w:color w:val="auto"/>
              </w:rPr>
            </w:pPr>
          </w:p>
        </w:tc>
      </w:tr>
      <w:tr>
        <w:trPr>
          <w:trHeight w:val="110"/>
        </w:trPr>
        <w:tc>
          <w:tcPr>
            <w:tcW w:w="140" w:type="dxa"/>
            <w:vAlign w:val="bottom"/>
            <w:shd w:val="clear" w:color="auto" w:fill="F2F2F2"/>
          </w:tcPr>
          <w:p>
            <w:pPr>
              <w:spacing w:after="0"/>
              <w:rPr>
                <w:sz w:val="9"/>
                <w:szCs w:val="9"/>
                <w:color w:val="auto"/>
              </w:rPr>
            </w:pPr>
          </w:p>
        </w:tc>
        <w:tc>
          <w:tcPr>
            <w:tcW w:w="840" w:type="dxa"/>
            <w:vAlign w:val="bottom"/>
            <w:vMerge w:val="continue"/>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920" w:type="dxa"/>
            <w:vAlign w:val="bottom"/>
            <w:vMerge w:val="continue"/>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740" w:type="dxa"/>
            <w:vAlign w:val="bottom"/>
            <w:shd w:val="clear" w:color="auto" w:fill="F2F2F2"/>
          </w:tcPr>
          <w:p>
            <w:pPr>
              <w:spacing w:after="0"/>
              <w:rPr>
                <w:sz w:val="9"/>
                <w:szCs w:val="9"/>
                <w:color w:val="auto"/>
              </w:rPr>
            </w:pPr>
          </w:p>
        </w:tc>
        <w:tc>
          <w:tcPr>
            <w:tcW w:w="840" w:type="dxa"/>
            <w:vAlign w:val="bottom"/>
            <w:shd w:val="clear" w:color="auto" w:fill="F2F2F2"/>
          </w:tcPr>
          <w:p>
            <w:pPr>
              <w:spacing w:after="0"/>
              <w:rPr>
                <w:sz w:val="9"/>
                <w:szCs w:val="9"/>
                <w:color w:val="auto"/>
              </w:rPr>
            </w:pPr>
          </w:p>
        </w:tc>
        <w:tc>
          <w:tcPr>
            <w:tcW w:w="1660" w:type="dxa"/>
            <w:vAlign w:val="bottom"/>
            <w:gridSpan w:val="2"/>
            <w:vMerge w:val="continue"/>
            <w:shd w:val="clear" w:color="auto" w:fill="F2F2F2"/>
          </w:tcPr>
          <w:p>
            <w:pPr>
              <w:spacing w:after="0"/>
              <w:rPr>
                <w:sz w:val="9"/>
                <w:szCs w:val="9"/>
                <w:color w:val="auto"/>
              </w:rPr>
            </w:pPr>
          </w:p>
        </w:tc>
        <w:tc>
          <w:tcPr>
            <w:tcW w:w="880" w:type="dxa"/>
            <w:vAlign w:val="bottom"/>
            <w:vMerge w:val="continue"/>
            <w:shd w:val="clear" w:color="auto" w:fill="F2F2F2"/>
          </w:tcPr>
          <w:p>
            <w:pPr>
              <w:spacing w:after="0"/>
              <w:rPr>
                <w:sz w:val="9"/>
                <w:szCs w:val="9"/>
                <w:color w:val="auto"/>
              </w:rPr>
            </w:pPr>
          </w:p>
        </w:tc>
        <w:tc>
          <w:tcPr>
            <w:tcW w:w="860" w:type="dxa"/>
            <w:vAlign w:val="bottom"/>
            <w:vMerge w:val="continue"/>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0" w:type="dxa"/>
            <w:vAlign w:val="bottom"/>
            <w:shd w:val="clear" w:color="auto" w:fill="F2F2F2"/>
          </w:tcPr>
          <w:p>
            <w:pPr>
              <w:spacing w:after="0"/>
              <w:rPr>
                <w:sz w:val="12"/>
                <w:szCs w:val="12"/>
                <w:color w:val="auto"/>
              </w:rPr>
            </w:pPr>
          </w:p>
        </w:tc>
        <w:tc>
          <w:tcPr>
            <w:tcW w:w="8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2025 RVA</w:t>
            </w:r>
          </w:p>
        </w:tc>
        <w:tc>
          <w:tcPr>
            <w:tcW w:w="160" w:type="dxa"/>
            <w:vAlign w:val="bottom"/>
            <w:shd w:val="clear" w:color="auto" w:fill="F2F2F2"/>
          </w:tcPr>
          <w:p>
            <w:pPr>
              <w:jc w:val="right"/>
              <w:ind w:right="34"/>
              <w:spacing w:after="0"/>
              <w:rPr>
                <w:sz w:val="20"/>
                <w:szCs w:val="20"/>
                <w:color w:val="auto"/>
              </w:rPr>
            </w:pPr>
            <w:r>
              <w:rPr>
                <w:rFonts w:ascii="Arial" w:cs="Arial" w:eastAsia="Arial" w:hAnsi="Arial"/>
                <w:sz w:val="9"/>
                <w:szCs w:val="9"/>
                <w:color w:val="auto"/>
              </w:rPr>
              <w:t>5</w:t>
            </w:r>
          </w:p>
        </w:tc>
        <w:tc>
          <w:tcPr>
            <w:tcW w:w="920" w:type="dxa"/>
            <w:vAlign w:val="bottom"/>
            <w:vMerge w:val="restart"/>
            <w:shd w:val="clear" w:color="auto" w:fill="F2F2F2"/>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660" w:type="dxa"/>
            <w:vAlign w:val="bottom"/>
            <w:gridSpan w:val="2"/>
            <w:vMerge w:val="restart"/>
            <w:shd w:val="clear" w:color="auto" w:fill="F2F2F2"/>
          </w:tcPr>
          <w:p>
            <w:pPr>
              <w:jc w:val="right"/>
              <w:ind w:right="120"/>
              <w:spacing w:after="0"/>
              <w:rPr>
                <w:sz w:val="20"/>
                <w:szCs w:val="20"/>
                <w:color w:val="auto"/>
              </w:rPr>
            </w:pPr>
            <w:r>
              <w:rPr>
                <w:rFonts w:ascii="Arial" w:cs="Arial" w:eastAsia="Arial" w:hAnsi="Arial"/>
                <w:sz w:val="14"/>
                <w:szCs w:val="14"/>
                <w:color w:val="auto"/>
              </w:rPr>
              <w:t>5,049.139</w:t>
            </w:r>
          </w:p>
        </w:tc>
        <w:tc>
          <w:tcPr>
            <w:tcW w:w="88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10,098.277</w:t>
            </w:r>
          </w:p>
        </w:tc>
        <w:tc>
          <w:tcPr>
            <w:tcW w:w="860" w:type="dxa"/>
            <w:vAlign w:val="bottom"/>
            <w:vMerge w:val="restart"/>
            <w:shd w:val="clear" w:color="auto" w:fill="F2F2F2"/>
          </w:tcPr>
          <w:p>
            <w:pPr>
              <w:jc w:val="right"/>
              <w:ind w:right="28"/>
              <w:spacing w:after="0"/>
              <w:rPr>
                <w:sz w:val="20"/>
                <w:szCs w:val="20"/>
                <w:color w:val="auto"/>
              </w:rPr>
            </w:pPr>
            <w:r>
              <w:rPr>
                <w:rFonts w:ascii="Arial" w:cs="Arial" w:eastAsia="Arial" w:hAnsi="Arial"/>
                <w:sz w:val="14"/>
                <w:szCs w:val="14"/>
                <w:color w:val="auto"/>
              </w:rPr>
              <w:t>20,196.554</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$11,662,500</w:t>
            </w:r>
          </w:p>
        </w:tc>
        <w:tc>
          <w:tcPr>
            <w:tcW w:w="0" w:type="dxa"/>
            <w:vAlign w:val="bottom"/>
          </w:tcPr>
          <w:p>
            <w:pPr>
              <w:spacing w:after="0"/>
              <w:rPr>
                <w:sz w:val="1"/>
                <w:szCs w:val="1"/>
                <w:color w:val="auto"/>
              </w:rPr>
            </w:pPr>
          </w:p>
        </w:tc>
      </w:tr>
      <w:tr>
        <w:trPr>
          <w:trHeight w:val="110"/>
        </w:trPr>
        <w:tc>
          <w:tcPr>
            <w:tcW w:w="140" w:type="dxa"/>
            <w:vAlign w:val="bottom"/>
            <w:shd w:val="clear" w:color="auto" w:fill="F2F2F2"/>
          </w:tcPr>
          <w:p>
            <w:pPr>
              <w:spacing w:after="0"/>
              <w:rPr>
                <w:sz w:val="9"/>
                <w:szCs w:val="9"/>
                <w:color w:val="auto"/>
              </w:rPr>
            </w:pPr>
          </w:p>
        </w:tc>
        <w:tc>
          <w:tcPr>
            <w:tcW w:w="840" w:type="dxa"/>
            <w:vAlign w:val="bottom"/>
            <w:vMerge w:val="continue"/>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920" w:type="dxa"/>
            <w:vAlign w:val="bottom"/>
            <w:vMerge w:val="continue"/>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740" w:type="dxa"/>
            <w:vAlign w:val="bottom"/>
            <w:shd w:val="clear" w:color="auto" w:fill="F2F2F2"/>
          </w:tcPr>
          <w:p>
            <w:pPr>
              <w:spacing w:after="0"/>
              <w:rPr>
                <w:sz w:val="9"/>
                <w:szCs w:val="9"/>
                <w:color w:val="auto"/>
              </w:rPr>
            </w:pPr>
          </w:p>
        </w:tc>
        <w:tc>
          <w:tcPr>
            <w:tcW w:w="840" w:type="dxa"/>
            <w:vAlign w:val="bottom"/>
            <w:shd w:val="clear" w:color="auto" w:fill="F2F2F2"/>
          </w:tcPr>
          <w:p>
            <w:pPr>
              <w:spacing w:after="0"/>
              <w:rPr>
                <w:sz w:val="9"/>
                <w:szCs w:val="9"/>
                <w:color w:val="auto"/>
              </w:rPr>
            </w:pPr>
          </w:p>
        </w:tc>
        <w:tc>
          <w:tcPr>
            <w:tcW w:w="1660" w:type="dxa"/>
            <w:vAlign w:val="bottom"/>
            <w:gridSpan w:val="2"/>
            <w:vMerge w:val="continue"/>
            <w:shd w:val="clear" w:color="auto" w:fill="F2F2F2"/>
          </w:tcPr>
          <w:p>
            <w:pPr>
              <w:spacing w:after="0"/>
              <w:rPr>
                <w:sz w:val="9"/>
                <w:szCs w:val="9"/>
                <w:color w:val="auto"/>
              </w:rPr>
            </w:pPr>
          </w:p>
        </w:tc>
        <w:tc>
          <w:tcPr>
            <w:tcW w:w="880" w:type="dxa"/>
            <w:vAlign w:val="bottom"/>
            <w:vMerge w:val="continue"/>
            <w:shd w:val="clear" w:color="auto" w:fill="F2F2F2"/>
          </w:tcPr>
          <w:p>
            <w:pPr>
              <w:spacing w:after="0"/>
              <w:rPr>
                <w:sz w:val="9"/>
                <w:szCs w:val="9"/>
                <w:color w:val="auto"/>
              </w:rPr>
            </w:pPr>
          </w:p>
        </w:tc>
        <w:tc>
          <w:tcPr>
            <w:tcW w:w="860" w:type="dxa"/>
            <w:vAlign w:val="bottom"/>
            <w:vMerge w:val="continue"/>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1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92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8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88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80" w:type="dxa"/>
            <w:vAlign w:val="bottom"/>
            <w:gridSpan w:val="2"/>
          </w:tcPr>
          <w:p>
            <w:pPr>
              <w:ind w:left="20"/>
              <w:spacing w:after="0"/>
              <w:rPr>
                <w:sz w:val="20"/>
                <w:szCs w:val="20"/>
                <w:color w:val="auto"/>
              </w:rPr>
            </w:pPr>
            <w:r>
              <w:rPr>
                <w:rFonts w:ascii="Arial" w:cs="Arial" w:eastAsia="Arial" w:hAnsi="Arial"/>
                <w:sz w:val="14"/>
                <w:szCs w:val="14"/>
                <w:color w:val="auto"/>
              </w:rPr>
              <w:t>Mr. Montarce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$250,000</w:t>
            </w:r>
          </w:p>
        </w:tc>
        <w:tc>
          <w:tcPr>
            <w:tcW w:w="840" w:type="dxa"/>
            <w:vAlign w:val="bottom"/>
          </w:tcPr>
          <w:p>
            <w:pPr>
              <w:jc w:val="right"/>
              <w:spacing w:after="0"/>
              <w:rPr>
                <w:sz w:val="20"/>
                <w:szCs w:val="20"/>
                <w:color w:val="auto"/>
              </w:rPr>
            </w:pPr>
            <w:r>
              <w:rPr>
                <w:rFonts w:ascii="Arial" w:cs="Arial" w:eastAsia="Arial" w:hAnsi="Arial"/>
                <w:sz w:val="14"/>
                <w:szCs w:val="14"/>
                <w:color w:val="auto"/>
              </w:rPr>
              <w:t>$1,000,000</w:t>
            </w:r>
          </w:p>
        </w:tc>
        <w:tc>
          <w:tcPr>
            <w:tcW w:w="800" w:type="dxa"/>
            <w:vAlign w:val="bottom"/>
          </w:tcPr>
          <w:p>
            <w:pPr>
              <w:jc w:val="right"/>
              <w:spacing w:after="0"/>
              <w:rPr>
                <w:sz w:val="20"/>
                <w:szCs w:val="20"/>
                <w:color w:val="auto"/>
              </w:rPr>
            </w:pPr>
            <w:r>
              <w:rPr>
                <w:rFonts w:ascii="Arial" w:cs="Arial" w:eastAsia="Arial" w:hAnsi="Arial"/>
                <w:sz w:val="14"/>
                <w:szCs w:val="14"/>
                <w:color w:val="auto"/>
              </w:rPr>
              <w:t>$2,500,000</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2025 SVA</w:t>
            </w:r>
          </w:p>
        </w:tc>
        <w:tc>
          <w:tcPr>
            <w:tcW w:w="160" w:type="dxa"/>
            <w:vAlign w:val="bottom"/>
          </w:tcPr>
          <w:p>
            <w:pPr>
              <w:jc w:val="right"/>
              <w:ind w:right="34"/>
              <w:spacing w:after="0"/>
              <w:rPr>
                <w:sz w:val="20"/>
                <w:szCs w:val="20"/>
                <w:color w:val="auto"/>
              </w:rPr>
            </w:pPr>
            <w:r>
              <w:rPr>
                <w:rFonts w:ascii="Arial" w:cs="Arial" w:eastAsia="Arial" w:hAnsi="Arial"/>
                <w:sz w:val="9"/>
                <w:szCs w:val="9"/>
                <w:color w:val="auto"/>
              </w:rPr>
              <w:t>4</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1,183.611</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2,367.222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4,734.444</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$2,500,000</w:t>
            </w: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2025 RVA</w:t>
            </w:r>
          </w:p>
        </w:tc>
        <w:tc>
          <w:tcPr>
            <w:tcW w:w="160" w:type="dxa"/>
            <w:vAlign w:val="bottom"/>
          </w:tcPr>
          <w:p>
            <w:pPr>
              <w:jc w:val="right"/>
              <w:ind w:right="34"/>
              <w:spacing w:after="0"/>
              <w:rPr>
                <w:sz w:val="20"/>
                <w:szCs w:val="20"/>
                <w:color w:val="auto"/>
              </w:rPr>
            </w:pPr>
            <w:r>
              <w:rPr>
                <w:rFonts w:ascii="Arial" w:cs="Arial" w:eastAsia="Arial" w:hAnsi="Arial"/>
                <w:sz w:val="9"/>
                <w:szCs w:val="9"/>
                <w:color w:val="auto"/>
              </w:rPr>
              <w:t>5</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1,082.345</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2,164.690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4,329.380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$2,500,000</w:t>
            </w: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9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Dr.</w:t>
            </w:r>
          </w:p>
        </w:tc>
        <w:tc>
          <w:tcPr>
            <w:tcW w:w="160" w:type="dxa"/>
            <w:vAlign w:val="bottom"/>
            <w:shd w:val="clear" w:color="auto" w:fill="F2F2F2"/>
          </w:tcPr>
          <w:p>
            <w:pPr>
              <w:spacing w:after="0"/>
              <w:rPr>
                <w:sz w:val="16"/>
                <w:szCs w:val="16"/>
                <w:color w:val="auto"/>
              </w:rPr>
            </w:pPr>
          </w:p>
        </w:tc>
        <w:tc>
          <w:tcPr>
            <w:tcW w:w="92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Skovronsky</w:t>
            </w:r>
          </w:p>
        </w:tc>
        <w:tc>
          <w:tcPr>
            <w:tcW w:w="160" w:type="dxa"/>
            <w:vAlign w:val="bottom"/>
            <w:shd w:val="clear" w:color="auto" w:fill="F2F2F2"/>
          </w:tcPr>
          <w:p>
            <w:pPr>
              <w:spacing w:after="0"/>
              <w:rPr>
                <w:sz w:val="16"/>
                <w:szCs w:val="16"/>
                <w:color w:val="auto"/>
              </w:rPr>
            </w:pPr>
          </w:p>
        </w:tc>
        <w:tc>
          <w:tcPr>
            <w:tcW w:w="92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7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$372,596</w:t>
            </w:r>
          </w:p>
        </w:tc>
        <w:tc>
          <w:tcPr>
            <w:tcW w:w="8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$1,490,385</w:t>
            </w:r>
          </w:p>
        </w:tc>
        <w:tc>
          <w:tcPr>
            <w:tcW w:w="8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$3,725,963</w:t>
            </w:r>
          </w:p>
        </w:tc>
        <w:tc>
          <w:tcPr>
            <w:tcW w:w="8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0" w:type="dxa"/>
            <w:vAlign w:val="bottom"/>
            <w:shd w:val="clear" w:color="auto" w:fill="F2F2F2"/>
          </w:tcPr>
          <w:p>
            <w:pPr>
              <w:spacing w:after="0"/>
              <w:rPr>
                <w:sz w:val="14"/>
                <w:szCs w:val="14"/>
                <w:color w:val="auto"/>
              </w:rPr>
            </w:pPr>
          </w:p>
        </w:tc>
        <w:tc>
          <w:tcPr>
            <w:tcW w:w="8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2025 SVA</w:t>
            </w:r>
          </w:p>
        </w:tc>
        <w:tc>
          <w:tcPr>
            <w:tcW w:w="160" w:type="dxa"/>
            <w:vAlign w:val="bottom"/>
            <w:shd w:val="clear" w:color="auto" w:fill="F2F2F2"/>
          </w:tcPr>
          <w:p>
            <w:pPr>
              <w:jc w:val="right"/>
              <w:ind w:right="54"/>
              <w:spacing w:after="0"/>
              <w:rPr>
                <w:sz w:val="20"/>
                <w:szCs w:val="20"/>
                <w:color w:val="auto"/>
              </w:rPr>
            </w:pPr>
            <w:r>
              <w:rPr>
                <w:rFonts w:ascii="Arial" w:cs="Arial" w:eastAsia="Arial" w:hAnsi="Arial"/>
                <w:sz w:val="9"/>
                <w:szCs w:val="9"/>
                <w:color w:val="auto"/>
                <w:w w:val="78"/>
              </w:rPr>
              <w:t>4</w:t>
            </w:r>
          </w:p>
        </w:tc>
        <w:tc>
          <w:tcPr>
            <w:tcW w:w="920" w:type="dxa"/>
            <w:vAlign w:val="bottom"/>
            <w:vMerge w:val="restart"/>
            <w:shd w:val="clear" w:color="auto" w:fill="F2F2F2"/>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1660" w:type="dxa"/>
            <w:vAlign w:val="bottom"/>
            <w:gridSpan w:val="2"/>
            <w:vMerge w:val="restart"/>
            <w:shd w:val="clear" w:color="auto" w:fill="F2F2F2"/>
          </w:tcPr>
          <w:p>
            <w:pPr>
              <w:jc w:val="right"/>
              <w:ind w:right="60"/>
              <w:spacing w:after="0"/>
              <w:rPr>
                <w:sz w:val="20"/>
                <w:szCs w:val="20"/>
                <w:color w:val="auto"/>
              </w:rPr>
            </w:pPr>
            <w:r>
              <w:rPr>
                <w:rFonts w:ascii="Arial" w:cs="Arial" w:eastAsia="Arial" w:hAnsi="Arial"/>
                <w:sz w:val="14"/>
                <w:szCs w:val="14"/>
                <w:color w:val="auto"/>
              </w:rPr>
              <w:t>2,840.667</w:t>
            </w:r>
          </w:p>
        </w:tc>
        <w:tc>
          <w:tcPr>
            <w:tcW w:w="8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5,681.334</w:t>
            </w:r>
          </w:p>
        </w:tc>
        <w:tc>
          <w:tcPr>
            <w:tcW w:w="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11,362.668</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$6,000,000</w:t>
            </w:r>
          </w:p>
        </w:tc>
        <w:tc>
          <w:tcPr>
            <w:tcW w:w="0" w:type="dxa"/>
            <w:vAlign w:val="bottom"/>
          </w:tcPr>
          <w:p>
            <w:pPr>
              <w:spacing w:after="0"/>
              <w:rPr>
                <w:sz w:val="1"/>
                <w:szCs w:val="1"/>
                <w:color w:val="auto"/>
              </w:rPr>
            </w:pPr>
          </w:p>
        </w:tc>
      </w:tr>
      <w:tr>
        <w:trPr>
          <w:trHeight w:val="85"/>
        </w:trPr>
        <w:tc>
          <w:tcPr>
            <w:tcW w:w="140" w:type="dxa"/>
            <w:vAlign w:val="bottom"/>
            <w:shd w:val="clear" w:color="auto" w:fill="F2F2F2"/>
          </w:tcPr>
          <w:p>
            <w:pPr>
              <w:spacing w:after="0"/>
              <w:rPr>
                <w:sz w:val="7"/>
                <w:szCs w:val="7"/>
                <w:color w:val="auto"/>
              </w:rPr>
            </w:pPr>
          </w:p>
        </w:tc>
        <w:tc>
          <w:tcPr>
            <w:tcW w:w="840" w:type="dxa"/>
            <w:vAlign w:val="bottom"/>
            <w:vMerge w:val="continue"/>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920" w:type="dxa"/>
            <w:vAlign w:val="bottom"/>
            <w:vMerge w:val="continue"/>
            <w:shd w:val="clear" w:color="auto" w:fill="F2F2F2"/>
          </w:tcPr>
          <w:p>
            <w:pPr>
              <w:spacing w:after="0"/>
              <w:rPr>
                <w:sz w:val="7"/>
                <w:szCs w:val="7"/>
                <w:color w:val="auto"/>
              </w:rPr>
            </w:pPr>
          </w:p>
        </w:tc>
        <w:tc>
          <w:tcPr>
            <w:tcW w:w="900" w:type="dxa"/>
            <w:vAlign w:val="bottom"/>
            <w:vMerge w:val="continue"/>
            <w:shd w:val="clear" w:color="auto" w:fill="F2F2F2"/>
          </w:tcPr>
          <w:p>
            <w:pPr>
              <w:spacing w:after="0"/>
              <w:rPr>
                <w:sz w:val="7"/>
                <w:szCs w:val="7"/>
                <w:color w:val="auto"/>
              </w:rPr>
            </w:pPr>
          </w:p>
        </w:tc>
        <w:tc>
          <w:tcPr>
            <w:tcW w:w="740" w:type="dxa"/>
            <w:vAlign w:val="bottom"/>
            <w:shd w:val="clear" w:color="auto" w:fill="F2F2F2"/>
          </w:tcPr>
          <w:p>
            <w:pPr>
              <w:spacing w:after="0"/>
              <w:rPr>
                <w:sz w:val="7"/>
                <w:szCs w:val="7"/>
                <w:color w:val="auto"/>
              </w:rPr>
            </w:pPr>
          </w:p>
        </w:tc>
        <w:tc>
          <w:tcPr>
            <w:tcW w:w="840" w:type="dxa"/>
            <w:vAlign w:val="bottom"/>
            <w:shd w:val="clear" w:color="auto" w:fill="F2F2F2"/>
          </w:tcPr>
          <w:p>
            <w:pPr>
              <w:spacing w:after="0"/>
              <w:rPr>
                <w:sz w:val="7"/>
                <w:szCs w:val="7"/>
                <w:color w:val="auto"/>
              </w:rPr>
            </w:pPr>
          </w:p>
        </w:tc>
        <w:tc>
          <w:tcPr>
            <w:tcW w:w="1660" w:type="dxa"/>
            <w:vAlign w:val="bottom"/>
            <w:gridSpan w:val="2"/>
            <w:vMerge w:val="continue"/>
            <w:shd w:val="clear" w:color="auto" w:fill="F2F2F2"/>
          </w:tcPr>
          <w:p>
            <w:pPr>
              <w:spacing w:after="0"/>
              <w:rPr>
                <w:sz w:val="7"/>
                <w:szCs w:val="7"/>
                <w:color w:val="auto"/>
              </w:rPr>
            </w:pPr>
          </w:p>
        </w:tc>
        <w:tc>
          <w:tcPr>
            <w:tcW w:w="880" w:type="dxa"/>
            <w:vAlign w:val="bottom"/>
            <w:vMerge w:val="continue"/>
            <w:shd w:val="clear" w:color="auto" w:fill="F2F2F2"/>
          </w:tcPr>
          <w:p>
            <w:pPr>
              <w:spacing w:after="0"/>
              <w:rPr>
                <w:sz w:val="7"/>
                <w:szCs w:val="7"/>
                <w:color w:val="auto"/>
              </w:rPr>
            </w:pPr>
          </w:p>
        </w:tc>
        <w:tc>
          <w:tcPr>
            <w:tcW w:w="860" w:type="dxa"/>
            <w:vAlign w:val="bottom"/>
            <w:vMerge w:val="continue"/>
            <w:shd w:val="clear" w:color="auto" w:fill="F2F2F2"/>
          </w:tcPr>
          <w:p>
            <w:pPr>
              <w:spacing w:after="0"/>
              <w:rPr>
                <w:sz w:val="7"/>
                <w:szCs w:val="7"/>
                <w:color w:val="auto"/>
              </w:rPr>
            </w:pPr>
          </w:p>
        </w:tc>
        <w:tc>
          <w:tcPr>
            <w:tcW w:w="90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40" w:type="dxa"/>
            <w:vAlign w:val="bottom"/>
            <w:shd w:val="clear" w:color="auto" w:fill="F2F2F2"/>
          </w:tcPr>
          <w:p>
            <w:pPr>
              <w:spacing w:after="0"/>
              <w:rPr>
                <w:sz w:val="14"/>
                <w:szCs w:val="14"/>
                <w:color w:val="auto"/>
              </w:rPr>
            </w:pPr>
          </w:p>
        </w:tc>
        <w:tc>
          <w:tcPr>
            <w:tcW w:w="8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2025 RVA</w:t>
            </w:r>
          </w:p>
        </w:tc>
        <w:tc>
          <w:tcPr>
            <w:tcW w:w="160" w:type="dxa"/>
            <w:vAlign w:val="bottom"/>
            <w:shd w:val="clear" w:color="auto" w:fill="F2F2F2"/>
          </w:tcPr>
          <w:p>
            <w:pPr>
              <w:jc w:val="right"/>
              <w:ind w:right="54"/>
              <w:spacing w:after="0"/>
              <w:rPr>
                <w:sz w:val="20"/>
                <w:szCs w:val="20"/>
                <w:color w:val="auto"/>
              </w:rPr>
            </w:pPr>
            <w:r>
              <w:rPr>
                <w:rFonts w:ascii="Arial" w:cs="Arial" w:eastAsia="Arial" w:hAnsi="Arial"/>
                <w:sz w:val="9"/>
                <w:szCs w:val="9"/>
                <w:color w:val="auto"/>
                <w:w w:val="78"/>
              </w:rPr>
              <w:t>5</w:t>
            </w:r>
          </w:p>
        </w:tc>
        <w:tc>
          <w:tcPr>
            <w:tcW w:w="920" w:type="dxa"/>
            <w:vAlign w:val="bottom"/>
            <w:vMerge w:val="restart"/>
            <w:shd w:val="clear" w:color="auto" w:fill="F2F2F2"/>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1660" w:type="dxa"/>
            <w:vAlign w:val="bottom"/>
            <w:gridSpan w:val="2"/>
            <w:vMerge w:val="restart"/>
            <w:shd w:val="clear" w:color="auto" w:fill="F2F2F2"/>
          </w:tcPr>
          <w:p>
            <w:pPr>
              <w:jc w:val="right"/>
              <w:ind w:right="60"/>
              <w:spacing w:after="0"/>
              <w:rPr>
                <w:sz w:val="20"/>
                <w:szCs w:val="20"/>
                <w:color w:val="auto"/>
              </w:rPr>
            </w:pPr>
            <w:r>
              <w:rPr>
                <w:rFonts w:ascii="Arial" w:cs="Arial" w:eastAsia="Arial" w:hAnsi="Arial"/>
                <w:sz w:val="14"/>
                <w:szCs w:val="14"/>
                <w:color w:val="auto"/>
              </w:rPr>
              <w:t>2,597.628</w:t>
            </w:r>
          </w:p>
        </w:tc>
        <w:tc>
          <w:tcPr>
            <w:tcW w:w="8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5,195.255</w:t>
            </w:r>
          </w:p>
        </w:tc>
        <w:tc>
          <w:tcPr>
            <w:tcW w:w="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10,390.510</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$6,000,000</w:t>
            </w:r>
          </w:p>
        </w:tc>
        <w:tc>
          <w:tcPr>
            <w:tcW w:w="0" w:type="dxa"/>
            <w:vAlign w:val="bottom"/>
          </w:tcPr>
          <w:p>
            <w:pPr>
              <w:spacing w:after="0"/>
              <w:rPr>
                <w:sz w:val="1"/>
                <w:szCs w:val="1"/>
                <w:color w:val="auto"/>
              </w:rPr>
            </w:pPr>
          </w:p>
        </w:tc>
      </w:tr>
      <w:tr>
        <w:trPr>
          <w:trHeight w:val="85"/>
        </w:trPr>
        <w:tc>
          <w:tcPr>
            <w:tcW w:w="140" w:type="dxa"/>
            <w:vAlign w:val="bottom"/>
            <w:shd w:val="clear" w:color="auto" w:fill="F2F2F2"/>
          </w:tcPr>
          <w:p>
            <w:pPr>
              <w:spacing w:after="0"/>
              <w:rPr>
                <w:sz w:val="7"/>
                <w:szCs w:val="7"/>
                <w:color w:val="auto"/>
              </w:rPr>
            </w:pPr>
          </w:p>
        </w:tc>
        <w:tc>
          <w:tcPr>
            <w:tcW w:w="840" w:type="dxa"/>
            <w:vAlign w:val="bottom"/>
            <w:vMerge w:val="continue"/>
            <w:shd w:val="clear" w:color="auto" w:fill="F2F2F2"/>
          </w:tcPr>
          <w:p>
            <w:pPr>
              <w:spacing w:after="0"/>
              <w:rPr>
                <w:sz w:val="7"/>
                <w:szCs w:val="7"/>
                <w:color w:val="auto"/>
              </w:rPr>
            </w:pPr>
          </w:p>
        </w:tc>
        <w:tc>
          <w:tcPr>
            <w:tcW w:w="160" w:type="dxa"/>
            <w:vAlign w:val="bottom"/>
            <w:shd w:val="clear" w:color="auto" w:fill="F2F2F2"/>
          </w:tcPr>
          <w:p>
            <w:pPr>
              <w:spacing w:after="0"/>
              <w:rPr>
                <w:sz w:val="7"/>
                <w:szCs w:val="7"/>
                <w:color w:val="auto"/>
              </w:rPr>
            </w:pPr>
          </w:p>
        </w:tc>
        <w:tc>
          <w:tcPr>
            <w:tcW w:w="920" w:type="dxa"/>
            <w:vAlign w:val="bottom"/>
            <w:vMerge w:val="continue"/>
            <w:shd w:val="clear" w:color="auto" w:fill="F2F2F2"/>
          </w:tcPr>
          <w:p>
            <w:pPr>
              <w:spacing w:after="0"/>
              <w:rPr>
                <w:sz w:val="7"/>
                <w:szCs w:val="7"/>
                <w:color w:val="auto"/>
              </w:rPr>
            </w:pPr>
          </w:p>
        </w:tc>
        <w:tc>
          <w:tcPr>
            <w:tcW w:w="900" w:type="dxa"/>
            <w:vAlign w:val="bottom"/>
            <w:vMerge w:val="continue"/>
            <w:shd w:val="clear" w:color="auto" w:fill="F2F2F2"/>
          </w:tcPr>
          <w:p>
            <w:pPr>
              <w:spacing w:after="0"/>
              <w:rPr>
                <w:sz w:val="7"/>
                <w:szCs w:val="7"/>
                <w:color w:val="auto"/>
              </w:rPr>
            </w:pPr>
          </w:p>
        </w:tc>
        <w:tc>
          <w:tcPr>
            <w:tcW w:w="740" w:type="dxa"/>
            <w:vAlign w:val="bottom"/>
            <w:shd w:val="clear" w:color="auto" w:fill="F2F2F2"/>
          </w:tcPr>
          <w:p>
            <w:pPr>
              <w:spacing w:after="0"/>
              <w:rPr>
                <w:sz w:val="7"/>
                <w:szCs w:val="7"/>
                <w:color w:val="auto"/>
              </w:rPr>
            </w:pPr>
          </w:p>
        </w:tc>
        <w:tc>
          <w:tcPr>
            <w:tcW w:w="840" w:type="dxa"/>
            <w:vAlign w:val="bottom"/>
            <w:shd w:val="clear" w:color="auto" w:fill="F2F2F2"/>
          </w:tcPr>
          <w:p>
            <w:pPr>
              <w:spacing w:after="0"/>
              <w:rPr>
                <w:sz w:val="7"/>
                <w:szCs w:val="7"/>
                <w:color w:val="auto"/>
              </w:rPr>
            </w:pPr>
          </w:p>
        </w:tc>
        <w:tc>
          <w:tcPr>
            <w:tcW w:w="1660" w:type="dxa"/>
            <w:vAlign w:val="bottom"/>
            <w:gridSpan w:val="2"/>
            <w:vMerge w:val="continue"/>
            <w:shd w:val="clear" w:color="auto" w:fill="F2F2F2"/>
          </w:tcPr>
          <w:p>
            <w:pPr>
              <w:spacing w:after="0"/>
              <w:rPr>
                <w:sz w:val="7"/>
                <w:szCs w:val="7"/>
                <w:color w:val="auto"/>
              </w:rPr>
            </w:pPr>
          </w:p>
        </w:tc>
        <w:tc>
          <w:tcPr>
            <w:tcW w:w="880" w:type="dxa"/>
            <w:vAlign w:val="bottom"/>
            <w:vMerge w:val="continue"/>
            <w:shd w:val="clear" w:color="auto" w:fill="F2F2F2"/>
          </w:tcPr>
          <w:p>
            <w:pPr>
              <w:spacing w:after="0"/>
              <w:rPr>
                <w:sz w:val="7"/>
                <w:szCs w:val="7"/>
                <w:color w:val="auto"/>
              </w:rPr>
            </w:pPr>
          </w:p>
        </w:tc>
        <w:tc>
          <w:tcPr>
            <w:tcW w:w="860" w:type="dxa"/>
            <w:vAlign w:val="bottom"/>
            <w:vMerge w:val="continue"/>
            <w:shd w:val="clear" w:color="auto" w:fill="F2F2F2"/>
          </w:tcPr>
          <w:p>
            <w:pPr>
              <w:spacing w:after="0"/>
              <w:rPr>
                <w:sz w:val="7"/>
                <w:szCs w:val="7"/>
                <w:color w:val="auto"/>
              </w:rPr>
            </w:pPr>
          </w:p>
        </w:tc>
        <w:tc>
          <w:tcPr>
            <w:tcW w:w="900" w:type="dxa"/>
            <w:vAlign w:val="bottom"/>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1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92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740" w:type="dxa"/>
            <w:vAlign w:val="bottom"/>
            <w:shd w:val="clear" w:color="auto" w:fill="F2F2F2"/>
          </w:tcPr>
          <w:p>
            <w:pPr>
              <w:spacing w:after="0"/>
              <w:rPr>
                <w:sz w:val="24"/>
                <w:szCs w:val="24"/>
                <w:color w:val="auto"/>
              </w:rPr>
            </w:pPr>
          </w:p>
        </w:tc>
        <w:tc>
          <w:tcPr>
            <w:tcW w:w="840" w:type="dxa"/>
            <w:vAlign w:val="bottom"/>
            <w:shd w:val="clear" w:color="auto" w:fill="F2F2F2"/>
          </w:tcPr>
          <w:p>
            <w:pPr>
              <w:spacing w:after="0"/>
              <w:rPr>
                <w:sz w:val="24"/>
                <w:szCs w:val="24"/>
                <w:color w:val="auto"/>
              </w:rPr>
            </w:pPr>
          </w:p>
        </w:tc>
        <w:tc>
          <w:tcPr>
            <w:tcW w:w="80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880" w:type="dxa"/>
            <w:vAlign w:val="bottom"/>
            <w:shd w:val="clear" w:color="auto" w:fill="F2F2F2"/>
          </w:tcPr>
          <w:p>
            <w:pPr>
              <w:spacing w:after="0"/>
              <w:rPr>
                <w:sz w:val="24"/>
                <w:szCs w:val="24"/>
                <w:color w:val="auto"/>
              </w:rPr>
            </w:pPr>
          </w:p>
        </w:tc>
        <w:tc>
          <w:tcPr>
            <w:tcW w:w="860" w:type="dxa"/>
            <w:vAlign w:val="bottom"/>
            <w:shd w:val="clear" w:color="auto" w:fill="F2F2F2"/>
          </w:tcPr>
          <w:p>
            <w:pPr>
              <w:spacing w:after="0"/>
              <w:rPr>
                <w:sz w:val="24"/>
                <w:szCs w:val="24"/>
                <w:color w:val="auto"/>
              </w:rPr>
            </w:pPr>
          </w:p>
        </w:tc>
        <w:tc>
          <w:tcPr>
            <w:tcW w:w="9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80" w:type="dxa"/>
            <w:vAlign w:val="bottom"/>
            <w:gridSpan w:val="2"/>
          </w:tcPr>
          <w:p>
            <w:pPr>
              <w:ind w:left="20"/>
              <w:spacing w:after="0"/>
              <w:rPr>
                <w:sz w:val="20"/>
                <w:szCs w:val="20"/>
                <w:color w:val="auto"/>
              </w:rPr>
            </w:pPr>
            <w:r>
              <w:rPr>
                <w:rFonts w:ascii="Arial" w:cs="Arial" w:eastAsia="Arial" w:hAnsi="Arial"/>
                <w:sz w:val="14"/>
                <w:szCs w:val="14"/>
                <w:color w:val="auto"/>
              </w:rPr>
              <w:t>Ms. Hakim</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$250,000</w:t>
            </w:r>
          </w:p>
        </w:tc>
        <w:tc>
          <w:tcPr>
            <w:tcW w:w="840" w:type="dxa"/>
            <w:vAlign w:val="bottom"/>
          </w:tcPr>
          <w:p>
            <w:pPr>
              <w:jc w:val="right"/>
              <w:spacing w:after="0"/>
              <w:rPr>
                <w:sz w:val="20"/>
                <w:szCs w:val="20"/>
                <w:color w:val="auto"/>
              </w:rPr>
            </w:pPr>
            <w:r>
              <w:rPr>
                <w:rFonts w:ascii="Arial" w:cs="Arial" w:eastAsia="Arial" w:hAnsi="Arial"/>
                <w:sz w:val="14"/>
                <w:szCs w:val="14"/>
                <w:color w:val="auto"/>
              </w:rPr>
              <w:t>$1,000,000</w:t>
            </w:r>
          </w:p>
        </w:tc>
        <w:tc>
          <w:tcPr>
            <w:tcW w:w="800" w:type="dxa"/>
            <w:vAlign w:val="bottom"/>
          </w:tcPr>
          <w:p>
            <w:pPr>
              <w:jc w:val="right"/>
              <w:spacing w:after="0"/>
              <w:rPr>
                <w:sz w:val="20"/>
                <w:szCs w:val="20"/>
                <w:color w:val="auto"/>
              </w:rPr>
            </w:pPr>
            <w:r>
              <w:rPr>
                <w:rFonts w:ascii="Arial" w:cs="Arial" w:eastAsia="Arial" w:hAnsi="Arial"/>
                <w:sz w:val="14"/>
                <w:szCs w:val="14"/>
                <w:color w:val="auto"/>
              </w:rPr>
              <w:t>$2,500,000</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2025 SVA</w:t>
            </w:r>
          </w:p>
        </w:tc>
        <w:tc>
          <w:tcPr>
            <w:tcW w:w="160" w:type="dxa"/>
            <w:vAlign w:val="bottom"/>
          </w:tcPr>
          <w:p>
            <w:pPr>
              <w:jc w:val="right"/>
              <w:ind w:right="54"/>
              <w:spacing w:after="0"/>
              <w:rPr>
                <w:sz w:val="20"/>
                <w:szCs w:val="20"/>
                <w:color w:val="auto"/>
              </w:rPr>
            </w:pPr>
            <w:r>
              <w:rPr>
                <w:rFonts w:ascii="Arial" w:cs="Arial" w:eastAsia="Arial" w:hAnsi="Arial"/>
                <w:sz w:val="9"/>
                <w:szCs w:val="9"/>
                <w:color w:val="auto"/>
                <w:w w:val="78"/>
              </w:rPr>
              <w:t>4</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1,420.334</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2,840.667</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5,681.334</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85"/>
        </w:trPr>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2025 RVA</w:t>
            </w:r>
          </w:p>
        </w:tc>
        <w:tc>
          <w:tcPr>
            <w:tcW w:w="160" w:type="dxa"/>
            <w:vAlign w:val="bottom"/>
          </w:tcPr>
          <w:p>
            <w:pPr>
              <w:jc w:val="right"/>
              <w:ind w:right="54"/>
              <w:spacing w:after="0"/>
              <w:rPr>
                <w:sz w:val="20"/>
                <w:szCs w:val="20"/>
                <w:color w:val="auto"/>
              </w:rPr>
            </w:pPr>
            <w:r>
              <w:rPr>
                <w:rFonts w:ascii="Arial" w:cs="Arial" w:eastAsia="Arial" w:hAnsi="Arial"/>
                <w:sz w:val="9"/>
                <w:szCs w:val="9"/>
                <w:color w:val="auto"/>
                <w:w w:val="78"/>
              </w:rPr>
              <w:t>5</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1,298.814</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2,597.628</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5,195.256</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85"/>
        </w:trPr>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9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Van</w:t>
            </w:r>
          </w:p>
        </w:tc>
        <w:tc>
          <w:tcPr>
            <w:tcW w:w="160" w:type="dxa"/>
            <w:vAlign w:val="bottom"/>
            <w:shd w:val="clear" w:color="auto" w:fill="F2F2F2"/>
          </w:tcPr>
          <w:p>
            <w:pPr>
              <w:spacing w:after="0"/>
              <w:rPr>
                <w:sz w:val="16"/>
                <w:szCs w:val="16"/>
                <w:color w:val="auto"/>
              </w:rPr>
            </w:pPr>
          </w:p>
        </w:tc>
        <w:tc>
          <w:tcPr>
            <w:tcW w:w="92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74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80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Naarden</w:t>
            </w:r>
          </w:p>
        </w:tc>
        <w:tc>
          <w:tcPr>
            <w:tcW w:w="160" w:type="dxa"/>
            <w:vAlign w:val="bottom"/>
            <w:shd w:val="clear" w:color="auto" w:fill="F2F2F2"/>
          </w:tcPr>
          <w:p>
            <w:pPr>
              <w:spacing w:after="0"/>
              <w:rPr>
                <w:sz w:val="16"/>
                <w:szCs w:val="16"/>
                <w:color w:val="auto"/>
              </w:rPr>
            </w:pPr>
          </w:p>
        </w:tc>
        <w:tc>
          <w:tcPr>
            <w:tcW w:w="92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7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$230,048</w:t>
            </w:r>
          </w:p>
        </w:tc>
        <w:tc>
          <w:tcPr>
            <w:tcW w:w="8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$920,192</w:t>
            </w:r>
          </w:p>
        </w:tc>
        <w:tc>
          <w:tcPr>
            <w:tcW w:w="8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$2,300,480</w:t>
            </w:r>
          </w:p>
        </w:tc>
        <w:tc>
          <w:tcPr>
            <w:tcW w:w="8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9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40" w:type="dxa"/>
            <w:vAlign w:val="bottom"/>
            <w:shd w:val="clear" w:color="auto" w:fill="F2F2F2"/>
          </w:tcPr>
          <w:p>
            <w:pPr>
              <w:spacing w:after="0"/>
              <w:rPr>
                <w:sz w:val="12"/>
                <w:szCs w:val="12"/>
                <w:color w:val="auto"/>
              </w:rPr>
            </w:pPr>
          </w:p>
        </w:tc>
        <w:tc>
          <w:tcPr>
            <w:tcW w:w="8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2025 SVA</w:t>
            </w:r>
          </w:p>
        </w:tc>
        <w:tc>
          <w:tcPr>
            <w:tcW w:w="160" w:type="dxa"/>
            <w:vAlign w:val="bottom"/>
            <w:shd w:val="clear" w:color="auto" w:fill="F2F2F2"/>
          </w:tcPr>
          <w:p>
            <w:pPr>
              <w:jc w:val="right"/>
              <w:ind w:right="34"/>
              <w:spacing w:after="0"/>
              <w:rPr>
                <w:sz w:val="20"/>
                <w:szCs w:val="20"/>
                <w:color w:val="auto"/>
              </w:rPr>
            </w:pPr>
            <w:r>
              <w:rPr>
                <w:rFonts w:ascii="Arial" w:cs="Arial" w:eastAsia="Arial" w:hAnsi="Arial"/>
                <w:sz w:val="9"/>
                <w:szCs w:val="9"/>
                <w:color w:val="auto"/>
              </w:rPr>
              <w:t>4</w:t>
            </w:r>
          </w:p>
        </w:tc>
        <w:tc>
          <w:tcPr>
            <w:tcW w:w="920" w:type="dxa"/>
            <w:vAlign w:val="bottom"/>
            <w:vMerge w:val="restart"/>
            <w:shd w:val="clear" w:color="auto" w:fill="F2F2F2"/>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660" w:type="dxa"/>
            <w:vAlign w:val="bottom"/>
            <w:gridSpan w:val="2"/>
            <w:vMerge w:val="restart"/>
            <w:shd w:val="clear" w:color="auto" w:fill="F2F2F2"/>
          </w:tcPr>
          <w:p>
            <w:pPr>
              <w:jc w:val="right"/>
              <w:ind w:right="60"/>
              <w:spacing w:after="0"/>
              <w:rPr>
                <w:sz w:val="20"/>
                <w:szCs w:val="20"/>
                <w:color w:val="auto"/>
              </w:rPr>
            </w:pPr>
            <w:r>
              <w:rPr>
                <w:rFonts w:ascii="Arial" w:cs="Arial" w:eastAsia="Arial" w:hAnsi="Arial"/>
                <w:sz w:val="14"/>
                <w:szCs w:val="14"/>
                <w:color w:val="auto"/>
              </w:rPr>
              <w:t>1,065.250</w:t>
            </w:r>
          </w:p>
        </w:tc>
        <w:tc>
          <w:tcPr>
            <w:tcW w:w="8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2,130.500</w:t>
            </w:r>
          </w:p>
        </w:tc>
        <w:tc>
          <w:tcPr>
            <w:tcW w:w="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4,261.000</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$2,250,000</w:t>
            </w:r>
          </w:p>
        </w:tc>
        <w:tc>
          <w:tcPr>
            <w:tcW w:w="0" w:type="dxa"/>
            <w:vAlign w:val="bottom"/>
          </w:tcPr>
          <w:p>
            <w:pPr>
              <w:spacing w:after="0"/>
              <w:rPr>
                <w:sz w:val="1"/>
                <w:szCs w:val="1"/>
                <w:color w:val="auto"/>
              </w:rPr>
            </w:pPr>
          </w:p>
        </w:tc>
      </w:tr>
      <w:tr>
        <w:trPr>
          <w:trHeight w:val="110"/>
        </w:trPr>
        <w:tc>
          <w:tcPr>
            <w:tcW w:w="140" w:type="dxa"/>
            <w:vAlign w:val="bottom"/>
            <w:shd w:val="clear" w:color="auto" w:fill="F2F2F2"/>
          </w:tcPr>
          <w:p>
            <w:pPr>
              <w:spacing w:after="0"/>
              <w:rPr>
                <w:sz w:val="9"/>
                <w:szCs w:val="9"/>
                <w:color w:val="auto"/>
              </w:rPr>
            </w:pPr>
          </w:p>
        </w:tc>
        <w:tc>
          <w:tcPr>
            <w:tcW w:w="840" w:type="dxa"/>
            <w:vAlign w:val="bottom"/>
            <w:vMerge w:val="continue"/>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920" w:type="dxa"/>
            <w:vAlign w:val="bottom"/>
            <w:vMerge w:val="continue"/>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740" w:type="dxa"/>
            <w:vAlign w:val="bottom"/>
            <w:shd w:val="clear" w:color="auto" w:fill="F2F2F2"/>
          </w:tcPr>
          <w:p>
            <w:pPr>
              <w:spacing w:after="0"/>
              <w:rPr>
                <w:sz w:val="9"/>
                <w:szCs w:val="9"/>
                <w:color w:val="auto"/>
              </w:rPr>
            </w:pPr>
          </w:p>
        </w:tc>
        <w:tc>
          <w:tcPr>
            <w:tcW w:w="840" w:type="dxa"/>
            <w:vAlign w:val="bottom"/>
            <w:shd w:val="clear" w:color="auto" w:fill="F2F2F2"/>
          </w:tcPr>
          <w:p>
            <w:pPr>
              <w:spacing w:after="0"/>
              <w:rPr>
                <w:sz w:val="9"/>
                <w:szCs w:val="9"/>
                <w:color w:val="auto"/>
              </w:rPr>
            </w:pPr>
          </w:p>
        </w:tc>
        <w:tc>
          <w:tcPr>
            <w:tcW w:w="1660" w:type="dxa"/>
            <w:vAlign w:val="bottom"/>
            <w:gridSpan w:val="2"/>
            <w:vMerge w:val="continue"/>
            <w:shd w:val="clear" w:color="auto" w:fill="F2F2F2"/>
          </w:tcPr>
          <w:p>
            <w:pPr>
              <w:spacing w:after="0"/>
              <w:rPr>
                <w:sz w:val="9"/>
                <w:szCs w:val="9"/>
                <w:color w:val="auto"/>
              </w:rPr>
            </w:pPr>
          </w:p>
        </w:tc>
        <w:tc>
          <w:tcPr>
            <w:tcW w:w="880" w:type="dxa"/>
            <w:vAlign w:val="bottom"/>
            <w:vMerge w:val="continue"/>
            <w:shd w:val="clear" w:color="auto" w:fill="F2F2F2"/>
          </w:tcPr>
          <w:p>
            <w:pPr>
              <w:spacing w:after="0"/>
              <w:rPr>
                <w:sz w:val="9"/>
                <w:szCs w:val="9"/>
                <w:color w:val="auto"/>
              </w:rPr>
            </w:pPr>
          </w:p>
        </w:tc>
        <w:tc>
          <w:tcPr>
            <w:tcW w:w="860" w:type="dxa"/>
            <w:vAlign w:val="bottom"/>
            <w:vMerge w:val="continue"/>
            <w:shd w:val="clear" w:color="auto" w:fill="F2F2F2"/>
          </w:tcPr>
          <w:p>
            <w:pPr>
              <w:spacing w:after="0"/>
              <w:rPr>
                <w:sz w:val="9"/>
                <w:szCs w:val="9"/>
                <w:color w:val="auto"/>
              </w:rPr>
            </w:pPr>
          </w:p>
        </w:tc>
        <w:tc>
          <w:tcPr>
            <w:tcW w:w="90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40" w:type="dxa"/>
            <w:vAlign w:val="bottom"/>
            <w:shd w:val="clear" w:color="auto" w:fill="F2F2F2"/>
          </w:tcPr>
          <w:p>
            <w:pPr>
              <w:spacing w:after="0"/>
              <w:rPr>
                <w:sz w:val="12"/>
                <w:szCs w:val="12"/>
                <w:color w:val="auto"/>
              </w:rPr>
            </w:pPr>
          </w:p>
        </w:tc>
        <w:tc>
          <w:tcPr>
            <w:tcW w:w="8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2025 RVA</w:t>
            </w:r>
          </w:p>
        </w:tc>
        <w:tc>
          <w:tcPr>
            <w:tcW w:w="160" w:type="dxa"/>
            <w:vAlign w:val="bottom"/>
            <w:shd w:val="clear" w:color="auto" w:fill="F2F2F2"/>
          </w:tcPr>
          <w:p>
            <w:pPr>
              <w:jc w:val="right"/>
              <w:ind w:right="34"/>
              <w:spacing w:after="0"/>
              <w:rPr>
                <w:sz w:val="20"/>
                <w:szCs w:val="20"/>
                <w:color w:val="auto"/>
              </w:rPr>
            </w:pPr>
            <w:r>
              <w:rPr>
                <w:rFonts w:ascii="Arial" w:cs="Arial" w:eastAsia="Arial" w:hAnsi="Arial"/>
                <w:sz w:val="9"/>
                <w:szCs w:val="9"/>
                <w:color w:val="auto"/>
              </w:rPr>
              <w:t>5</w:t>
            </w:r>
          </w:p>
        </w:tc>
        <w:tc>
          <w:tcPr>
            <w:tcW w:w="920" w:type="dxa"/>
            <w:vAlign w:val="bottom"/>
            <w:vMerge w:val="restart"/>
            <w:shd w:val="clear" w:color="auto" w:fill="F2F2F2"/>
          </w:tcPr>
          <w:p>
            <w:pPr>
              <w:jc w:val="right"/>
              <w:ind w:right="128"/>
              <w:spacing w:after="0"/>
              <w:rPr>
                <w:sz w:val="20"/>
                <w:szCs w:val="20"/>
                <w:color w:val="auto"/>
              </w:rPr>
            </w:pPr>
            <w:r>
              <w:rPr>
                <w:rFonts w:ascii="Arial" w:cs="Arial" w:eastAsia="Arial" w:hAnsi="Arial"/>
                <w:sz w:val="14"/>
                <w:szCs w:val="14"/>
                <w:color w:val="auto"/>
              </w:rPr>
              <w:t>2/10/2025</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2/10/2025</w:t>
            </w:r>
          </w:p>
        </w:tc>
        <w:tc>
          <w:tcPr>
            <w:tcW w:w="740" w:type="dxa"/>
            <w:vAlign w:val="bottom"/>
            <w:shd w:val="clear" w:color="auto" w:fill="F2F2F2"/>
          </w:tcPr>
          <w:p>
            <w:pPr>
              <w:spacing w:after="0"/>
              <w:rPr>
                <w:sz w:val="12"/>
                <w:szCs w:val="12"/>
                <w:color w:val="auto"/>
              </w:rPr>
            </w:pPr>
          </w:p>
        </w:tc>
        <w:tc>
          <w:tcPr>
            <w:tcW w:w="840" w:type="dxa"/>
            <w:vAlign w:val="bottom"/>
            <w:shd w:val="clear" w:color="auto" w:fill="F2F2F2"/>
          </w:tcPr>
          <w:p>
            <w:pPr>
              <w:spacing w:after="0"/>
              <w:rPr>
                <w:sz w:val="12"/>
                <w:szCs w:val="12"/>
                <w:color w:val="auto"/>
              </w:rPr>
            </w:pPr>
          </w:p>
        </w:tc>
        <w:tc>
          <w:tcPr>
            <w:tcW w:w="1660" w:type="dxa"/>
            <w:vAlign w:val="bottom"/>
            <w:gridSpan w:val="2"/>
            <w:vMerge w:val="restart"/>
            <w:shd w:val="clear" w:color="auto" w:fill="F2F2F2"/>
          </w:tcPr>
          <w:p>
            <w:pPr>
              <w:jc w:val="right"/>
              <w:ind w:right="60"/>
              <w:spacing w:after="0"/>
              <w:rPr>
                <w:sz w:val="20"/>
                <w:szCs w:val="20"/>
                <w:color w:val="auto"/>
              </w:rPr>
            </w:pPr>
            <w:r>
              <w:rPr>
                <w:rFonts w:ascii="Arial" w:cs="Arial" w:eastAsia="Arial" w:hAnsi="Arial"/>
                <w:sz w:val="14"/>
                <w:szCs w:val="14"/>
                <w:color w:val="auto"/>
              </w:rPr>
              <w:t>974.111</w:t>
            </w:r>
          </w:p>
        </w:tc>
        <w:tc>
          <w:tcPr>
            <w:tcW w:w="8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1,948.221</w:t>
            </w:r>
          </w:p>
        </w:tc>
        <w:tc>
          <w:tcPr>
            <w:tcW w:w="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3,896.442</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$2,250,000</w:t>
            </w:r>
          </w:p>
        </w:tc>
        <w:tc>
          <w:tcPr>
            <w:tcW w:w="0" w:type="dxa"/>
            <w:vAlign w:val="bottom"/>
          </w:tcPr>
          <w:p>
            <w:pPr>
              <w:spacing w:after="0"/>
              <w:rPr>
                <w:sz w:val="1"/>
                <w:szCs w:val="1"/>
                <w:color w:val="auto"/>
              </w:rPr>
            </w:pPr>
          </w:p>
        </w:tc>
      </w:tr>
      <w:tr>
        <w:trPr>
          <w:trHeight w:val="112"/>
        </w:trPr>
        <w:tc>
          <w:tcPr>
            <w:tcW w:w="140" w:type="dxa"/>
            <w:vAlign w:val="bottom"/>
            <w:tcBorders>
              <w:bottom w:val="single" w:sz="8" w:color="F2F2F2"/>
            </w:tcBorders>
            <w:shd w:val="clear" w:color="auto" w:fill="F2F2F2"/>
          </w:tcPr>
          <w:p>
            <w:pPr>
              <w:spacing w:after="0"/>
              <w:rPr>
                <w:sz w:val="9"/>
                <w:szCs w:val="9"/>
                <w:color w:val="auto"/>
              </w:rPr>
            </w:pPr>
          </w:p>
        </w:tc>
        <w:tc>
          <w:tcPr>
            <w:tcW w:w="840" w:type="dxa"/>
            <w:vAlign w:val="bottom"/>
            <w:tcBorders>
              <w:bottom w:val="single" w:sz="8" w:color="F2F2F2"/>
            </w:tcBorders>
            <w:vMerge w:val="continue"/>
            <w:shd w:val="clear" w:color="auto" w:fill="F2F2F2"/>
          </w:tcPr>
          <w:p>
            <w:pPr>
              <w:spacing w:after="0"/>
              <w:rPr>
                <w:sz w:val="9"/>
                <w:szCs w:val="9"/>
                <w:color w:val="auto"/>
              </w:rPr>
            </w:pPr>
          </w:p>
        </w:tc>
        <w:tc>
          <w:tcPr>
            <w:tcW w:w="160" w:type="dxa"/>
            <w:vAlign w:val="bottom"/>
            <w:tcBorders>
              <w:bottom w:val="single" w:sz="8" w:color="F2F2F2"/>
            </w:tcBorders>
            <w:shd w:val="clear" w:color="auto" w:fill="F2F2F2"/>
          </w:tcPr>
          <w:p>
            <w:pPr>
              <w:spacing w:after="0"/>
              <w:rPr>
                <w:sz w:val="9"/>
                <w:szCs w:val="9"/>
                <w:color w:val="auto"/>
              </w:rPr>
            </w:pPr>
          </w:p>
        </w:tc>
        <w:tc>
          <w:tcPr>
            <w:tcW w:w="920" w:type="dxa"/>
            <w:vAlign w:val="bottom"/>
            <w:tcBorders>
              <w:bottom w:val="single" w:sz="8" w:color="F2F2F2"/>
            </w:tcBorders>
            <w:vMerge w:val="continue"/>
            <w:shd w:val="clear" w:color="auto" w:fill="F2F2F2"/>
          </w:tcPr>
          <w:p>
            <w:pPr>
              <w:spacing w:after="0"/>
              <w:rPr>
                <w:sz w:val="9"/>
                <w:szCs w:val="9"/>
                <w:color w:val="auto"/>
              </w:rPr>
            </w:pPr>
          </w:p>
        </w:tc>
        <w:tc>
          <w:tcPr>
            <w:tcW w:w="900" w:type="dxa"/>
            <w:vAlign w:val="bottom"/>
            <w:tcBorders>
              <w:bottom w:val="single" w:sz="8" w:color="F2F2F2"/>
            </w:tcBorders>
            <w:vMerge w:val="continue"/>
            <w:shd w:val="clear" w:color="auto" w:fill="F2F2F2"/>
          </w:tcPr>
          <w:p>
            <w:pPr>
              <w:spacing w:after="0"/>
              <w:rPr>
                <w:sz w:val="9"/>
                <w:szCs w:val="9"/>
                <w:color w:val="auto"/>
              </w:rPr>
            </w:pPr>
          </w:p>
        </w:tc>
        <w:tc>
          <w:tcPr>
            <w:tcW w:w="740" w:type="dxa"/>
            <w:vAlign w:val="bottom"/>
            <w:tcBorders>
              <w:bottom w:val="single" w:sz="8" w:color="F2F2F2"/>
            </w:tcBorders>
            <w:shd w:val="clear" w:color="auto" w:fill="F2F2F2"/>
          </w:tcPr>
          <w:p>
            <w:pPr>
              <w:spacing w:after="0"/>
              <w:rPr>
                <w:sz w:val="9"/>
                <w:szCs w:val="9"/>
                <w:color w:val="auto"/>
              </w:rPr>
            </w:pPr>
          </w:p>
        </w:tc>
        <w:tc>
          <w:tcPr>
            <w:tcW w:w="840" w:type="dxa"/>
            <w:vAlign w:val="bottom"/>
            <w:tcBorders>
              <w:bottom w:val="single" w:sz="8" w:color="F2F2F2"/>
            </w:tcBorders>
            <w:shd w:val="clear" w:color="auto" w:fill="F2F2F2"/>
          </w:tcPr>
          <w:p>
            <w:pPr>
              <w:spacing w:after="0"/>
              <w:rPr>
                <w:sz w:val="9"/>
                <w:szCs w:val="9"/>
                <w:color w:val="auto"/>
              </w:rPr>
            </w:pPr>
          </w:p>
        </w:tc>
        <w:tc>
          <w:tcPr>
            <w:tcW w:w="1660" w:type="dxa"/>
            <w:vAlign w:val="bottom"/>
            <w:tcBorders>
              <w:bottom w:val="single" w:sz="8" w:color="F2F2F2"/>
            </w:tcBorders>
            <w:gridSpan w:val="2"/>
            <w:vMerge w:val="continue"/>
            <w:shd w:val="clear" w:color="auto" w:fill="F2F2F2"/>
          </w:tcPr>
          <w:p>
            <w:pPr>
              <w:spacing w:after="0"/>
              <w:rPr>
                <w:sz w:val="9"/>
                <w:szCs w:val="9"/>
                <w:color w:val="auto"/>
              </w:rPr>
            </w:pPr>
          </w:p>
        </w:tc>
        <w:tc>
          <w:tcPr>
            <w:tcW w:w="880" w:type="dxa"/>
            <w:vAlign w:val="bottom"/>
            <w:tcBorders>
              <w:bottom w:val="single" w:sz="8" w:color="F2F2F2"/>
            </w:tcBorders>
            <w:vMerge w:val="continue"/>
            <w:shd w:val="clear" w:color="auto" w:fill="F2F2F2"/>
          </w:tcPr>
          <w:p>
            <w:pPr>
              <w:spacing w:after="0"/>
              <w:rPr>
                <w:sz w:val="9"/>
                <w:szCs w:val="9"/>
                <w:color w:val="auto"/>
              </w:rPr>
            </w:pPr>
          </w:p>
        </w:tc>
        <w:tc>
          <w:tcPr>
            <w:tcW w:w="860" w:type="dxa"/>
            <w:vAlign w:val="bottom"/>
            <w:tcBorders>
              <w:bottom w:val="single" w:sz="8" w:color="F2F2F2"/>
            </w:tcBorders>
            <w:vMerge w:val="continue"/>
            <w:shd w:val="clear" w:color="auto" w:fill="F2F2F2"/>
          </w:tcPr>
          <w:p>
            <w:pPr>
              <w:spacing w:after="0"/>
              <w:rPr>
                <w:sz w:val="9"/>
                <w:szCs w:val="9"/>
                <w:color w:val="auto"/>
              </w:rPr>
            </w:pPr>
          </w:p>
        </w:tc>
        <w:tc>
          <w:tcPr>
            <w:tcW w:w="900" w:type="dxa"/>
            <w:vAlign w:val="bottom"/>
            <w:tcBorders>
              <w:bottom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-153670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-136525</wp:posOffset>
            </wp:positionV>
            <wp:extent cx="8255"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-119380</wp:posOffset>
            </wp:positionV>
            <wp:extent cx="825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-102235</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-85090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-67945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-50800</wp:posOffset>
            </wp:positionV>
            <wp:extent cx="825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-33655</wp:posOffset>
            </wp:positionV>
            <wp:extent cx="825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-16510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-153670</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-136525</wp:posOffset>
            </wp:positionV>
            <wp:extent cx="825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-119380</wp:posOffset>
            </wp:positionV>
            <wp:extent cx="825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-102235</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-85090</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-67945</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-50800</wp:posOffset>
            </wp:positionV>
            <wp:extent cx="825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-33655</wp:posOffset>
            </wp:positionV>
            <wp:extent cx="825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-16510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-153670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-136525</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-119380</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-102235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-85090</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-67945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-50800</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-33655</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-16510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-316865</wp:posOffset>
            </wp:positionV>
            <wp:extent cx="825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-299720</wp:posOffset>
            </wp:positionV>
            <wp:extent cx="825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-281940</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-265430</wp:posOffset>
            </wp:positionV>
            <wp:extent cx="825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-248285</wp:posOffset>
            </wp:positionV>
            <wp:extent cx="825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-231140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-213995</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-196215</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-179705</wp:posOffset>
            </wp:positionV>
            <wp:extent cx="8255"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-316865</wp:posOffset>
            </wp:positionV>
            <wp:extent cx="825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-299720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-281940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-265430</wp:posOffset>
            </wp:positionV>
            <wp:extent cx="825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-248285</wp:posOffset>
            </wp:positionV>
            <wp:extent cx="825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-231140</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-213995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-196215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-179705</wp:posOffset>
            </wp:positionV>
            <wp:extent cx="8255"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-316865</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-299720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-281940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-265430</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-248285</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-231140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-213995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-196215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-179705</wp:posOffset>
            </wp:positionV>
            <wp:extent cx="8890"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-565150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-548005</wp:posOffset>
            </wp:positionV>
            <wp:extent cx="825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-530860</wp:posOffset>
            </wp:positionV>
            <wp:extent cx="825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-513715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-496570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-479425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-462280</wp:posOffset>
            </wp:positionV>
            <wp:extent cx="825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-445135</wp:posOffset>
            </wp:positionV>
            <wp:extent cx="825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-427990</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-410845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-393700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-376555</wp:posOffset>
            </wp:positionV>
            <wp:extent cx="8255"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-359410</wp:posOffset>
            </wp:positionV>
            <wp:extent cx="825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-342265</wp:posOffset>
            </wp:positionV>
            <wp:extent cx="825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-565150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-548005</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-530860</wp:posOffset>
            </wp:positionV>
            <wp:extent cx="825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-513715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-496570</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-479425</wp:posOffset>
            </wp:positionV>
            <wp:extent cx="825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-462280</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-445135</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-427990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-410845</wp:posOffset>
            </wp:positionV>
            <wp:extent cx="825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-393700</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-376555</wp:posOffset>
            </wp:positionV>
            <wp:extent cx="825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-359410</wp:posOffset>
            </wp:positionV>
            <wp:extent cx="825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-342265</wp:posOffset>
            </wp:positionV>
            <wp:extent cx="8255" cy="171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-565150</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-548005</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-530860</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-513715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-496570</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-479425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-462280</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-445135</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-427990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-410845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-393700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-376555</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-359410</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-342265</wp:posOffset>
            </wp:positionV>
            <wp:extent cx="8890"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-736600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-719455</wp:posOffset>
            </wp:positionV>
            <wp:extent cx="825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-702310</wp:posOffset>
            </wp:positionV>
            <wp:extent cx="8255"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-685165</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-668020</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-650875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-633730</wp:posOffset>
            </wp:positionV>
            <wp:extent cx="825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-616585</wp:posOffset>
            </wp:positionV>
            <wp:extent cx="825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-599440</wp:posOffset>
            </wp:positionV>
            <wp:extent cx="8255" cy="254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-736600</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-719455</wp:posOffset>
            </wp:positionV>
            <wp:extent cx="825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-702310</wp:posOffset>
            </wp:positionV>
            <wp:extent cx="825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-685165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-668020</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-650875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-633730</wp:posOffset>
            </wp:positionV>
            <wp:extent cx="825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-616585</wp:posOffset>
            </wp:positionV>
            <wp:extent cx="825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-599440</wp:posOffset>
            </wp:positionV>
            <wp:extent cx="8255" cy="254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-736600</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-719455</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-702310</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-685165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-668020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-650875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-633730</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-616585</wp:posOffset>
            </wp:positionV>
            <wp:extent cx="889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-599440</wp:posOffset>
            </wp:positionV>
            <wp:extent cx="8890" cy="2540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-899795</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-882015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-864870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-848360</wp:posOffset>
            </wp:positionV>
            <wp:extent cx="825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-831215</wp:posOffset>
            </wp:positionV>
            <wp:extent cx="825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-814070</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-796290</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-779145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-762635</wp:posOffset>
            </wp:positionV>
            <wp:extent cx="8255" cy="171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-899795</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-882015</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-864870</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-848360</wp:posOffset>
            </wp:positionV>
            <wp:extent cx="8255"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-831215</wp:posOffset>
            </wp:positionV>
            <wp:extent cx="825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-814070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-796290</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-779145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-762635</wp:posOffset>
            </wp:positionV>
            <wp:extent cx="8255" cy="171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-899795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-882015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-864870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-848360</wp:posOffset>
            </wp:positionV>
            <wp:extent cx="889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-831215</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-814070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-796290</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-779145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-762635</wp:posOffset>
            </wp:positionV>
            <wp:extent cx="8890" cy="171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-1062355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-1045210</wp:posOffset>
            </wp:positionV>
            <wp:extent cx="825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-1028065</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-1010920</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-993775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-976630</wp:posOffset>
            </wp:positionV>
            <wp:extent cx="8255"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-959485</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-942340</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-925195</wp:posOffset>
            </wp:positionV>
            <wp:extent cx="8255" cy="171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-1062355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-1045210</wp:posOffset>
            </wp:positionV>
            <wp:extent cx="825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-1028065</wp:posOffset>
            </wp:positionV>
            <wp:extent cx="825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-1010920</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-993775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-976630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-959485</wp:posOffset>
            </wp:positionV>
            <wp:extent cx="825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-942340</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-925195</wp:posOffset>
            </wp:positionV>
            <wp:extent cx="8255" cy="171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-1062355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-1045210</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-1028065</wp:posOffset>
            </wp:positionV>
            <wp:extent cx="889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-1010920</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-993775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-976630</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-959485</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-942340</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-925195</wp:posOffset>
            </wp:positionV>
            <wp:extent cx="8890" cy="171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-1224915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-1207770</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-1190625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-1174115</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-1156970</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-1139190</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-1122045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-1104900</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-1088390</wp:posOffset>
            </wp:positionV>
            <wp:extent cx="8255" cy="171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-1224915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-1207770</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-1190625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-1174115</wp:posOffset>
            </wp:positionV>
            <wp:extent cx="8255"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-1156970</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-1139190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-1122045</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-1104900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-1088390</wp:posOffset>
            </wp:positionV>
            <wp:extent cx="8255" cy="171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-1224915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-1207770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-1190625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-1174115</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-1156970</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-1139190</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-1122045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-1104900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-1088390</wp:posOffset>
            </wp:positionV>
            <wp:extent cx="8890" cy="171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-1388110</wp:posOffset>
            </wp:positionV>
            <wp:extent cx="825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-1370965</wp:posOffset>
            </wp:positionV>
            <wp:extent cx="8255"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-1353820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-1336675</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-1319530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-1302385</wp:posOffset>
            </wp:positionV>
            <wp:extent cx="8255"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-1285240</wp:posOffset>
            </wp:positionV>
            <wp:extent cx="82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-1268095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-1250950</wp:posOffset>
            </wp:positionV>
            <wp:extent cx="8255" cy="171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-1388110</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-1370965</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-1353820</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-1336675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-1319530</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-1302385</wp:posOffset>
            </wp:positionV>
            <wp:extent cx="825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-1285240</wp:posOffset>
            </wp:positionV>
            <wp:extent cx="825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-1268095</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-1250950</wp:posOffset>
            </wp:positionV>
            <wp:extent cx="8255" cy="171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-1388110</wp:posOffset>
            </wp:positionV>
            <wp:extent cx="889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-1370965</wp:posOffset>
            </wp:positionV>
            <wp:extent cx="889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-1353820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-1336675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-1319530</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-1302385</wp:posOffset>
            </wp:positionV>
            <wp:extent cx="88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-1285240</wp:posOffset>
            </wp:positionV>
            <wp:extent cx="889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-1268095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-1250950</wp:posOffset>
            </wp:positionV>
            <wp:extent cx="8890" cy="171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-1550670</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-1533525</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-1517015</wp:posOffset>
            </wp:positionV>
            <wp:extent cx="825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-1499870</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-1482090</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-1464945</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-1447800</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-1431290</wp:posOffset>
            </wp:positionV>
            <wp:extent cx="825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-1414145</wp:posOffset>
            </wp:positionV>
            <wp:extent cx="8255" cy="171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-1550670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-1533525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-1517015</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-1499870</wp:posOffset>
            </wp:positionV>
            <wp:extent cx="825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-1482090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-1464945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-1447800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-1431290</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-1414145</wp:posOffset>
            </wp:positionV>
            <wp:extent cx="8255" cy="1714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-1550670</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-1533525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-1517015</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-1499870</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-1482090</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-1464945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-1447800</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-1431290</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-1414145</wp:posOffset>
            </wp:positionV>
            <wp:extent cx="8890" cy="171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-1713865</wp:posOffset>
            </wp:positionV>
            <wp:extent cx="8255"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-1696720</wp:posOffset>
            </wp:positionV>
            <wp:extent cx="8255"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-1679575</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-1662430</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-1645285</wp:posOffset>
            </wp:positionV>
            <wp:extent cx="8255"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-1628140</wp:posOffset>
            </wp:positionV>
            <wp:extent cx="8255"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-1610995</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-1593850</wp:posOffset>
            </wp:positionV>
            <wp:extent cx="8255"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-1576705</wp:posOffset>
            </wp:positionV>
            <wp:extent cx="8255" cy="171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-1713865</wp:posOffset>
            </wp:positionV>
            <wp:extent cx="8255"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-1696720</wp:posOffset>
            </wp:positionV>
            <wp:extent cx="8255"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-1679575</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-1662430</wp:posOffset>
            </wp:positionV>
            <wp:extent cx="8255"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-1645285</wp:posOffset>
            </wp:positionV>
            <wp:extent cx="8255"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-1628140</wp:posOffset>
            </wp:positionV>
            <wp:extent cx="8255"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-1610995</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-1593850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-1576705</wp:posOffset>
            </wp:positionV>
            <wp:extent cx="8255" cy="171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-1713865</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-1696720</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-1679575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-1662430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-1645285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-1628140</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-1610995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-1593850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-1576705</wp:posOffset>
            </wp:positionV>
            <wp:extent cx="8890" cy="1714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-1962150</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-1945005</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-1928495</wp:posOffset>
            </wp:positionV>
            <wp:extent cx="8255"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-1910715</wp:posOffset>
            </wp:positionV>
            <wp:extent cx="8255"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-1893570</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-1876425</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-1859280</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-1842770</wp:posOffset>
            </wp:positionV>
            <wp:extent cx="8255"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-1824990</wp:posOffset>
            </wp:positionV>
            <wp:extent cx="8255"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-1807845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-1790700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-1773555</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-1757045</wp:posOffset>
            </wp:positionV>
            <wp:extent cx="8255"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-1739265</wp:posOffset>
            </wp:positionV>
            <wp:extent cx="8255" cy="171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-1962150</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-1945005</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-1928495</wp:posOffset>
            </wp:positionV>
            <wp:extent cx="8255"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-1910715</wp:posOffset>
            </wp:positionV>
            <wp:extent cx="8255"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-1893570</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-1876425</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-1859280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-1842770</wp:posOffset>
            </wp:positionV>
            <wp:extent cx="8255"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-1824990</wp:posOffset>
            </wp:positionV>
            <wp:extent cx="825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-1807845</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-1790700</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-1773555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-1757045</wp:posOffset>
            </wp:positionV>
            <wp:extent cx="8255"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-1739265</wp:posOffset>
            </wp:positionV>
            <wp:extent cx="8255" cy="1714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-1962150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-1945005</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-1928495</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-1910715</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-1893570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-1876425</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-1859280</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-1842770</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-1824990</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-1807845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-1790700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-1773555</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-1757045</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-1739265</wp:posOffset>
            </wp:positionV>
            <wp:extent cx="8890" cy="1714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-2133600</wp:posOffset>
            </wp:positionV>
            <wp:extent cx="8255"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-2116455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-2099945</wp:posOffset>
            </wp:positionV>
            <wp:extent cx="8255"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-2082165</wp:posOffset>
            </wp:positionV>
            <wp:extent cx="8255"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-2065020</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-2047875</wp:posOffset>
            </wp:positionV>
            <wp:extent cx="8255"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-2030730</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-2014220</wp:posOffset>
            </wp:positionV>
            <wp:extent cx="8255"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-1996440</wp:posOffset>
            </wp:positionV>
            <wp:extent cx="8255" cy="2540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-2133600</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-2116455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-2099945</wp:posOffset>
            </wp:positionV>
            <wp:extent cx="8255"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-2082165</wp:posOffset>
            </wp:positionV>
            <wp:extent cx="8255"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-2065020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-2047875</wp:posOffset>
            </wp:positionV>
            <wp:extent cx="8255"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-2030730</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-2014220</wp:posOffset>
            </wp:positionV>
            <wp:extent cx="8255"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-1996440</wp:posOffset>
            </wp:positionV>
            <wp:extent cx="8255" cy="254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-2133600</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-2116455</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-2099945</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-2082165</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-2065020</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-2047875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-2030730</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-2014220</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-1996440</wp:posOffset>
            </wp:positionV>
            <wp:extent cx="8890" cy="2540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-2296795</wp:posOffset>
            </wp:positionV>
            <wp:extent cx="8255"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-2279650</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-2262505</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-2245360</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-2228215</wp:posOffset>
            </wp:positionV>
            <wp:extent cx="8255"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-2211070</wp:posOffset>
            </wp:positionV>
            <wp:extent cx="8255"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-2193925</wp:posOffset>
            </wp:positionV>
            <wp:extent cx="8255"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-2176780</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-2159635</wp:posOffset>
            </wp:positionV>
            <wp:extent cx="8255" cy="171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-2296795</wp:posOffset>
            </wp:positionV>
            <wp:extent cx="8255"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-2279650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-2262505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-2245360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-2228215</wp:posOffset>
            </wp:positionV>
            <wp:extent cx="8255"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-2211070</wp:posOffset>
            </wp:positionV>
            <wp:extent cx="8255"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-2193925</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-2176780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-2159635</wp:posOffset>
            </wp:positionV>
            <wp:extent cx="8255" cy="171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-2296795</wp:posOffset>
            </wp:positionV>
            <wp:extent cx="889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-2279650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-2262505</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-2245360</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-2228215</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-2211070</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-2193925</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-2176780</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-2159635</wp:posOffset>
            </wp:positionV>
            <wp:extent cx="8890" cy="1714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-2459355</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-2442210</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-2425065</wp:posOffset>
            </wp:positionV>
            <wp:extent cx="8255"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-2407920</wp:posOffset>
            </wp:positionV>
            <wp:extent cx="8255"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-2390775</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-2373630</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-2356485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-2339340</wp:posOffset>
            </wp:positionV>
            <wp:extent cx="8255"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-2322195</wp:posOffset>
            </wp:positionV>
            <wp:extent cx="8255" cy="1714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-2459355</wp:posOffset>
            </wp:positionV>
            <wp:extent cx="8255"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-2442210</wp:posOffset>
            </wp:positionV>
            <wp:extent cx="8255"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-2425065</wp:posOffset>
            </wp:positionV>
            <wp:extent cx="8255"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-2407920</wp:posOffset>
            </wp:positionV>
            <wp:extent cx="8255"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-2390775</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-2373630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-2356485</wp:posOffset>
            </wp:positionV>
            <wp:extent cx="825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-2339340</wp:posOffset>
            </wp:positionV>
            <wp:extent cx="8255"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-2322195</wp:posOffset>
            </wp:positionV>
            <wp:extent cx="8255" cy="1714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-2459355</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-2442210</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-2425065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-2407920</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-2390775</wp:posOffset>
            </wp:positionV>
            <wp:extent cx="8890"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-2373630</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-2356485</wp:posOffset>
            </wp:positionV>
            <wp:extent cx="889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-2339340</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-2322195</wp:posOffset>
            </wp:positionV>
            <wp:extent cx="8890" cy="1714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-2622550</wp:posOffset>
            </wp:positionV>
            <wp:extent cx="8255"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-2605405</wp:posOffset>
            </wp:positionV>
            <wp:extent cx="8255"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-2588260</wp:posOffset>
            </wp:positionV>
            <wp:extent cx="8255"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-2571115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-2553970</wp:posOffset>
            </wp:positionV>
            <wp:extent cx="8255"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-2536825</wp:posOffset>
            </wp:positionV>
            <wp:extent cx="8255"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-2519680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-2502535</wp:posOffset>
            </wp:positionV>
            <wp:extent cx="8255"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-2485390</wp:posOffset>
            </wp:positionV>
            <wp:extent cx="8255" cy="1714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-2622550</wp:posOffset>
            </wp:positionV>
            <wp:extent cx="8255"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-2605405</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-2588260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-2571115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-2553970</wp:posOffset>
            </wp:positionV>
            <wp:extent cx="8255"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-2536825</wp:posOffset>
            </wp:positionV>
            <wp:extent cx="8255"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-2519680</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-2502535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-2485390</wp:posOffset>
            </wp:positionV>
            <wp:extent cx="8255" cy="1714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-2622550</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-2605405</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-2588260</wp:posOffset>
            </wp:positionV>
            <wp:extent cx="8890"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-2571115</wp:posOffset>
            </wp:positionV>
            <wp:extent cx="8890"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-2553970</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-2536825</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-2519680</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-2502535</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-2485390</wp:posOffset>
            </wp:positionV>
            <wp:extent cx="8890" cy="1714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-2785110</wp:posOffset>
            </wp:positionV>
            <wp:extent cx="8255" cy="825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-2767965</wp:posOffset>
            </wp:positionV>
            <wp:extent cx="8255"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-2750820</wp:posOffset>
            </wp:positionV>
            <wp:extent cx="8255"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-2733675</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-2716530</wp:posOffset>
            </wp:positionV>
            <wp:extent cx="8255" cy="825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-2699385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-2682240</wp:posOffset>
            </wp:positionV>
            <wp:extent cx="8255"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-2665095</wp:posOffset>
            </wp:positionV>
            <wp:extent cx="8255"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-2647950</wp:posOffset>
            </wp:positionV>
            <wp:extent cx="8255" cy="1714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-2785110</wp:posOffset>
            </wp:positionV>
            <wp:extent cx="8255"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-2767965</wp:posOffset>
            </wp:positionV>
            <wp:extent cx="8255"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-2750820</wp:posOffset>
            </wp:positionV>
            <wp:extent cx="8255"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-2733675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-2716530</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-2699385</wp:posOffset>
            </wp:positionV>
            <wp:extent cx="8255"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-2682240</wp:posOffset>
            </wp:positionV>
            <wp:extent cx="8255"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-2665095</wp:posOffset>
            </wp:positionV>
            <wp:extent cx="8255"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-2647950</wp:posOffset>
            </wp:positionV>
            <wp:extent cx="8255" cy="1714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-2785110</wp:posOffset>
            </wp:positionV>
            <wp:extent cx="8890" cy="825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-2767965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-2750820</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-2733675</wp:posOffset>
            </wp:positionV>
            <wp:extent cx="8890" cy="825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-2716530</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-2699385</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-2682240</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-2665095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-2647950</wp:posOffset>
            </wp:positionV>
            <wp:extent cx="8890" cy="1714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-2948305</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-2931160</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-2914015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-2896870</wp:posOffset>
            </wp:positionV>
            <wp:extent cx="8255"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-2879725</wp:posOffset>
            </wp:positionV>
            <wp:extent cx="8255"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-2862580</wp:posOffset>
            </wp:positionV>
            <wp:extent cx="8255" cy="825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-2845435</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-2828290</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-2811145</wp:posOffset>
            </wp:positionV>
            <wp:extent cx="8255" cy="1714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-2948305</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-2931160</wp:posOffset>
            </wp:positionV>
            <wp:extent cx="8255"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-2914015</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-2896870</wp:posOffset>
            </wp:positionV>
            <wp:extent cx="8255"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-2879725</wp:posOffset>
            </wp:positionV>
            <wp:extent cx="8255"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-2862580</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-2845435</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-2828290</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-2811145</wp:posOffset>
            </wp:positionV>
            <wp:extent cx="8255" cy="171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-2948305</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-2931160</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-2914015</wp:posOffset>
            </wp:positionV>
            <wp:extent cx="8890"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-2896870</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-2879725</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-2862580</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-2845435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-2828290</wp:posOffset>
            </wp:positionV>
            <wp:extent cx="8890"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-2811145</wp:posOffset>
            </wp:positionV>
            <wp:extent cx="8890" cy="1714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-3110865</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-3093720</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-3076575</wp:posOffset>
            </wp:positionV>
            <wp:extent cx="8255"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-3059430</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-3042285</wp:posOffset>
            </wp:positionV>
            <wp:extent cx="8255"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-3025140</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-3007995</wp:posOffset>
            </wp:positionV>
            <wp:extent cx="8255"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-2990850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-2973705</wp:posOffset>
            </wp:positionV>
            <wp:extent cx="8255" cy="1714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-3110865</wp:posOffset>
            </wp:positionV>
            <wp:extent cx="8255"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-3093720</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-3076575</wp:posOffset>
            </wp:positionV>
            <wp:extent cx="8255" cy="825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-3059430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-3042285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-3025140</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-3007995</wp:posOffset>
            </wp:positionV>
            <wp:extent cx="8255"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-2990850</wp:posOffset>
            </wp:positionV>
            <wp:extent cx="8255"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-2973705</wp:posOffset>
            </wp:positionV>
            <wp:extent cx="8255" cy="1714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-3110865</wp:posOffset>
            </wp:positionV>
            <wp:extent cx="8890" cy="825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-3093720</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-3076575</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-3059430</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-3042285</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-3025140</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-3007995</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-2990850</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-2973705</wp:posOffset>
            </wp:positionV>
            <wp:extent cx="8890" cy="1714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-3282315</wp:posOffset>
            </wp:positionV>
            <wp:extent cx="8255" cy="1714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-3256915</wp:posOffset>
            </wp:positionV>
            <wp:extent cx="8255"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-3239770</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-3222625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-3205480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-3188335</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-3171190</wp:posOffset>
            </wp:positionV>
            <wp:extent cx="8255"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-3154045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-3136900</wp:posOffset>
            </wp:positionV>
            <wp:extent cx="8255" cy="1714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-3282315</wp:posOffset>
            </wp:positionV>
            <wp:extent cx="8255" cy="1714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-3256915</wp:posOffset>
            </wp:positionV>
            <wp:extent cx="8255"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-3239770</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-3222625</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-3205480</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-3188335</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-3171190</wp:posOffset>
            </wp:positionV>
            <wp:extent cx="8255"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-3154045</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-3136900</wp:posOffset>
            </wp:positionV>
            <wp:extent cx="8255" cy="1714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-3282315</wp:posOffset>
            </wp:positionV>
            <wp:extent cx="8890" cy="1714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-3256915</wp:posOffset>
            </wp:positionV>
            <wp:extent cx="889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-3239770</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-3222625</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-3205480</wp:posOffset>
            </wp:positionV>
            <wp:extent cx="8890"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-3188335</wp:posOffset>
            </wp:positionV>
            <wp:extent cx="8890"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-3171190</wp:posOffset>
            </wp:positionV>
            <wp:extent cx="889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-3154045</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-3136900</wp:posOffset>
            </wp:positionV>
            <wp:extent cx="8890" cy="1714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91" w:lineRule="exact"/>
        <w:rPr>
          <w:sz w:val="20"/>
          <w:szCs w:val="20"/>
          <w:color w:val="auto"/>
        </w:rPr>
      </w:pPr>
    </w:p>
    <w:p>
      <w:pPr>
        <w:ind w:left="160" w:hanging="152"/>
        <w:spacing w:after="0"/>
        <w:tabs>
          <w:tab w:leader="none" w:pos="160" w:val="left"/>
        </w:tabs>
        <w:numPr>
          <w:ilvl w:val="0"/>
          <w:numId w:val="142"/>
        </w:numPr>
        <w:rPr>
          <w:rFonts w:ascii="Arial" w:cs="Arial" w:eastAsia="Arial" w:hAnsi="Arial"/>
          <w:sz w:val="19"/>
          <w:szCs w:val="19"/>
          <w:color w:val="auto"/>
          <w:vertAlign w:val="superscript"/>
        </w:rPr>
      </w:pPr>
      <w:r>
        <w:rPr>
          <w:rFonts w:ascii="Arial" w:cs="Arial" w:eastAsia="Arial" w:hAnsi="Arial"/>
          <w:sz w:val="14"/>
          <w:szCs w:val="14"/>
          <w:color w:val="auto"/>
        </w:rPr>
        <w:t>The annual grant date is established in advance by the Committee without consideration of material nonpublic information.</w:t>
      </w:r>
    </w:p>
    <w:p>
      <w:pPr>
        <w:spacing w:after="0" w:line="40" w:lineRule="exact"/>
        <w:rPr>
          <w:sz w:val="20"/>
          <w:szCs w:val="20"/>
          <w:color w:val="auto"/>
        </w:rPr>
      </w:pPr>
    </w:p>
    <w:p>
      <w:pPr>
        <w:jc w:val="both"/>
        <w:ind w:left="180" w:hanging="172"/>
        <w:spacing w:after="0" w:line="272" w:lineRule="auto"/>
        <w:tabs>
          <w:tab w:leader="none" w:pos="174" w:val="left"/>
        </w:tabs>
        <w:numPr>
          <w:ilvl w:val="0"/>
          <w:numId w:val="143"/>
        </w:numPr>
        <w:rPr>
          <w:rFonts w:ascii="Arial" w:cs="Arial" w:eastAsia="Arial" w:hAnsi="Arial"/>
          <w:sz w:val="9"/>
          <w:szCs w:val="9"/>
          <w:color w:val="auto"/>
        </w:rPr>
      </w:pPr>
      <w:r>
        <w:rPr>
          <w:rFonts w:ascii="Arial" w:cs="Arial" w:eastAsia="Arial" w:hAnsi="Arial"/>
          <w:sz w:val="14"/>
          <w:szCs w:val="14"/>
          <w:color w:val="auto"/>
        </w:rPr>
        <w:t>These columns show the threshold, target and maximum payouts for performance under the Bonus Plan. The Bonus Plan payouts range from 0 to 250 percent of target. The Bonus Plan payout for 2025 performance was 218 percent of target. Actual payouts are shown in the Summary Compensation Table in the column titled “Non-Stock Incentive Plan Compensation.”</w:t>
      </w:r>
    </w:p>
    <w:p>
      <w:pPr>
        <w:spacing w:after="0" w:line="19" w:lineRule="exact"/>
        <w:rPr>
          <w:sz w:val="20"/>
          <w:szCs w:val="20"/>
          <w:color w:val="auto"/>
        </w:rPr>
      </w:pPr>
    </w:p>
    <w:p>
      <w:pPr>
        <w:ind w:left="180" w:right="20" w:hanging="172"/>
        <w:spacing w:after="0" w:line="231" w:lineRule="auto"/>
        <w:tabs>
          <w:tab w:leader="none" w:pos="174" w:val="left"/>
        </w:tabs>
        <w:numPr>
          <w:ilvl w:val="0"/>
          <w:numId w:val="144"/>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reflect the grant date fair value of the shareholder value awards and relative value awards computed in accordance with the requirements of ASC Topic 718 and were based upon the probable outcome of performance conditions.</w:t>
      </w:r>
    </w:p>
    <w:p>
      <w:pPr>
        <w:spacing w:after="0" w:line="26" w:lineRule="exact"/>
        <w:rPr>
          <w:sz w:val="20"/>
          <w:szCs w:val="20"/>
          <w:color w:val="auto"/>
        </w:rPr>
      </w:pPr>
    </w:p>
    <w:p>
      <w:pPr>
        <w:ind w:left="160" w:hanging="152"/>
        <w:spacing w:after="0"/>
        <w:tabs>
          <w:tab w:leader="none" w:pos="160" w:val="left"/>
        </w:tabs>
        <w:numPr>
          <w:ilvl w:val="0"/>
          <w:numId w:val="145"/>
        </w:numPr>
        <w:rPr>
          <w:rFonts w:ascii="Arial" w:cs="Arial" w:eastAsia="Arial" w:hAnsi="Arial"/>
          <w:sz w:val="9"/>
          <w:szCs w:val="9"/>
          <w:color w:val="auto"/>
        </w:rPr>
      </w:pPr>
      <w:r>
        <w:rPr>
          <w:rFonts w:ascii="Arial" w:cs="Arial" w:eastAsia="Arial" w:hAnsi="Arial"/>
          <w:sz w:val="14"/>
          <w:szCs w:val="14"/>
          <w:color w:val="auto"/>
        </w:rPr>
        <w:t>This row shows the range of payouts for the 2025 SVA, which will settle in February 2028, with payouts ranging from 0 to 200 percent of target.</w:t>
      </w:r>
    </w:p>
    <w:p>
      <w:pPr>
        <w:spacing w:after="0" w:line="66"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This row shows the range of payouts for the 2025 RVA, which will settle in February 2028, with payouts ranging from 0 to 200 percent of target.</w:t>
      </w:r>
    </w:p>
    <w:p>
      <w:pPr>
        <w:sectPr>
          <w:pgSz w:w="11900" w:h="16838" w:orient="portrait"/>
          <w:cols w:equalWidth="0" w:num="1">
            <w:col w:w="11200"/>
          </w:cols>
          <w:pgMar w:left="320" w:top="749" w:right="37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49" w:right="37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25"/>
          <w:szCs w:val="25"/>
          <w:b w:val="1"/>
          <w:bCs w:val="1"/>
          <w:color w:val="0F3A85"/>
        </w:rPr>
        <w:t>Outstanding Stock Awards on December 31, 2025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2025 closing stock price used to calculate the values in the table below was $1,074.68.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137795</wp:posOffset>
            </wp:positionV>
            <wp:extent cx="368617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50" w:type="dxa"/>
            <w:vAlign w:val="bottom"/>
            <w:tcBorders>
              <w:bottom w:val="single" w:sz="8" w:color="auto"/>
            </w:tcBorders>
          </w:tcPr>
          <w:p>
            <w:pPr>
              <w:spacing w:after="0"/>
              <w:rPr>
                <w:sz w:val="15"/>
                <w:szCs w:val="15"/>
                <w:color w:val="auto"/>
              </w:rPr>
            </w:pPr>
          </w:p>
        </w:tc>
        <w:tc>
          <w:tcPr>
            <w:tcW w:w="7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Stock Awards</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Number of Shares</w:t>
            </w:r>
          </w:p>
        </w:tc>
        <w:tc>
          <w:tcPr>
            <w:tcW w:w="11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Market Value of</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Stock Incentive Plan</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720" w:type="dxa"/>
            <w:vAlign w:val="bottom"/>
            <w:gridSpan w:val="2"/>
          </w:tcPr>
          <w:p>
            <w:pPr>
              <w:jc w:val="right"/>
              <w:ind w:right="193"/>
              <w:spacing w:after="0" w:line="135" w:lineRule="exact"/>
              <w:rPr>
                <w:sz w:val="20"/>
                <w:szCs w:val="20"/>
                <w:color w:val="auto"/>
              </w:rPr>
            </w:pPr>
            <w:r>
              <w:rPr>
                <w:rFonts w:ascii="Arial" w:cs="Arial" w:eastAsia="Arial" w:hAnsi="Arial"/>
                <w:sz w:val="13"/>
                <w:szCs w:val="13"/>
                <w:b w:val="1"/>
                <w:bCs w:val="1"/>
                <w:color w:val="auto"/>
              </w:rPr>
              <w:t>Stock Incentive Plan</w:t>
            </w:r>
          </w:p>
        </w:tc>
        <w:tc>
          <w:tcPr>
            <w:tcW w:w="1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 Market or Payout</w:t>
            </w:r>
          </w:p>
        </w:tc>
        <w:tc>
          <w:tcPr>
            <w:tcW w:w="0" w:type="dxa"/>
            <w:vAlign w:val="bottom"/>
          </w:tcPr>
          <w:p>
            <w:pPr>
              <w:spacing w:after="0"/>
              <w:rPr>
                <w:sz w:val="1"/>
                <w:szCs w:val="1"/>
                <w:color w:val="auto"/>
              </w:rPr>
            </w:pPr>
          </w:p>
        </w:tc>
      </w:tr>
      <w:tr>
        <w:trPr>
          <w:trHeight w:val="13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4"/>
          </w:tcPr>
          <w:p>
            <w:pPr>
              <w:jc w:val="center"/>
              <w:spacing w:after="0" w:line="139" w:lineRule="exact"/>
              <w:rPr>
                <w:sz w:val="20"/>
                <w:szCs w:val="20"/>
                <w:color w:val="auto"/>
              </w:rPr>
            </w:pPr>
            <w:r>
              <w:rPr>
                <w:rFonts w:ascii="Arial" w:cs="Arial" w:eastAsia="Arial" w:hAnsi="Arial"/>
                <w:sz w:val="13"/>
                <w:szCs w:val="13"/>
                <w:b w:val="1"/>
                <w:bCs w:val="1"/>
                <w:color w:val="auto"/>
                <w:w w:val="96"/>
              </w:rPr>
              <w:t>or Units of Stock</w:t>
            </w:r>
          </w:p>
        </w:tc>
        <w:tc>
          <w:tcPr>
            <w:tcW w:w="11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8"/>
              </w:rPr>
              <w:t>Shares or Units of</w:t>
            </w:r>
          </w:p>
        </w:tc>
        <w:tc>
          <w:tcPr>
            <w:tcW w:w="17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6"/>
              </w:rPr>
              <w:t>Awards: Number of</w:t>
            </w:r>
          </w:p>
        </w:tc>
        <w:tc>
          <w:tcPr>
            <w:tcW w:w="16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7"/>
              </w:rPr>
              <w:t>Value of Unearned Shares,</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That Have Not</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Stock That Have</w:t>
            </w:r>
          </w:p>
        </w:tc>
        <w:tc>
          <w:tcPr>
            <w:tcW w:w="1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Unearned Shares, Units, or</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Units, or Other Rights That</w:t>
            </w:r>
          </w:p>
        </w:tc>
        <w:tc>
          <w:tcPr>
            <w:tcW w:w="0" w:type="dxa"/>
            <w:vAlign w:val="bottom"/>
          </w:tcPr>
          <w:p>
            <w:pPr>
              <w:spacing w:after="0"/>
              <w:rPr>
                <w:sz w:val="1"/>
                <w:szCs w:val="1"/>
                <w:color w:val="auto"/>
              </w:rPr>
            </w:pPr>
          </w:p>
        </w:tc>
      </w:tr>
      <w:tr>
        <w:trPr>
          <w:trHeight w:val="90"/>
        </w:trPr>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Name</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Award</w:t>
            </w:r>
          </w:p>
        </w:tc>
        <w:tc>
          <w:tcPr>
            <w:tcW w:w="240" w:type="dxa"/>
            <w:vAlign w:val="bottom"/>
          </w:tcPr>
          <w:p>
            <w:pPr>
              <w:spacing w:after="0"/>
              <w:rPr>
                <w:sz w:val="7"/>
                <w:szCs w:val="7"/>
                <w:color w:val="auto"/>
              </w:rPr>
            </w:pPr>
          </w:p>
        </w:tc>
        <w:tc>
          <w:tcPr>
            <w:tcW w:w="12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6"/>
              </w:rPr>
              <w:t>Vested (#)</w:t>
            </w:r>
          </w:p>
        </w:tc>
        <w:tc>
          <w:tcPr>
            <w:tcW w:w="11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Not Vested ($)</w:t>
            </w:r>
          </w:p>
        </w:tc>
        <w:tc>
          <w:tcPr>
            <w:tcW w:w="1720" w:type="dxa"/>
            <w:vAlign w:val="bottom"/>
            <w:gridSpan w:val="2"/>
          </w:tcPr>
          <w:p>
            <w:pPr>
              <w:jc w:val="center"/>
              <w:spacing w:after="0" w:line="90" w:lineRule="exact"/>
              <w:rPr>
                <w:sz w:val="20"/>
                <w:szCs w:val="20"/>
                <w:color w:val="auto"/>
              </w:rPr>
            </w:pPr>
            <w:r>
              <w:rPr>
                <w:rFonts w:ascii="Arial" w:cs="Arial" w:eastAsia="Arial" w:hAnsi="Arial"/>
                <w:sz w:val="10"/>
                <w:szCs w:val="10"/>
                <w:b w:val="1"/>
                <w:bCs w:val="1"/>
                <w:color w:val="auto"/>
              </w:rPr>
              <w:t>Other Rights That Have Not</w:t>
            </w:r>
          </w:p>
        </w:tc>
        <w:tc>
          <w:tcPr>
            <w:tcW w:w="1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Have Not Vested ($)</w:t>
            </w:r>
          </w:p>
        </w:tc>
        <w:tc>
          <w:tcPr>
            <w:tcW w:w="0" w:type="dxa"/>
            <w:vAlign w:val="bottom"/>
          </w:tcPr>
          <w:p>
            <w:pPr>
              <w:spacing w:after="0"/>
              <w:rPr>
                <w:sz w:val="1"/>
                <w:szCs w:val="1"/>
                <w:color w:val="auto"/>
              </w:rPr>
            </w:pPr>
          </w:p>
        </w:tc>
      </w:tr>
      <w:tr>
        <w:trPr>
          <w:trHeight w:val="176"/>
        </w:trPr>
        <w:tc>
          <w:tcPr>
            <w:tcW w:w="1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vMerge w:val="continue"/>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420" w:type="dxa"/>
            <w:vAlign w:val="bottom"/>
            <w:tcBorders>
              <w:bottom w:val="single" w:sz="8" w:color="auto"/>
            </w:tcBorders>
          </w:tcPr>
          <w:p>
            <w:pPr>
              <w:jc w:val="center"/>
              <w:ind w:left="251"/>
              <w:spacing w:after="0"/>
              <w:rPr>
                <w:sz w:val="20"/>
                <w:szCs w:val="20"/>
                <w:color w:val="auto"/>
              </w:rPr>
            </w:pPr>
            <w:r>
              <w:rPr>
                <w:rFonts w:ascii="Arial" w:cs="Arial" w:eastAsia="Arial" w:hAnsi="Arial"/>
                <w:sz w:val="13"/>
                <w:szCs w:val="13"/>
                <w:b w:val="1"/>
                <w:bCs w:val="1"/>
                <w:color w:val="auto"/>
                <w:w w:val="93"/>
              </w:rPr>
              <w:t>Vested (#)</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00" w:type="dxa"/>
            <w:vAlign w:val="bottom"/>
            <w:shd w:val="clear" w:color="auto" w:fill="F2F2F2"/>
          </w:tcPr>
          <w:p>
            <w:pPr>
              <w:spacing w:after="0"/>
              <w:rPr>
                <w:sz w:val="18"/>
                <w:szCs w:val="18"/>
                <w:color w:val="auto"/>
              </w:rPr>
            </w:pPr>
          </w:p>
        </w:tc>
        <w:tc>
          <w:tcPr>
            <w:tcW w:w="126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2025 SVA</w:t>
            </w:r>
          </w:p>
        </w:tc>
        <w:tc>
          <w:tcPr>
            <w:tcW w:w="240" w:type="dxa"/>
            <w:vAlign w:val="bottom"/>
            <w:shd w:val="clear" w:color="auto" w:fill="F2F2F2"/>
          </w:tcPr>
          <w:p>
            <w:pPr>
              <w:spacing w:after="0"/>
              <w:rPr>
                <w:sz w:val="18"/>
                <w:szCs w:val="18"/>
                <w:color w:val="auto"/>
              </w:rPr>
            </w:pPr>
          </w:p>
        </w:tc>
        <w:tc>
          <w:tcPr>
            <w:tcW w:w="460" w:type="dxa"/>
            <w:vAlign w:val="bottom"/>
            <w:shd w:val="clear" w:color="auto" w:fill="F2F2F2"/>
          </w:tcPr>
          <w:p>
            <w:pPr>
              <w:spacing w:after="0"/>
              <w:rPr>
                <w:sz w:val="18"/>
                <w:szCs w:val="18"/>
                <w:color w:val="auto"/>
              </w:rPr>
            </w:pPr>
          </w:p>
        </w:tc>
        <w:tc>
          <w:tcPr>
            <w:tcW w:w="450" w:type="dxa"/>
            <w:vAlign w:val="bottom"/>
            <w:shd w:val="clear" w:color="auto" w:fill="F2F2F2"/>
          </w:tcPr>
          <w:p>
            <w:pPr>
              <w:spacing w:after="0"/>
              <w:rPr>
                <w:sz w:val="18"/>
                <w:szCs w:val="18"/>
                <w:color w:val="auto"/>
              </w:rPr>
            </w:pPr>
          </w:p>
        </w:tc>
        <w:tc>
          <w:tcPr>
            <w:tcW w:w="70" w:type="dxa"/>
            <w:vAlign w:val="bottom"/>
            <w:shd w:val="clear" w:color="auto" w:fill="F2F2F2"/>
          </w:tcPr>
          <w:p>
            <w:pPr>
              <w:spacing w:after="0"/>
              <w:rPr>
                <w:sz w:val="18"/>
                <w:szCs w:val="18"/>
                <w:color w:val="auto"/>
              </w:rPr>
            </w:pPr>
          </w:p>
        </w:tc>
        <w:tc>
          <w:tcPr>
            <w:tcW w:w="240" w:type="dxa"/>
            <w:vAlign w:val="bottom"/>
            <w:shd w:val="clear" w:color="auto" w:fill="F2F2F2"/>
          </w:tcPr>
          <w:p>
            <w:pPr>
              <w:spacing w:after="0"/>
              <w:rPr>
                <w:sz w:val="18"/>
                <w:szCs w:val="18"/>
                <w:color w:val="auto"/>
              </w:rPr>
            </w:pPr>
          </w:p>
        </w:tc>
        <w:tc>
          <w:tcPr>
            <w:tcW w:w="360" w:type="dxa"/>
            <w:vAlign w:val="bottom"/>
            <w:shd w:val="clear" w:color="auto" w:fill="F2F2F2"/>
          </w:tcPr>
          <w:p>
            <w:pPr>
              <w:spacing w:after="0"/>
              <w:rPr>
                <w:sz w:val="18"/>
                <w:szCs w:val="18"/>
                <w:color w:val="auto"/>
              </w:rPr>
            </w:pPr>
          </w:p>
        </w:tc>
        <w:tc>
          <w:tcPr>
            <w:tcW w:w="820" w:type="dxa"/>
            <w:vAlign w:val="bottom"/>
            <w:shd w:val="clear" w:color="auto" w:fill="F2F2F2"/>
          </w:tcPr>
          <w:p>
            <w:pPr>
              <w:spacing w:after="0"/>
              <w:rPr>
                <w:sz w:val="18"/>
                <w:szCs w:val="18"/>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22,086</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$23,735,382</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70" w:type="dxa"/>
            <w:vAlign w:val="bottom"/>
            <w:shd w:val="clear" w:color="auto" w:fill="F2F2F2"/>
          </w:tcPr>
          <w:p>
            <w:pPr>
              <w:spacing w:after="0"/>
              <w:rPr>
                <w:sz w:val="22"/>
                <w:szCs w:val="22"/>
                <w:color w:val="auto"/>
              </w:rPr>
            </w:pPr>
          </w:p>
        </w:tc>
        <w:tc>
          <w:tcPr>
            <w:tcW w:w="24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19,158</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$20,588,719</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2025</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70" w:type="dxa"/>
            <w:vAlign w:val="bottom"/>
            <w:shd w:val="clear" w:color="auto" w:fill="F2F2F2"/>
          </w:tcPr>
          <w:p>
            <w:pPr>
              <w:spacing w:after="0"/>
              <w:rPr>
                <w:sz w:val="22"/>
                <w:szCs w:val="22"/>
                <w:color w:val="auto"/>
              </w:rPr>
            </w:pPr>
          </w:p>
        </w:tc>
        <w:tc>
          <w:tcPr>
            <w:tcW w:w="24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20,197</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$21,705,312</w:t>
            </w:r>
          </w:p>
        </w:tc>
        <w:tc>
          <w:tcPr>
            <w:tcW w:w="0" w:type="dxa"/>
            <w:vAlign w:val="bottom"/>
          </w:tcPr>
          <w:p>
            <w:pPr>
              <w:spacing w:after="0"/>
              <w:rPr>
                <w:sz w:val="1"/>
                <w:szCs w:val="1"/>
                <w:color w:val="auto"/>
              </w:rPr>
            </w:pPr>
          </w:p>
        </w:tc>
      </w:tr>
      <w:tr>
        <w:trPr>
          <w:trHeight w:val="260"/>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310" w:type="dxa"/>
            <w:vAlign w:val="bottom"/>
            <w:gridSpan w:val="2"/>
            <w:vMerge w:val="restart"/>
            <w:shd w:val="clear" w:color="auto" w:fill="F2F2F2"/>
          </w:tcPr>
          <w:p>
            <w:pPr>
              <w:jc w:val="right"/>
              <w:ind w:right="240"/>
              <w:spacing w:after="0"/>
              <w:rPr>
                <w:sz w:val="20"/>
                <w:szCs w:val="20"/>
                <w:color w:val="auto"/>
              </w:rPr>
            </w:pPr>
            <w:r>
              <w:rPr>
                <w:rFonts w:ascii="Arial" w:cs="Arial" w:eastAsia="Arial" w:hAnsi="Arial"/>
                <w:sz w:val="9"/>
                <w:szCs w:val="9"/>
                <w:color w:val="auto"/>
                <w:w w:val="78"/>
              </w:rPr>
              <w:t>6</w:t>
            </w: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17,850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$19,183,038</w:t>
            </w:r>
          </w:p>
        </w:tc>
        <w:tc>
          <w:tcPr>
            <w:tcW w:w="0" w:type="dxa"/>
            <w:vAlign w:val="bottom"/>
          </w:tcPr>
          <w:p>
            <w:pPr>
              <w:spacing w:after="0"/>
              <w:rPr>
                <w:sz w:val="1"/>
                <w:szCs w:val="1"/>
                <w:color w:val="auto"/>
              </w:rPr>
            </w:pPr>
          </w:p>
        </w:tc>
      </w:tr>
      <w:tr>
        <w:trPr>
          <w:trHeight w:val="258"/>
        </w:trPr>
        <w:tc>
          <w:tcPr>
            <w:tcW w:w="1680" w:type="dxa"/>
            <w:vAlign w:val="bottom"/>
            <w:tcBorders>
              <w:bottom w:val="single" w:sz="8" w:color="F2F2F2"/>
            </w:tcBorders>
            <w:shd w:val="clear" w:color="auto" w:fill="F2F2F2"/>
          </w:tcPr>
          <w:p>
            <w:pPr>
              <w:spacing w:after="0"/>
              <w:rPr>
                <w:sz w:val="22"/>
                <w:szCs w:val="22"/>
                <w:color w:val="auto"/>
              </w:rPr>
            </w:pPr>
          </w:p>
        </w:tc>
        <w:tc>
          <w:tcPr>
            <w:tcW w:w="440" w:type="dxa"/>
            <w:vAlign w:val="bottom"/>
            <w:tcBorders>
              <w:bottom w:val="single" w:sz="8" w:color="F2F2F2"/>
            </w:tcBorders>
            <w:gridSpan w:val="2"/>
            <w:shd w:val="clear" w:color="auto" w:fill="F2F2F2"/>
          </w:tcPr>
          <w:p>
            <w:pPr>
              <w:ind w:left="100"/>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F2F2F2"/>
            </w:tcBorders>
            <w:gridSpan w:val="2"/>
            <w:shd w:val="clear" w:color="auto" w:fill="F2F2F2"/>
          </w:tcPr>
          <w:p>
            <w:pPr>
              <w:ind w:left="20"/>
              <w:spacing w:after="0"/>
              <w:rPr>
                <w:sz w:val="20"/>
                <w:szCs w:val="20"/>
                <w:color w:val="auto"/>
              </w:rPr>
            </w:pPr>
            <w:r>
              <w:rPr>
                <w:rFonts w:ascii="Arial" w:cs="Arial" w:eastAsia="Arial" w:hAnsi="Arial"/>
                <w:sz w:val="14"/>
                <w:szCs w:val="14"/>
                <w:color w:val="auto"/>
              </w:rPr>
              <w:t>PA</w:t>
            </w:r>
          </w:p>
        </w:tc>
        <w:tc>
          <w:tcPr>
            <w:tcW w:w="240" w:type="dxa"/>
            <w:vAlign w:val="bottom"/>
            <w:tcBorders>
              <w:bottom w:val="single" w:sz="8" w:color="F2F2F2"/>
            </w:tcBorders>
            <w:shd w:val="clear" w:color="auto" w:fill="F2F2F2"/>
          </w:tcPr>
          <w:p>
            <w:pPr>
              <w:spacing w:after="0"/>
              <w:rPr>
                <w:sz w:val="22"/>
                <w:szCs w:val="22"/>
                <w:color w:val="auto"/>
              </w:rPr>
            </w:pPr>
          </w:p>
        </w:tc>
        <w:tc>
          <w:tcPr>
            <w:tcW w:w="91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4"/>
                <w:szCs w:val="14"/>
                <w:color w:val="auto"/>
              </w:rPr>
              <w:t>15,966</w:t>
            </w:r>
          </w:p>
        </w:tc>
        <w:tc>
          <w:tcPr>
            <w:tcW w:w="310" w:type="dxa"/>
            <w:vAlign w:val="bottom"/>
            <w:tcBorders>
              <w:bottom w:val="single" w:sz="8" w:color="F2F2F2"/>
            </w:tcBorders>
            <w:gridSpan w:val="2"/>
            <w:vMerge w:val="continue"/>
            <w:shd w:val="clear" w:color="auto" w:fill="F2F2F2"/>
          </w:tcPr>
          <w:p>
            <w:pPr>
              <w:spacing w:after="0"/>
              <w:rPr>
                <w:sz w:val="22"/>
                <w:szCs w:val="22"/>
                <w:color w:val="auto"/>
              </w:rPr>
            </w:pPr>
          </w:p>
        </w:tc>
        <w:tc>
          <w:tcPr>
            <w:tcW w:w="11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4"/>
                <w:szCs w:val="14"/>
                <w:color w:val="auto"/>
              </w:rPr>
              <w:t>$17,158,341</w:t>
            </w:r>
          </w:p>
        </w:tc>
        <w:tc>
          <w:tcPr>
            <w:tcW w:w="142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1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2025 SVA</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4,734</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$5,087,535</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SVA</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5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518</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$556,684</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2025</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RVA</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5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4,329</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$4,652,290</w:t>
            </w: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2024 RVA</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5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482</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$517,996</w:t>
            </w:r>
          </w:p>
        </w:tc>
        <w:tc>
          <w:tcPr>
            <w:tcW w:w="0" w:type="dxa"/>
            <w:vAlign w:val="bottom"/>
          </w:tcPr>
          <w:p>
            <w:pPr>
              <w:spacing w:after="0"/>
              <w:rPr>
                <w:sz w:val="1"/>
                <w:szCs w:val="1"/>
                <w:color w:val="auto"/>
              </w:rPr>
            </w:pPr>
          </w:p>
        </w:tc>
      </w:tr>
      <w:tr>
        <w:trPr>
          <w:trHeight w:val="275"/>
        </w:trPr>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RSU</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60" w:type="dxa"/>
            <w:vAlign w:val="bottom"/>
            <w:gridSpan w:val="5"/>
          </w:tcPr>
          <w:p>
            <w:pPr>
              <w:jc w:val="right"/>
              <w:ind w:right="240"/>
              <w:spacing w:after="0"/>
              <w:rPr>
                <w:sz w:val="20"/>
                <w:szCs w:val="20"/>
                <w:color w:val="auto"/>
              </w:rPr>
            </w:pPr>
            <w:r>
              <w:rPr>
                <w:rFonts w:ascii="Arial" w:cs="Arial" w:eastAsia="Arial" w:hAnsi="Arial"/>
                <w:sz w:val="14"/>
                <w:szCs w:val="14"/>
                <w:color w:val="auto"/>
              </w:rPr>
              <w:t xml:space="preserve">2,349 </w:t>
            </w:r>
            <w:r>
              <w:rPr>
                <w:rFonts w:ascii="Arial" w:cs="Arial" w:eastAsia="Arial" w:hAnsi="Arial"/>
                <w:sz w:val="18"/>
                <w:szCs w:val="18"/>
                <w:color w:val="auto"/>
                <w:vertAlign w:val="superscript"/>
              </w:rPr>
              <w:t>5</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$2,524,423</w:t>
            </w: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00" w:type="dxa"/>
            <w:vAlign w:val="bottom"/>
            <w:shd w:val="clear" w:color="auto" w:fill="F2F2F2"/>
          </w:tcPr>
          <w:p>
            <w:pPr>
              <w:spacing w:after="0"/>
              <w:rPr>
                <w:sz w:val="20"/>
                <w:szCs w:val="20"/>
                <w:color w:val="auto"/>
              </w:rPr>
            </w:pPr>
          </w:p>
        </w:tc>
        <w:tc>
          <w:tcPr>
            <w:tcW w:w="126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2025 SVA</w:t>
            </w:r>
          </w:p>
        </w:tc>
        <w:tc>
          <w:tcPr>
            <w:tcW w:w="24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450" w:type="dxa"/>
            <w:vAlign w:val="bottom"/>
            <w:shd w:val="clear" w:color="auto" w:fill="F2F2F2"/>
          </w:tcPr>
          <w:p>
            <w:pPr>
              <w:spacing w:after="0"/>
              <w:rPr>
                <w:sz w:val="20"/>
                <w:szCs w:val="20"/>
                <w:color w:val="auto"/>
              </w:rPr>
            </w:pPr>
          </w:p>
        </w:tc>
        <w:tc>
          <w:tcPr>
            <w:tcW w:w="7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3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11,363</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$12,211,589</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70" w:type="dxa"/>
            <w:vAlign w:val="bottom"/>
            <w:shd w:val="clear" w:color="auto" w:fill="F2F2F2"/>
          </w:tcPr>
          <w:p>
            <w:pPr>
              <w:spacing w:after="0"/>
              <w:rPr>
                <w:sz w:val="22"/>
                <w:szCs w:val="22"/>
                <w:color w:val="auto"/>
              </w:rPr>
            </w:pPr>
          </w:p>
        </w:tc>
        <w:tc>
          <w:tcPr>
            <w:tcW w:w="24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7,276</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$7,819,372</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2025</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70" w:type="dxa"/>
            <w:vAlign w:val="bottom"/>
            <w:shd w:val="clear" w:color="auto" w:fill="F2F2F2"/>
          </w:tcPr>
          <w:p>
            <w:pPr>
              <w:spacing w:after="0"/>
              <w:rPr>
                <w:sz w:val="22"/>
                <w:szCs w:val="22"/>
                <w:color w:val="auto"/>
              </w:rPr>
            </w:pPr>
          </w:p>
        </w:tc>
        <w:tc>
          <w:tcPr>
            <w:tcW w:w="24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10,391</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$11,167,000</w:t>
            </w:r>
          </w:p>
        </w:tc>
        <w:tc>
          <w:tcPr>
            <w:tcW w:w="0" w:type="dxa"/>
            <w:vAlign w:val="bottom"/>
          </w:tcPr>
          <w:p>
            <w:pPr>
              <w:spacing w:after="0"/>
              <w:rPr>
                <w:sz w:val="1"/>
                <w:szCs w:val="1"/>
                <w:color w:val="auto"/>
              </w:rPr>
            </w:pPr>
          </w:p>
        </w:tc>
      </w:tr>
      <w:tr>
        <w:trPr>
          <w:trHeight w:val="260"/>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70" w:type="dxa"/>
            <w:vAlign w:val="bottom"/>
            <w:vMerge w:val="restart"/>
            <w:shd w:val="clear" w:color="auto" w:fill="F2F2F2"/>
          </w:tcPr>
          <w:p>
            <w:pPr>
              <w:jc w:val="right"/>
              <w:spacing w:after="0"/>
              <w:rPr>
                <w:sz w:val="20"/>
                <w:szCs w:val="20"/>
                <w:color w:val="auto"/>
              </w:rPr>
            </w:pPr>
            <w:r>
              <w:rPr>
                <w:rFonts w:ascii="Arial" w:cs="Arial" w:eastAsia="Arial" w:hAnsi="Arial"/>
                <w:sz w:val="8"/>
                <w:szCs w:val="8"/>
                <w:color w:val="auto"/>
                <w:w w:val="88"/>
                <w:shd w:val="clear" w:color="auto" w:fill="F2F2F2"/>
              </w:rPr>
              <w:t>6</w:t>
            </w:r>
          </w:p>
        </w:tc>
        <w:tc>
          <w:tcPr>
            <w:tcW w:w="24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6,778</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$7,284,181</w:t>
            </w:r>
          </w:p>
        </w:tc>
        <w:tc>
          <w:tcPr>
            <w:tcW w:w="0" w:type="dxa"/>
            <w:vAlign w:val="bottom"/>
          </w:tcPr>
          <w:p>
            <w:pPr>
              <w:spacing w:after="0"/>
              <w:rPr>
                <w:sz w:val="1"/>
                <w:szCs w:val="1"/>
                <w:color w:val="auto"/>
              </w:rPr>
            </w:pPr>
          </w:p>
        </w:tc>
      </w:tr>
      <w:tr>
        <w:trPr>
          <w:trHeight w:val="89"/>
        </w:trPr>
        <w:tc>
          <w:tcPr>
            <w:tcW w:w="1680" w:type="dxa"/>
            <w:vAlign w:val="bottom"/>
            <w:shd w:val="clear" w:color="auto" w:fill="F2F2F2"/>
          </w:tcPr>
          <w:p>
            <w:pPr>
              <w:spacing w:after="0"/>
              <w:rPr>
                <w:sz w:val="7"/>
                <w:szCs w:val="7"/>
                <w:color w:val="auto"/>
              </w:rPr>
            </w:pPr>
          </w:p>
        </w:tc>
        <w:tc>
          <w:tcPr>
            <w:tcW w:w="100" w:type="dxa"/>
            <w:vAlign w:val="bottom"/>
            <w:shd w:val="clear" w:color="auto" w:fill="F2F2F2"/>
          </w:tcPr>
          <w:p>
            <w:pPr>
              <w:spacing w:after="0"/>
              <w:rPr>
                <w:sz w:val="7"/>
                <w:szCs w:val="7"/>
                <w:color w:val="auto"/>
              </w:rPr>
            </w:pPr>
          </w:p>
        </w:tc>
        <w:tc>
          <w:tcPr>
            <w:tcW w:w="340" w:type="dxa"/>
            <w:vAlign w:val="bottom"/>
            <w:vMerge w:val="restart"/>
            <w:shd w:val="clear" w:color="auto" w:fill="F2F2F2"/>
          </w:tcPr>
          <w:p>
            <w:pPr>
              <w:spacing w:after="0"/>
              <w:rPr>
                <w:sz w:val="20"/>
                <w:szCs w:val="20"/>
                <w:color w:val="auto"/>
              </w:rPr>
            </w:pPr>
            <w:r>
              <w:rPr>
                <w:rFonts w:ascii="Arial" w:cs="Arial" w:eastAsia="Arial" w:hAnsi="Arial"/>
                <w:sz w:val="14"/>
                <w:szCs w:val="14"/>
                <w:color w:val="auto"/>
                <w:shd w:val="clear" w:color="auto" w:fill="F2F2F2"/>
              </w:rPr>
              <w:t>2023</w:t>
            </w:r>
          </w:p>
        </w:tc>
        <w:tc>
          <w:tcPr>
            <w:tcW w:w="20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w w:val="85"/>
                <w:shd w:val="clear" w:color="auto" w:fill="F2F2F2"/>
              </w:rPr>
              <w:t>PA</w:t>
            </w:r>
          </w:p>
        </w:tc>
        <w:tc>
          <w:tcPr>
            <w:tcW w:w="720" w:type="dxa"/>
            <w:vAlign w:val="bottom"/>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460" w:type="dxa"/>
            <w:vAlign w:val="bottom"/>
            <w:shd w:val="clear" w:color="auto" w:fill="F2F2F2"/>
          </w:tcPr>
          <w:p>
            <w:pPr>
              <w:spacing w:after="0"/>
              <w:rPr>
                <w:sz w:val="7"/>
                <w:szCs w:val="7"/>
                <w:color w:val="auto"/>
              </w:rPr>
            </w:pPr>
          </w:p>
        </w:tc>
        <w:tc>
          <w:tcPr>
            <w:tcW w:w="45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w w:val="97"/>
                <w:shd w:val="clear" w:color="auto" w:fill="F2F2F2"/>
              </w:rPr>
              <w:t>12,684</w:t>
            </w:r>
          </w:p>
        </w:tc>
        <w:tc>
          <w:tcPr>
            <w:tcW w:w="70" w:type="dxa"/>
            <w:vAlign w:val="bottom"/>
            <w:vMerge w:val="continue"/>
            <w:shd w:val="clear" w:color="auto" w:fill="F2F2F2"/>
          </w:tcPr>
          <w:p>
            <w:pPr>
              <w:spacing w:after="0"/>
              <w:rPr>
                <w:sz w:val="7"/>
                <w:szCs w:val="7"/>
                <w:color w:val="auto"/>
              </w:rPr>
            </w:pPr>
          </w:p>
        </w:tc>
        <w:tc>
          <w:tcPr>
            <w:tcW w:w="240" w:type="dxa"/>
            <w:vAlign w:val="bottom"/>
            <w:shd w:val="clear" w:color="auto" w:fill="F2F2F2"/>
          </w:tcPr>
          <w:p>
            <w:pPr>
              <w:spacing w:after="0"/>
              <w:rPr>
                <w:sz w:val="7"/>
                <w:szCs w:val="7"/>
                <w:color w:val="auto"/>
              </w:rPr>
            </w:pPr>
          </w:p>
        </w:tc>
        <w:tc>
          <w:tcPr>
            <w:tcW w:w="360" w:type="dxa"/>
            <w:vAlign w:val="bottom"/>
            <w:shd w:val="clear" w:color="auto" w:fill="F2F2F2"/>
          </w:tcPr>
          <w:p>
            <w:pPr>
              <w:spacing w:after="0"/>
              <w:rPr>
                <w:sz w:val="7"/>
                <w:szCs w:val="7"/>
                <w:color w:val="auto"/>
              </w:rPr>
            </w:pPr>
          </w:p>
        </w:tc>
        <w:tc>
          <w:tcPr>
            <w:tcW w:w="82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shd w:val="clear" w:color="auto" w:fill="F2F2F2"/>
              </w:rPr>
              <w:t>$13,631,241</w:t>
            </w:r>
          </w:p>
        </w:tc>
        <w:tc>
          <w:tcPr>
            <w:tcW w:w="1420" w:type="dxa"/>
            <w:vAlign w:val="bottom"/>
            <w:shd w:val="clear" w:color="auto" w:fill="F2F2F2"/>
          </w:tcPr>
          <w:p>
            <w:pPr>
              <w:spacing w:after="0"/>
              <w:rPr>
                <w:sz w:val="7"/>
                <w:szCs w:val="7"/>
                <w:color w:val="auto"/>
              </w:rPr>
            </w:pPr>
          </w:p>
        </w:tc>
        <w:tc>
          <w:tcPr>
            <w:tcW w:w="300" w:type="dxa"/>
            <w:vAlign w:val="bottom"/>
            <w:shd w:val="clear" w:color="auto" w:fill="F2F2F2"/>
          </w:tcPr>
          <w:p>
            <w:pPr>
              <w:spacing w:after="0"/>
              <w:rPr>
                <w:sz w:val="7"/>
                <w:szCs w:val="7"/>
                <w:color w:val="auto"/>
              </w:rPr>
            </w:pPr>
          </w:p>
        </w:tc>
        <w:tc>
          <w:tcPr>
            <w:tcW w:w="1680" w:type="dxa"/>
            <w:vAlign w:val="bottom"/>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80" w:type="dxa"/>
            <w:vAlign w:val="bottom"/>
            <w:tcBorders>
              <w:bottom w:val="single" w:sz="8" w:color="F2F2F2"/>
            </w:tcBorders>
            <w:shd w:val="clear" w:color="auto" w:fill="F2F2F2"/>
          </w:tcPr>
          <w:p>
            <w:pPr>
              <w:spacing w:after="0"/>
              <w:rPr>
                <w:sz w:val="14"/>
                <w:szCs w:val="14"/>
                <w:color w:val="auto"/>
              </w:rPr>
            </w:pPr>
          </w:p>
        </w:tc>
        <w:tc>
          <w:tcPr>
            <w:tcW w:w="100" w:type="dxa"/>
            <w:vAlign w:val="bottom"/>
            <w:tcBorders>
              <w:bottom w:val="single" w:sz="8" w:color="F2F2F2"/>
            </w:tcBorders>
            <w:shd w:val="clear" w:color="auto" w:fill="F2F2F2"/>
          </w:tcPr>
          <w:p>
            <w:pPr>
              <w:spacing w:after="0"/>
              <w:rPr>
                <w:sz w:val="14"/>
                <w:szCs w:val="14"/>
                <w:color w:val="auto"/>
              </w:rPr>
            </w:pPr>
          </w:p>
        </w:tc>
        <w:tc>
          <w:tcPr>
            <w:tcW w:w="340" w:type="dxa"/>
            <w:vAlign w:val="bottom"/>
            <w:tcBorders>
              <w:bottom w:val="single" w:sz="8" w:color="F2F2F2"/>
            </w:tcBorders>
            <w:vMerge w:val="continue"/>
            <w:shd w:val="clear" w:color="auto" w:fill="F2F2F2"/>
          </w:tcPr>
          <w:p>
            <w:pPr>
              <w:spacing w:after="0"/>
              <w:rPr>
                <w:sz w:val="14"/>
                <w:szCs w:val="14"/>
                <w:color w:val="auto"/>
              </w:rPr>
            </w:pPr>
          </w:p>
        </w:tc>
        <w:tc>
          <w:tcPr>
            <w:tcW w:w="200" w:type="dxa"/>
            <w:vAlign w:val="bottom"/>
            <w:tcBorders>
              <w:bottom w:val="single" w:sz="8" w:color="F2F2F2"/>
            </w:tcBorders>
            <w:vMerge w:val="continue"/>
            <w:shd w:val="clear" w:color="auto" w:fill="F2F2F2"/>
          </w:tcPr>
          <w:p>
            <w:pPr>
              <w:spacing w:after="0"/>
              <w:rPr>
                <w:sz w:val="14"/>
                <w:szCs w:val="14"/>
                <w:color w:val="auto"/>
              </w:rPr>
            </w:pPr>
          </w:p>
        </w:tc>
        <w:tc>
          <w:tcPr>
            <w:tcW w:w="720" w:type="dxa"/>
            <w:vAlign w:val="bottom"/>
            <w:tcBorders>
              <w:bottom w:val="single" w:sz="8" w:color="F2F2F2"/>
            </w:tcBorders>
            <w:shd w:val="clear" w:color="auto" w:fill="F2F2F2"/>
          </w:tcPr>
          <w:p>
            <w:pPr>
              <w:spacing w:after="0"/>
              <w:rPr>
                <w:sz w:val="14"/>
                <w:szCs w:val="14"/>
                <w:color w:val="auto"/>
              </w:rPr>
            </w:pPr>
          </w:p>
        </w:tc>
        <w:tc>
          <w:tcPr>
            <w:tcW w:w="240" w:type="dxa"/>
            <w:vAlign w:val="bottom"/>
            <w:tcBorders>
              <w:bottom w:val="single" w:sz="8" w:color="F2F2F2"/>
            </w:tcBorders>
            <w:shd w:val="clear" w:color="auto" w:fill="F2F2F2"/>
          </w:tcPr>
          <w:p>
            <w:pPr>
              <w:spacing w:after="0"/>
              <w:rPr>
                <w:sz w:val="14"/>
                <w:szCs w:val="14"/>
                <w:color w:val="auto"/>
              </w:rPr>
            </w:pPr>
          </w:p>
        </w:tc>
        <w:tc>
          <w:tcPr>
            <w:tcW w:w="460" w:type="dxa"/>
            <w:vAlign w:val="bottom"/>
            <w:tcBorders>
              <w:bottom w:val="single" w:sz="8" w:color="F2F2F2"/>
            </w:tcBorders>
            <w:shd w:val="clear" w:color="auto" w:fill="F2F2F2"/>
          </w:tcPr>
          <w:p>
            <w:pPr>
              <w:spacing w:after="0"/>
              <w:rPr>
                <w:sz w:val="14"/>
                <w:szCs w:val="14"/>
                <w:color w:val="auto"/>
              </w:rPr>
            </w:pPr>
          </w:p>
        </w:tc>
        <w:tc>
          <w:tcPr>
            <w:tcW w:w="450" w:type="dxa"/>
            <w:vAlign w:val="bottom"/>
            <w:tcBorders>
              <w:bottom w:val="single" w:sz="8" w:color="F2F2F2"/>
            </w:tcBorders>
            <w:vMerge w:val="continue"/>
            <w:shd w:val="clear" w:color="auto" w:fill="F2F2F2"/>
          </w:tcPr>
          <w:p>
            <w:pPr>
              <w:spacing w:after="0"/>
              <w:rPr>
                <w:sz w:val="14"/>
                <w:szCs w:val="14"/>
                <w:color w:val="auto"/>
              </w:rPr>
            </w:pPr>
          </w:p>
        </w:tc>
        <w:tc>
          <w:tcPr>
            <w:tcW w:w="70" w:type="dxa"/>
            <w:vAlign w:val="bottom"/>
            <w:tcBorders>
              <w:bottom w:val="single" w:sz="8" w:color="F2F2F2"/>
            </w:tcBorders>
            <w:shd w:val="clear" w:color="auto" w:fill="F2F2F2"/>
          </w:tcPr>
          <w:p>
            <w:pPr>
              <w:spacing w:after="0"/>
              <w:rPr>
                <w:sz w:val="14"/>
                <w:szCs w:val="14"/>
                <w:color w:val="auto"/>
              </w:rPr>
            </w:pPr>
          </w:p>
        </w:tc>
        <w:tc>
          <w:tcPr>
            <w:tcW w:w="240" w:type="dxa"/>
            <w:vAlign w:val="bottom"/>
            <w:tcBorders>
              <w:bottom w:val="single" w:sz="8" w:color="F2F2F2"/>
            </w:tcBorders>
            <w:shd w:val="clear" w:color="auto" w:fill="F2F2F2"/>
          </w:tcPr>
          <w:p>
            <w:pPr>
              <w:spacing w:after="0"/>
              <w:rPr>
                <w:sz w:val="14"/>
                <w:szCs w:val="14"/>
                <w:color w:val="auto"/>
              </w:rPr>
            </w:pPr>
          </w:p>
        </w:tc>
        <w:tc>
          <w:tcPr>
            <w:tcW w:w="360" w:type="dxa"/>
            <w:vAlign w:val="bottom"/>
            <w:tcBorders>
              <w:bottom w:val="single" w:sz="8" w:color="F2F2F2"/>
            </w:tcBorders>
            <w:shd w:val="clear" w:color="auto" w:fill="F2F2F2"/>
          </w:tcPr>
          <w:p>
            <w:pPr>
              <w:spacing w:after="0"/>
              <w:rPr>
                <w:sz w:val="14"/>
                <w:szCs w:val="14"/>
                <w:color w:val="auto"/>
              </w:rPr>
            </w:pPr>
          </w:p>
        </w:tc>
        <w:tc>
          <w:tcPr>
            <w:tcW w:w="820" w:type="dxa"/>
            <w:vAlign w:val="bottom"/>
            <w:tcBorders>
              <w:bottom w:val="single" w:sz="8" w:color="F2F2F2"/>
            </w:tcBorders>
            <w:vMerge w:val="continue"/>
            <w:shd w:val="clear" w:color="auto" w:fill="F2F2F2"/>
          </w:tcPr>
          <w:p>
            <w:pPr>
              <w:spacing w:after="0"/>
              <w:rPr>
                <w:sz w:val="14"/>
                <w:szCs w:val="14"/>
                <w:color w:val="auto"/>
              </w:rPr>
            </w:pPr>
          </w:p>
        </w:tc>
        <w:tc>
          <w:tcPr>
            <w:tcW w:w="1420" w:type="dxa"/>
            <w:vAlign w:val="bottom"/>
            <w:tcBorders>
              <w:bottom w:val="single" w:sz="8" w:color="F2F2F2"/>
            </w:tcBorders>
            <w:shd w:val="clear" w:color="auto" w:fill="F2F2F2"/>
          </w:tcPr>
          <w:p>
            <w:pPr>
              <w:spacing w:after="0"/>
              <w:rPr>
                <w:sz w:val="14"/>
                <w:szCs w:val="14"/>
                <w:color w:val="auto"/>
              </w:rPr>
            </w:pPr>
          </w:p>
        </w:tc>
        <w:tc>
          <w:tcPr>
            <w:tcW w:w="300" w:type="dxa"/>
            <w:vAlign w:val="bottom"/>
            <w:tcBorders>
              <w:bottom w:val="single" w:sz="8" w:color="F2F2F2"/>
            </w:tcBorders>
            <w:shd w:val="clear" w:color="auto" w:fill="F2F2F2"/>
          </w:tcPr>
          <w:p>
            <w:pPr>
              <w:spacing w:after="0"/>
              <w:rPr>
                <w:sz w:val="14"/>
                <w:szCs w:val="14"/>
                <w:color w:val="auto"/>
              </w:rPr>
            </w:pPr>
          </w:p>
        </w:tc>
        <w:tc>
          <w:tcPr>
            <w:tcW w:w="1680" w:type="dxa"/>
            <w:vAlign w:val="bottom"/>
            <w:tcBorders>
              <w:bottom w:val="single" w:sz="8" w:color="F2F2F2"/>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680" w:type="dxa"/>
            <w:vAlign w:val="bottom"/>
          </w:tcPr>
          <w:p>
            <w:pPr>
              <w:ind w:left="20"/>
              <w:spacing w:after="0"/>
              <w:rPr>
                <w:sz w:val="20"/>
                <w:szCs w:val="20"/>
                <w:color w:val="auto"/>
              </w:rPr>
            </w:pPr>
            <w:r>
              <w:rPr>
                <w:rFonts w:ascii="Arial" w:cs="Arial" w:eastAsia="Arial" w:hAnsi="Arial"/>
                <w:sz w:val="14"/>
                <w:szCs w:val="14"/>
                <w:color w:val="auto"/>
              </w:rPr>
              <w:t>Ms. Hakim</w:t>
            </w:r>
          </w:p>
        </w:tc>
        <w:tc>
          <w:tcPr>
            <w:tcW w:w="1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2025 SVA</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5,681</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tcPr>
          <w:p>
            <w:pPr>
              <w:jc w:val="right"/>
              <w:spacing w:after="0"/>
              <w:rPr>
                <w:sz w:val="20"/>
                <w:szCs w:val="20"/>
                <w:color w:val="auto"/>
              </w:rPr>
            </w:pPr>
            <w:r>
              <w:rPr>
                <w:rFonts w:ascii="Arial" w:cs="Arial" w:eastAsia="Arial" w:hAnsi="Arial"/>
                <w:sz w:val="14"/>
                <w:szCs w:val="14"/>
                <w:color w:val="auto"/>
              </w:rPr>
              <w:t>$6,105,257</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SVA</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5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3,832</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$4,118,174</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2025</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RVA</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5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5,195</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tcPr>
          <w:p>
            <w:pPr>
              <w:jc w:val="right"/>
              <w:spacing w:after="0"/>
              <w:rPr>
                <w:sz w:val="20"/>
                <w:szCs w:val="20"/>
                <w:color w:val="auto"/>
              </w:rPr>
            </w:pPr>
            <w:r>
              <w:rPr>
                <w:rFonts w:ascii="Arial" w:cs="Arial" w:eastAsia="Arial" w:hAnsi="Arial"/>
                <w:sz w:val="14"/>
                <w:szCs w:val="14"/>
                <w:color w:val="auto"/>
              </w:rPr>
              <w:t>$5,582,963</w:t>
            </w: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RVA</w:t>
            </w:r>
          </w:p>
        </w:tc>
        <w:tc>
          <w:tcPr>
            <w:tcW w:w="1460" w:type="dxa"/>
            <w:vAlign w:val="bottom"/>
            <w:gridSpan w:val="5"/>
            <w:vMerge w:val="restart"/>
          </w:tcPr>
          <w:p>
            <w:pPr>
              <w:jc w:val="right"/>
              <w:ind w:right="240"/>
              <w:spacing w:after="0"/>
              <w:rPr>
                <w:sz w:val="20"/>
                <w:szCs w:val="20"/>
                <w:color w:val="auto"/>
              </w:rPr>
            </w:pPr>
            <w:r>
              <w:rPr>
                <w:rFonts w:ascii="Arial" w:cs="Arial" w:eastAsia="Arial" w:hAnsi="Arial"/>
                <w:sz w:val="14"/>
                <w:szCs w:val="14"/>
                <w:color w:val="auto"/>
              </w:rPr>
              <w:t xml:space="preserve">3,350 </w:t>
            </w:r>
            <w:r>
              <w:rPr>
                <w:rFonts w:ascii="Arial" w:cs="Arial" w:eastAsia="Arial" w:hAnsi="Arial"/>
                <w:sz w:val="18"/>
                <w:szCs w:val="18"/>
                <w:color w:val="auto"/>
                <w:vertAlign w:val="superscript"/>
              </w:rPr>
              <w:t>6</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3,570</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$3,836,608</w:t>
            </w:r>
          </w:p>
        </w:tc>
        <w:tc>
          <w:tcPr>
            <w:tcW w:w="0" w:type="dxa"/>
            <w:vAlign w:val="bottom"/>
          </w:tcPr>
          <w:p>
            <w:pPr>
              <w:spacing w:after="0"/>
              <w:rPr>
                <w:sz w:val="1"/>
                <w:szCs w:val="1"/>
                <w:color w:val="auto"/>
              </w:rPr>
            </w:pPr>
          </w:p>
        </w:tc>
      </w:tr>
      <w:tr>
        <w:trPr>
          <w:trHeight w:val="257"/>
        </w:trPr>
        <w:tc>
          <w:tcPr>
            <w:tcW w:w="168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2023</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PA</w:t>
            </w:r>
          </w:p>
        </w:tc>
        <w:tc>
          <w:tcPr>
            <w:tcW w:w="1460" w:type="dxa"/>
            <w:vAlign w:val="bottom"/>
            <w:gridSpan w:val="5"/>
            <w:vMerge w:val="continue"/>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$3,600,178</w:t>
            </w: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6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00" w:type="dxa"/>
            <w:vAlign w:val="bottom"/>
            <w:shd w:val="clear" w:color="auto" w:fill="F2F2F2"/>
          </w:tcPr>
          <w:p>
            <w:pPr>
              <w:spacing w:after="0"/>
              <w:rPr>
                <w:sz w:val="20"/>
                <w:szCs w:val="20"/>
                <w:color w:val="auto"/>
              </w:rPr>
            </w:pPr>
          </w:p>
        </w:tc>
        <w:tc>
          <w:tcPr>
            <w:tcW w:w="126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2025 SVA</w:t>
            </w:r>
          </w:p>
        </w:tc>
        <w:tc>
          <w:tcPr>
            <w:tcW w:w="24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450" w:type="dxa"/>
            <w:vAlign w:val="bottom"/>
            <w:shd w:val="clear" w:color="auto" w:fill="F2F2F2"/>
          </w:tcPr>
          <w:p>
            <w:pPr>
              <w:spacing w:after="0"/>
              <w:rPr>
                <w:sz w:val="20"/>
                <w:szCs w:val="20"/>
                <w:color w:val="auto"/>
              </w:rPr>
            </w:pPr>
          </w:p>
        </w:tc>
        <w:tc>
          <w:tcPr>
            <w:tcW w:w="7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360" w:type="dxa"/>
            <w:vAlign w:val="bottom"/>
            <w:shd w:val="clear" w:color="auto" w:fill="F2F2F2"/>
          </w:tcPr>
          <w:p>
            <w:pPr>
              <w:spacing w:after="0"/>
              <w:rPr>
                <w:sz w:val="20"/>
                <w:szCs w:val="20"/>
                <w:color w:val="auto"/>
              </w:rPr>
            </w:pPr>
          </w:p>
        </w:tc>
        <w:tc>
          <w:tcPr>
            <w:tcW w:w="820" w:type="dxa"/>
            <w:vAlign w:val="bottom"/>
            <w:shd w:val="clear" w:color="auto" w:fill="F2F2F2"/>
          </w:tcPr>
          <w:p>
            <w:pPr>
              <w:spacing w:after="0"/>
              <w:rPr>
                <w:sz w:val="20"/>
                <w:szCs w:val="20"/>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4,261</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1</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$4,579,211</w:t>
            </w:r>
          </w:p>
        </w:tc>
        <w:tc>
          <w:tcPr>
            <w:tcW w:w="0" w:type="dxa"/>
            <w:vAlign w:val="bottom"/>
          </w:tcPr>
          <w:p>
            <w:pPr>
              <w:spacing w:after="0"/>
              <w:rPr>
                <w:sz w:val="1"/>
                <w:szCs w:val="1"/>
                <w:color w:val="auto"/>
              </w:rPr>
            </w:pPr>
          </w:p>
        </w:tc>
      </w:tr>
      <w:tr>
        <w:trPr>
          <w:trHeight w:val="257"/>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SVA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70" w:type="dxa"/>
            <w:vAlign w:val="bottom"/>
            <w:shd w:val="clear" w:color="auto" w:fill="F2F2F2"/>
          </w:tcPr>
          <w:p>
            <w:pPr>
              <w:spacing w:after="0"/>
              <w:rPr>
                <w:sz w:val="22"/>
                <w:szCs w:val="22"/>
                <w:color w:val="auto"/>
              </w:rPr>
            </w:pPr>
          </w:p>
        </w:tc>
        <w:tc>
          <w:tcPr>
            <w:tcW w:w="24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2,620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2</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$2,815,662</w:t>
            </w:r>
          </w:p>
        </w:tc>
        <w:tc>
          <w:tcPr>
            <w:tcW w:w="0" w:type="dxa"/>
            <w:vAlign w:val="bottom"/>
          </w:tcPr>
          <w:p>
            <w:pPr>
              <w:spacing w:after="0"/>
              <w:rPr>
                <w:sz w:val="1"/>
                <w:szCs w:val="1"/>
                <w:color w:val="auto"/>
              </w:rPr>
            </w:pPr>
          </w:p>
        </w:tc>
      </w:tr>
      <w:tr>
        <w:trPr>
          <w:trHeight w:val="256"/>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2025</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70" w:type="dxa"/>
            <w:vAlign w:val="bottom"/>
            <w:shd w:val="clear" w:color="auto" w:fill="F2F2F2"/>
          </w:tcPr>
          <w:p>
            <w:pPr>
              <w:spacing w:after="0"/>
              <w:rPr>
                <w:sz w:val="22"/>
                <w:szCs w:val="22"/>
                <w:color w:val="auto"/>
              </w:rPr>
            </w:pPr>
          </w:p>
        </w:tc>
        <w:tc>
          <w:tcPr>
            <w:tcW w:w="24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3,896</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$4,186,953</w:t>
            </w:r>
          </w:p>
        </w:tc>
        <w:tc>
          <w:tcPr>
            <w:tcW w:w="0" w:type="dxa"/>
            <w:vAlign w:val="bottom"/>
          </w:tcPr>
          <w:p>
            <w:pPr>
              <w:spacing w:after="0"/>
              <w:rPr>
                <w:sz w:val="1"/>
                <w:szCs w:val="1"/>
                <w:color w:val="auto"/>
              </w:rPr>
            </w:pPr>
          </w:p>
        </w:tc>
      </w:tr>
      <w:tr>
        <w:trPr>
          <w:trHeight w:val="260"/>
        </w:trPr>
        <w:tc>
          <w:tcPr>
            <w:tcW w:w="1680" w:type="dxa"/>
            <w:vAlign w:val="bottom"/>
            <w:shd w:val="clear" w:color="auto" w:fill="F2F2F2"/>
          </w:tcPr>
          <w:p>
            <w:pPr>
              <w:spacing w:after="0"/>
              <w:rPr>
                <w:sz w:val="22"/>
                <w:szCs w:val="22"/>
                <w:color w:val="auto"/>
              </w:rPr>
            </w:pPr>
          </w:p>
        </w:tc>
        <w:tc>
          <w:tcPr>
            <w:tcW w:w="44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2024</w:t>
            </w:r>
          </w:p>
        </w:tc>
        <w:tc>
          <w:tcPr>
            <w:tcW w:w="92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RVA</w:t>
            </w:r>
          </w:p>
        </w:tc>
        <w:tc>
          <w:tcPr>
            <w:tcW w:w="240" w:type="dxa"/>
            <w:vAlign w:val="bottom"/>
            <w:shd w:val="clear" w:color="auto" w:fill="F2F2F2"/>
          </w:tcPr>
          <w:p>
            <w:pPr>
              <w:spacing w:after="0"/>
              <w:rPr>
                <w:sz w:val="22"/>
                <w:szCs w:val="22"/>
                <w:color w:val="auto"/>
              </w:rPr>
            </w:pPr>
          </w:p>
        </w:tc>
        <w:tc>
          <w:tcPr>
            <w:tcW w:w="460" w:type="dxa"/>
            <w:vAlign w:val="bottom"/>
            <w:shd w:val="clear" w:color="auto" w:fill="F2F2F2"/>
          </w:tcPr>
          <w:p>
            <w:pPr>
              <w:spacing w:after="0"/>
              <w:rPr>
                <w:sz w:val="22"/>
                <w:szCs w:val="22"/>
                <w:color w:val="auto"/>
              </w:rPr>
            </w:pPr>
          </w:p>
        </w:tc>
        <w:tc>
          <w:tcPr>
            <w:tcW w:w="450" w:type="dxa"/>
            <w:vAlign w:val="bottom"/>
            <w:shd w:val="clear" w:color="auto" w:fill="F2F2F2"/>
          </w:tcPr>
          <w:p>
            <w:pPr>
              <w:spacing w:after="0"/>
              <w:rPr>
                <w:sz w:val="22"/>
                <w:szCs w:val="22"/>
                <w:color w:val="auto"/>
              </w:rPr>
            </w:pPr>
          </w:p>
        </w:tc>
        <w:tc>
          <w:tcPr>
            <w:tcW w:w="70" w:type="dxa"/>
            <w:vAlign w:val="bottom"/>
            <w:shd w:val="clear" w:color="auto" w:fill="F2F2F2"/>
          </w:tcPr>
          <w:p>
            <w:pPr>
              <w:spacing w:after="0"/>
              <w:rPr>
                <w:sz w:val="22"/>
                <w:szCs w:val="22"/>
                <w:color w:val="auto"/>
              </w:rPr>
            </w:pPr>
          </w:p>
        </w:tc>
        <w:tc>
          <w:tcPr>
            <w:tcW w:w="240" w:type="dxa"/>
            <w:vAlign w:val="bottom"/>
            <w:shd w:val="clear" w:color="auto" w:fill="F2F2F2"/>
          </w:tcPr>
          <w:p>
            <w:pPr>
              <w:spacing w:after="0"/>
              <w:rPr>
                <w:sz w:val="22"/>
                <w:szCs w:val="22"/>
                <w:color w:val="auto"/>
              </w:rPr>
            </w:pPr>
          </w:p>
        </w:tc>
        <w:tc>
          <w:tcPr>
            <w:tcW w:w="360" w:type="dxa"/>
            <w:vAlign w:val="bottom"/>
            <w:shd w:val="clear" w:color="auto" w:fill="F2F2F2"/>
          </w:tcPr>
          <w:p>
            <w:pPr>
              <w:spacing w:after="0"/>
              <w:rPr>
                <w:sz w:val="22"/>
                <w:szCs w:val="22"/>
                <w:color w:val="auto"/>
              </w:rPr>
            </w:pPr>
          </w:p>
        </w:tc>
        <w:tc>
          <w:tcPr>
            <w:tcW w:w="820" w:type="dxa"/>
            <w:vAlign w:val="bottom"/>
            <w:shd w:val="clear" w:color="auto" w:fill="F2F2F2"/>
          </w:tcPr>
          <w:p>
            <w:pPr>
              <w:spacing w:after="0"/>
              <w:rPr>
                <w:sz w:val="22"/>
                <w:szCs w:val="22"/>
                <w:color w:val="auto"/>
              </w:rPr>
            </w:pP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2,440</w:t>
            </w:r>
          </w:p>
        </w:tc>
        <w:tc>
          <w:tcPr>
            <w:tcW w:w="30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w w:val="78"/>
              </w:rPr>
              <w:t>4</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$2,622,219</w:t>
            </w:r>
          </w:p>
        </w:tc>
        <w:tc>
          <w:tcPr>
            <w:tcW w:w="0" w:type="dxa"/>
            <w:vAlign w:val="bottom"/>
          </w:tcPr>
          <w:p>
            <w:pPr>
              <w:spacing w:after="0"/>
              <w:rPr>
                <w:sz w:val="1"/>
                <w:szCs w:val="1"/>
                <w:color w:val="auto"/>
              </w:rPr>
            </w:pPr>
          </w:p>
        </w:tc>
      </w:tr>
      <w:tr>
        <w:trPr>
          <w:trHeight w:val="258"/>
        </w:trPr>
        <w:tc>
          <w:tcPr>
            <w:tcW w:w="1680" w:type="dxa"/>
            <w:vAlign w:val="bottom"/>
            <w:tcBorders>
              <w:bottom w:val="single" w:sz="8" w:color="F2F2F2"/>
            </w:tcBorders>
            <w:shd w:val="clear" w:color="auto" w:fill="F2F2F2"/>
          </w:tcPr>
          <w:p>
            <w:pPr>
              <w:spacing w:after="0"/>
              <w:rPr>
                <w:sz w:val="22"/>
                <w:szCs w:val="22"/>
                <w:color w:val="auto"/>
              </w:rPr>
            </w:pPr>
          </w:p>
        </w:tc>
        <w:tc>
          <w:tcPr>
            <w:tcW w:w="440" w:type="dxa"/>
            <w:vAlign w:val="bottom"/>
            <w:tcBorders>
              <w:bottom w:val="single" w:sz="8" w:color="F2F2F2"/>
            </w:tcBorders>
            <w:gridSpan w:val="2"/>
            <w:shd w:val="clear" w:color="auto" w:fill="F2F2F2"/>
          </w:tcPr>
          <w:p>
            <w:pPr>
              <w:ind w:left="100"/>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F2F2F2"/>
            </w:tcBorders>
            <w:gridSpan w:val="2"/>
            <w:shd w:val="clear" w:color="auto" w:fill="F2F2F2"/>
          </w:tcPr>
          <w:p>
            <w:pPr>
              <w:ind w:left="20"/>
              <w:spacing w:after="0"/>
              <w:rPr>
                <w:sz w:val="20"/>
                <w:szCs w:val="20"/>
                <w:color w:val="auto"/>
              </w:rPr>
            </w:pPr>
            <w:r>
              <w:rPr>
                <w:rFonts w:ascii="Arial" w:cs="Arial" w:eastAsia="Arial" w:hAnsi="Arial"/>
                <w:sz w:val="14"/>
                <w:szCs w:val="14"/>
                <w:color w:val="auto"/>
              </w:rPr>
              <w:t>PA</w:t>
            </w:r>
          </w:p>
        </w:tc>
        <w:tc>
          <w:tcPr>
            <w:tcW w:w="240" w:type="dxa"/>
            <w:vAlign w:val="bottom"/>
            <w:tcBorders>
              <w:bottom w:val="single" w:sz="8" w:color="F2F2F2"/>
            </w:tcBorders>
            <w:shd w:val="clear" w:color="auto" w:fill="F2F2F2"/>
          </w:tcPr>
          <w:p>
            <w:pPr>
              <w:spacing w:after="0"/>
              <w:rPr>
                <w:sz w:val="22"/>
                <w:szCs w:val="22"/>
                <w:color w:val="auto"/>
              </w:rPr>
            </w:pPr>
          </w:p>
        </w:tc>
        <w:tc>
          <w:tcPr>
            <w:tcW w:w="91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4"/>
                <w:szCs w:val="14"/>
                <w:color w:val="auto"/>
              </w:rPr>
              <w:t>2,054</w:t>
            </w:r>
          </w:p>
        </w:tc>
        <w:tc>
          <w:tcPr>
            <w:tcW w:w="310" w:type="dxa"/>
            <w:vAlign w:val="bottom"/>
            <w:tcBorders>
              <w:bottom w:val="single" w:sz="8" w:color="F2F2F2"/>
            </w:tcBorders>
            <w:gridSpan w:val="2"/>
            <w:shd w:val="clear" w:color="auto" w:fill="F2F2F2"/>
          </w:tcPr>
          <w:p>
            <w:pPr>
              <w:jc w:val="right"/>
              <w:ind w:right="240"/>
              <w:spacing w:after="0"/>
              <w:rPr>
                <w:sz w:val="20"/>
                <w:szCs w:val="20"/>
                <w:color w:val="auto"/>
              </w:rPr>
            </w:pPr>
            <w:r>
              <w:rPr>
                <w:rFonts w:ascii="Arial" w:cs="Arial" w:eastAsia="Arial" w:hAnsi="Arial"/>
                <w:sz w:val="9"/>
                <w:szCs w:val="9"/>
                <w:color w:val="auto"/>
                <w:w w:val="78"/>
              </w:rPr>
              <w:t>6</w:t>
            </w:r>
          </w:p>
        </w:tc>
        <w:tc>
          <w:tcPr>
            <w:tcW w:w="11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4"/>
                <w:szCs w:val="14"/>
                <w:color w:val="auto"/>
              </w:rPr>
              <w:t>$2,207,393</w:t>
            </w:r>
          </w:p>
        </w:tc>
        <w:tc>
          <w:tcPr>
            <w:tcW w:w="1420" w:type="dxa"/>
            <w:vAlign w:val="bottom"/>
            <w:tcBorders>
              <w:bottom w:val="single" w:sz="8" w:color="F2F2F2"/>
            </w:tcBorders>
            <w:shd w:val="clear" w:color="auto" w:fill="F2F2F2"/>
          </w:tcPr>
          <w:p>
            <w:pPr>
              <w:spacing w:after="0"/>
              <w:rPr>
                <w:sz w:val="22"/>
                <w:szCs w:val="22"/>
                <w:color w:val="auto"/>
              </w:rPr>
            </w:pPr>
          </w:p>
        </w:tc>
        <w:tc>
          <w:tcPr>
            <w:tcW w:w="300" w:type="dxa"/>
            <w:vAlign w:val="bottom"/>
            <w:tcBorders>
              <w:bottom w:val="single" w:sz="8" w:color="F2F2F2"/>
            </w:tcBorders>
            <w:shd w:val="clear" w:color="auto" w:fill="F2F2F2"/>
          </w:tcPr>
          <w:p>
            <w:pPr>
              <w:spacing w:after="0"/>
              <w:rPr>
                <w:sz w:val="22"/>
                <w:szCs w:val="22"/>
                <w:color w:val="auto"/>
              </w:rPr>
            </w:pPr>
          </w:p>
        </w:tc>
        <w:tc>
          <w:tcPr>
            <w:tcW w:w="1680" w:type="dxa"/>
            <w:vAlign w:val="bottom"/>
            <w:tcBorders>
              <w:bottom w:val="single" w:sz="8" w:color="F2F2F2"/>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50" w:type="dxa"/>
            <w:vAlign w:val="bottom"/>
            <w:shd w:val="clear" w:color="auto" w:fill="000000"/>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180" w:right="100" w:hanging="172"/>
        <w:spacing w:after="0"/>
        <w:tabs>
          <w:tab w:leader="none" w:pos="174" w:val="left"/>
        </w:tabs>
        <w:numPr>
          <w:ilvl w:val="0"/>
          <w:numId w:val="146"/>
        </w:numPr>
        <w:rPr>
          <w:rFonts w:ascii="Arial" w:cs="Arial" w:eastAsia="Arial" w:hAnsi="Arial"/>
          <w:sz w:val="19"/>
          <w:szCs w:val="19"/>
          <w:color w:val="auto"/>
          <w:vertAlign w:val="superscript"/>
        </w:rPr>
      </w:pPr>
      <w:r>
        <w:rPr>
          <w:rFonts w:ascii="Arial" w:cs="Arial" w:eastAsia="Arial" w:hAnsi="Arial"/>
          <w:sz w:val="14"/>
          <w:szCs w:val="14"/>
          <w:color w:val="auto"/>
        </w:rPr>
        <w:t>SVAs granted in 2025 will vest on December 31, 2027. The number of shares reported reflects the maximum payout, which will be made if the average closing stock price in November and December 2027 exceeds $1,316.01. Actual payouts may vary from 0 to 200 percent of target. Net shares from any payout must be held by executive officers for a minimum of one year post vesting. Had the performance period ended December 31, 2025, the payout would have been at 105 percent of target.</w:t>
      </w:r>
    </w:p>
    <w:p>
      <w:pPr>
        <w:spacing w:after="0" w:line="27" w:lineRule="exact"/>
        <w:rPr>
          <w:sz w:val="20"/>
          <w:szCs w:val="20"/>
          <w:color w:val="auto"/>
        </w:rPr>
      </w:pPr>
    </w:p>
    <w:p>
      <w:pPr>
        <w:ind w:left="180" w:hanging="172"/>
        <w:spacing w:after="0" w:line="283" w:lineRule="auto"/>
        <w:tabs>
          <w:tab w:leader="none" w:pos="174" w:val="left"/>
        </w:tabs>
        <w:numPr>
          <w:ilvl w:val="0"/>
          <w:numId w:val="147"/>
        </w:numPr>
        <w:rPr>
          <w:rFonts w:ascii="Arial" w:cs="Arial" w:eastAsia="Arial" w:hAnsi="Arial"/>
          <w:sz w:val="9"/>
          <w:szCs w:val="9"/>
          <w:color w:val="auto"/>
        </w:rPr>
      </w:pPr>
      <w:r>
        <w:rPr>
          <w:rFonts w:ascii="Arial" w:cs="Arial" w:eastAsia="Arial" w:hAnsi="Arial"/>
          <w:sz w:val="14"/>
          <w:szCs w:val="14"/>
          <w:color w:val="auto"/>
        </w:rPr>
        <w:t>SVAs granted in 2024 will vest on December 31, 2026. The number of shares reported reflects the maximum payout, which will be made if the average closing stock price in November and December 2026 exceeds $945.39. Actual payouts may vary from 0 to 200 percent of target. Net shares from any payout must be held by executive officers for a minimum of one year post vesting. Had the performance period ended December 31, 2025, the payout would have been 200 percent of target.</w:t>
      </w:r>
    </w:p>
    <w:p>
      <w:pPr>
        <w:spacing w:after="0" w:line="11" w:lineRule="exact"/>
        <w:rPr>
          <w:sz w:val="20"/>
          <w:szCs w:val="20"/>
          <w:color w:val="auto"/>
        </w:rPr>
      </w:pPr>
    </w:p>
    <w:p>
      <w:pPr>
        <w:ind w:left="180" w:right="220" w:hanging="172"/>
        <w:spacing w:after="0" w:line="234" w:lineRule="auto"/>
        <w:tabs>
          <w:tab w:leader="none" w:pos="174" w:val="left"/>
        </w:tabs>
        <w:numPr>
          <w:ilvl w:val="0"/>
          <w:numId w:val="148"/>
        </w:numPr>
        <w:rPr>
          <w:rFonts w:ascii="Arial" w:cs="Arial" w:eastAsia="Arial" w:hAnsi="Arial"/>
          <w:sz w:val="19"/>
          <w:szCs w:val="19"/>
          <w:color w:val="auto"/>
          <w:vertAlign w:val="superscript"/>
        </w:rPr>
      </w:pPr>
      <w:r>
        <w:rPr>
          <w:rFonts w:ascii="Arial" w:cs="Arial" w:eastAsia="Arial" w:hAnsi="Arial"/>
          <w:sz w:val="14"/>
          <w:szCs w:val="14"/>
          <w:color w:val="auto"/>
        </w:rPr>
        <w:t>RVAs granted in 2025 will vest on December 31, 2027. The number of shares reported reflects the maximum payout, which will be paid if Lilly’s absolute TSR exceeds the median peer absolute TSR by 30 percentage points or more at the end of the performance period. Net shares from any payout must be held by executive officers for a minimum of one year post vesting. Had the performance period ended December 31, 2025, the payout would have been 139 percent of target.</w:t>
      </w:r>
    </w:p>
    <w:p>
      <w:pPr>
        <w:spacing w:after="0" w:line="40" w:lineRule="exact"/>
        <w:rPr>
          <w:sz w:val="20"/>
          <w:szCs w:val="20"/>
          <w:color w:val="auto"/>
        </w:rPr>
      </w:pPr>
    </w:p>
    <w:p>
      <w:pPr>
        <w:ind w:left="180" w:right="220" w:hanging="172"/>
        <w:spacing w:after="0" w:line="283" w:lineRule="auto"/>
        <w:tabs>
          <w:tab w:leader="none" w:pos="174" w:val="left"/>
        </w:tabs>
        <w:numPr>
          <w:ilvl w:val="0"/>
          <w:numId w:val="149"/>
        </w:numPr>
        <w:rPr>
          <w:rFonts w:ascii="Arial" w:cs="Arial" w:eastAsia="Arial" w:hAnsi="Arial"/>
          <w:sz w:val="9"/>
          <w:szCs w:val="9"/>
          <w:color w:val="auto"/>
        </w:rPr>
      </w:pPr>
      <w:r>
        <w:rPr>
          <w:rFonts w:ascii="Arial" w:cs="Arial" w:eastAsia="Arial" w:hAnsi="Arial"/>
          <w:sz w:val="14"/>
          <w:szCs w:val="14"/>
          <w:color w:val="auto"/>
        </w:rPr>
        <w:t>RVAs granted in 2024 will vest on December 31, 2026. The number of shares reported reflects the maximum payout, which will be paid if Lilly’s absolute TSR exceeds the median peer absolute TSR by 30 percentage points or more at the end of the performance period. Net shares from any payout must be held by executive officers for a minimum of one year post vesting. Had the performance period ended December 31, 2025, the payout would have been 200 percent of target.</w:t>
      </w:r>
    </w:p>
    <w:p>
      <w:pPr>
        <w:spacing w:after="0" w:line="11" w:lineRule="exact"/>
        <w:rPr>
          <w:sz w:val="20"/>
          <w:szCs w:val="20"/>
          <w:color w:val="auto"/>
        </w:rPr>
      </w:pPr>
    </w:p>
    <w:p>
      <w:pPr>
        <w:ind w:left="180" w:right="80" w:hanging="172"/>
        <w:spacing w:after="0" w:line="222" w:lineRule="auto"/>
        <w:tabs>
          <w:tab w:leader="none" w:pos="174" w:val="left"/>
        </w:tabs>
        <w:numPr>
          <w:ilvl w:val="0"/>
          <w:numId w:val="150"/>
        </w:numPr>
        <w:rPr>
          <w:rFonts w:ascii="Arial" w:cs="Arial" w:eastAsia="Arial" w:hAnsi="Arial"/>
          <w:sz w:val="19"/>
          <w:szCs w:val="19"/>
          <w:color w:val="auto"/>
          <w:vertAlign w:val="superscript"/>
        </w:rPr>
      </w:pPr>
      <w:r>
        <w:rPr>
          <w:rFonts w:ascii="Arial" w:cs="Arial" w:eastAsia="Arial" w:hAnsi="Arial"/>
          <w:sz w:val="14"/>
          <w:szCs w:val="14"/>
          <w:color w:val="auto"/>
        </w:rPr>
        <w:t>These grants were made outside of the normal annual cycle. 368 units were granted in February 2024 and will vest in February 2026; 1,610 units were granted in November 2020 and will vest in November 2026; and 371 units were granted in February 2024 and will vest in February 2027.</w:t>
      </w:r>
    </w:p>
    <w:p>
      <w:pPr>
        <w:spacing w:after="0" w:line="12" w:lineRule="exact"/>
        <w:rPr>
          <w:sz w:val="20"/>
          <w:szCs w:val="20"/>
          <w:color w:val="auto"/>
        </w:rPr>
      </w:pPr>
    </w:p>
    <w:p>
      <w:pPr>
        <w:ind w:left="160" w:hanging="152"/>
        <w:spacing w:after="0"/>
        <w:tabs>
          <w:tab w:leader="none" w:pos="160" w:val="left"/>
        </w:tabs>
        <w:numPr>
          <w:ilvl w:val="0"/>
          <w:numId w:val="151"/>
        </w:numPr>
        <w:rPr>
          <w:rFonts w:ascii="Arial" w:cs="Arial" w:eastAsia="Arial" w:hAnsi="Arial"/>
          <w:sz w:val="19"/>
          <w:szCs w:val="19"/>
          <w:color w:val="auto"/>
          <w:vertAlign w:val="superscript"/>
        </w:rPr>
      </w:pPr>
      <w:r>
        <w:rPr>
          <w:rFonts w:ascii="Arial" w:cs="Arial" w:eastAsia="Arial" w:hAnsi="Arial"/>
          <w:sz w:val="14"/>
          <w:szCs w:val="14"/>
          <w:color w:val="auto"/>
        </w:rPr>
        <w:t>Performance Awards granted in 2024 vested December 31, 2024, resulting in the issuance of restricted stock units that will vest February 1, 2026.</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65" w:name="page66"/>
    <w:bookmarkEnd w:id="65"/>
    <w:p>
      <w:pPr>
        <w:spacing w:after="0"/>
        <w:rPr>
          <w:sz w:val="20"/>
          <w:szCs w:val="20"/>
          <w:color w:val="auto"/>
        </w:rPr>
      </w:pPr>
      <w:r>
        <w:rPr>
          <w:rFonts w:ascii="Arial" w:cs="Arial" w:eastAsia="Arial" w:hAnsi="Arial"/>
          <w:sz w:val="25"/>
          <w:szCs w:val="25"/>
          <w:b w:val="1"/>
          <w:bCs w:val="1"/>
          <w:color w:val="0F3A85"/>
        </w:rPr>
        <w:t>Option Exercises and Stock Vested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99060</wp:posOffset>
            </wp:positionV>
            <wp:extent cx="2280285"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2340" w:type="dxa"/>
            <w:vAlign w:val="bottom"/>
            <w:gridSpan w:val="3"/>
          </w:tcPr>
          <w:p>
            <w:pPr>
              <w:ind w:left="1320"/>
              <w:spacing w:after="0"/>
              <w:rPr>
                <w:sz w:val="20"/>
                <w:szCs w:val="20"/>
                <w:color w:val="auto"/>
              </w:rPr>
            </w:pPr>
            <w:r>
              <w:rPr>
                <w:rFonts w:ascii="Arial" w:cs="Arial" w:eastAsia="Arial" w:hAnsi="Arial"/>
                <w:sz w:val="14"/>
                <w:szCs w:val="14"/>
                <w:b w:val="1"/>
                <w:bCs w:val="1"/>
                <w:color w:val="auto"/>
              </w:rPr>
              <w:t>Stock Awards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30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3040" w:type="dxa"/>
            <w:vAlign w:val="bottom"/>
          </w:tcPr>
          <w:p>
            <w:pPr>
              <w:spacing w:after="0"/>
              <w:rPr>
                <w:sz w:val="24"/>
                <w:szCs w:val="24"/>
                <w:color w:val="auto"/>
              </w:rPr>
            </w:pPr>
          </w:p>
        </w:tc>
        <w:tc>
          <w:tcPr>
            <w:tcW w:w="1860" w:type="dxa"/>
            <w:vAlign w:val="bottom"/>
          </w:tcPr>
          <w:p>
            <w:pPr>
              <w:jc w:val="center"/>
              <w:ind w:left="308"/>
              <w:spacing w:after="0"/>
              <w:rPr>
                <w:sz w:val="20"/>
                <w:szCs w:val="20"/>
                <w:color w:val="auto"/>
              </w:rPr>
            </w:pPr>
            <w:r>
              <w:rPr>
                <w:rFonts w:ascii="Arial" w:cs="Arial" w:eastAsia="Arial" w:hAnsi="Arial"/>
                <w:sz w:val="14"/>
                <w:szCs w:val="14"/>
                <w:b w:val="1"/>
                <w:bCs w:val="1"/>
                <w:color w:val="auto"/>
              </w:rPr>
              <w:t>Number of Shares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218"/>
        </w:trPr>
        <w:tc>
          <w:tcPr>
            <w:tcW w:w="3040" w:type="dxa"/>
            <w:vAlign w:val="bottom"/>
          </w:tcPr>
          <w:p>
            <w:pPr>
              <w:ind w:left="1340"/>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Acquired on Vesting (#)</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on Vesting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3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26,561</w:t>
            </w:r>
          </w:p>
        </w:tc>
        <w:tc>
          <w:tcPr>
            <w:tcW w:w="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$21,543,096</w:t>
            </w:r>
          </w:p>
        </w:tc>
        <w:tc>
          <w:tcPr>
            <w:tcW w:w="0" w:type="dxa"/>
            <w:vAlign w:val="bottom"/>
          </w:tcPr>
          <w:p>
            <w:pPr>
              <w:spacing w:after="0"/>
              <w:rPr>
                <w:sz w:val="1"/>
                <w:szCs w:val="1"/>
                <w:color w:val="auto"/>
              </w:rPr>
            </w:pPr>
          </w:p>
        </w:tc>
      </w:tr>
      <w:tr>
        <w:trPr>
          <w:trHeight w:val="123"/>
        </w:trPr>
        <w:tc>
          <w:tcPr>
            <w:tcW w:w="3040" w:type="dxa"/>
            <w:vAlign w:val="bottom"/>
            <w:shd w:val="clear" w:color="auto" w:fill="F2F2F2"/>
          </w:tcPr>
          <w:p>
            <w:pPr>
              <w:spacing w:after="0"/>
              <w:rPr>
                <w:sz w:val="10"/>
                <w:szCs w:val="10"/>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39,024</w:t>
            </w:r>
          </w:p>
        </w:tc>
        <w:tc>
          <w:tcPr>
            <w:tcW w:w="360" w:type="dxa"/>
            <w:vAlign w:val="bottom"/>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0"/>
                <w:szCs w:val="10"/>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$40,584,960</w:t>
            </w:r>
          </w:p>
        </w:tc>
        <w:tc>
          <w:tcPr>
            <w:tcW w:w="0" w:type="dxa"/>
            <w:vAlign w:val="bottom"/>
          </w:tcPr>
          <w:p>
            <w:pPr>
              <w:spacing w:after="0"/>
              <w:rPr>
                <w:sz w:val="1"/>
                <w:szCs w:val="1"/>
                <w:color w:val="auto"/>
              </w:rPr>
            </w:pPr>
          </w:p>
        </w:tc>
      </w:tr>
      <w:tr>
        <w:trPr>
          <w:trHeight w:val="151"/>
        </w:trPr>
        <w:tc>
          <w:tcPr>
            <w:tcW w:w="3040" w:type="dxa"/>
            <w:vAlign w:val="bottom"/>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shd w:val="clear" w:color="auto" w:fill="F2F2F2"/>
          </w:tcPr>
          <w:p>
            <w:pPr>
              <w:spacing w:after="0" w:line="20" w:lineRule="exact"/>
              <w:rPr>
                <w:sz w:val="1"/>
                <w:szCs w:val="1"/>
                <w:color w:val="auto"/>
              </w:rPr>
            </w:pPr>
          </w:p>
        </w:tc>
        <w:tc>
          <w:tcPr>
            <w:tcW w:w="1860" w:type="dxa"/>
            <w:vAlign w:val="bottom"/>
            <w:shd w:val="clear" w:color="auto" w:fill="F2F2F2"/>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shd w:val="clear" w:color="auto" w:fill="F2F2F2"/>
          </w:tcPr>
          <w:p>
            <w:pPr>
              <w:spacing w:after="0"/>
              <w:rPr>
                <w:sz w:val="7"/>
                <w:szCs w:val="7"/>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31,442</w:t>
            </w:r>
          </w:p>
        </w:tc>
        <w:tc>
          <w:tcPr>
            <w:tcW w:w="360" w:type="dxa"/>
            <w:vAlign w:val="bottom"/>
            <w:vMerge w:val="continue"/>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26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$32,699,680</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F2F2F2"/>
            </w:tcBorders>
            <w:shd w:val="clear" w:color="auto" w:fill="F2F2F2"/>
          </w:tcPr>
          <w:p>
            <w:pPr>
              <w:spacing w:after="0"/>
              <w:rPr>
                <w:sz w:val="13"/>
                <w:szCs w:val="13"/>
                <w:color w:val="auto"/>
              </w:rPr>
            </w:pPr>
          </w:p>
        </w:tc>
        <w:tc>
          <w:tcPr>
            <w:tcW w:w="1860" w:type="dxa"/>
            <w:vAlign w:val="bottom"/>
            <w:tcBorders>
              <w:bottom w:val="single" w:sz="8" w:color="F2F2F2"/>
            </w:tcBorders>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Borders>
              <w:bottom w:val="single" w:sz="8" w:color="F2F2F2"/>
            </w:tcBorders>
            <w:shd w:val="clear" w:color="auto" w:fill="F2F2F2"/>
          </w:tcPr>
          <w:p>
            <w:pPr>
              <w:spacing w:after="0"/>
              <w:rPr>
                <w:sz w:val="13"/>
                <w:szCs w:val="13"/>
                <w:color w:val="auto"/>
              </w:rPr>
            </w:pPr>
          </w:p>
        </w:tc>
        <w:tc>
          <w:tcPr>
            <w:tcW w:w="1260" w:type="dxa"/>
            <w:vAlign w:val="bottom"/>
            <w:tcBorders>
              <w:bottom w:val="single" w:sz="8" w:color="F2F2F2"/>
            </w:tcBorders>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Mr. Montarce</w:t>
            </w: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1,118</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$1,162,720</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1,006</w:t>
            </w:r>
          </w:p>
        </w:tc>
        <w:tc>
          <w:tcPr>
            <w:tcW w:w="360" w:type="dxa"/>
            <w:vAlign w:val="bottom"/>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20"/>
                <w:szCs w:val="20"/>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$1,046,240</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8,989</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$7,290,798</w:t>
            </w:r>
          </w:p>
        </w:tc>
        <w:tc>
          <w:tcPr>
            <w:tcW w:w="0" w:type="dxa"/>
            <w:vAlign w:val="bottom"/>
          </w:tcPr>
          <w:p>
            <w:pPr>
              <w:spacing w:after="0"/>
              <w:rPr>
                <w:sz w:val="1"/>
                <w:szCs w:val="1"/>
                <w:color w:val="auto"/>
              </w:rPr>
            </w:pPr>
          </w:p>
        </w:tc>
      </w:tr>
      <w:tr>
        <w:trPr>
          <w:trHeight w:val="151"/>
        </w:trPr>
        <w:tc>
          <w:tcPr>
            <w:tcW w:w="3040" w:type="dxa"/>
            <w:vAlign w:val="bottom"/>
            <w:vMerge w:val="continue"/>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040" w:type="dxa"/>
            <w:vAlign w:val="bottom"/>
            <w:shd w:val="clear" w:color="auto" w:fill="F2F2F2"/>
          </w:tcPr>
          <w:p>
            <w:pPr>
              <w:spacing w:after="0"/>
              <w:rPr>
                <w:sz w:val="20"/>
                <w:szCs w:val="20"/>
                <w:color w:val="auto"/>
              </w:rPr>
            </w:pPr>
          </w:p>
        </w:tc>
        <w:tc>
          <w:tcPr>
            <w:tcW w:w="18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15,500</w:t>
            </w:r>
          </w:p>
        </w:tc>
        <w:tc>
          <w:tcPr>
            <w:tcW w:w="360" w:type="dxa"/>
            <w:vAlign w:val="bottom"/>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20"/>
                <w:szCs w:val="20"/>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$16,120,000</w:t>
            </w:r>
          </w:p>
        </w:tc>
        <w:tc>
          <w:tcPr>
            <w:tcW w:w="0" w:type="dxa"/>
            <w:vAlign w:val="bottom"/>
          </w:tcPr>
          <w:p>
            <w:pPr>
              <w:spacing w:after="0"/>
              <w:rPr>
                <w:sz w:val="1"/>
                <w:szCs w:val="1"/>
                <w:color w:val="auto"/>
              </w:rPr>
            </w:pPr>
          </w:p>
        </w:tc>
      </w:tr>
      <w:tr>
        <w:trPr>
          <w:trHeight w:val="39"/>
        </w:trPr>
        <w:tc>
          <w:tcPr>
            <w:tcW w:w="3040" w:type="dxa"/>
            <w:vAlign w:val="bottom"/>
            <w:shd w:val="clear" w:color="auto" w:fill="F2F2F2"/>
          </w:tcPr>
          <w:p>
            <w:pPr>
              <w:spacing w:after="0"/>
              <w:rPr>
                <w:sz w:val="3"/>
                <w:szCs w:val="3"/>
                <w:color w:val="auto"/>
              </w:rPr>
            </w:pPr>
          </w:p>
        </w:tc>
        <w:tc>
          <w:tcPr>
            <w:tcW w:w="1860" w:type="dxa"/>
            <w:vAlign w:val="bottom"/>
            <w:shd w:val="clear" w:color="auto" w:fill="F2F2F2"/>
          </w:tcPr>
          <w:p>
            <w:pPr>
              <w:spacing w:after="0"/>
              <w:rPr>
                <w:sz w:val="3"/>
                <w:szCs w:val="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shd w:val="clear" w:color="auto" w:fill="F2F2F2"/>
          </w:tcPr>
          <w:p>
            <w:pPr>
              <w:spacing w:after="0"/>
              <w:rPr>
                <w:sz w:val="7"/>
                <w:szCs w:val="7"/>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12,490</w:t>
            </w:r>
          </w:p>
        </w:tc>
        <w:tc>
          <w:tcPr>
            <w:tcW w:w="360" w:type="dxa"/>
            <w:vAlign w:val="bottom"/>
            <w:vMerge w:val="continue"/>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26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$12,989,600</w:t>
            </w:r>
          </w:p>
        </w:tc>
        <w:tc>
          <w:tcPr>
            <w:tcW w:w="0" w:type="dxa"/>
            <w:vAlign w:val="bottom"/>
          </w:tcPr>
          <w:p>
            <w:pPr>
              <w:spacing w:after="0"/>
              <w:rPr>
                <w:sz w:val="1"/>
                <w:szCs w:val="1"/>
                <w:color w:val="auto"/>
              </w:rPr>
            </w:pPr>
          </w:p>
        </w:tc>
      </w:tr>
      <w:tr>
        <w:trPr>
          <w:trHeight w:val="153"/>
        </w:trPr>
        <w:tc>
          <w:tcPr>
            <w:tcW w:w="3040" w:type="dxa"/>
            <w:vAlign w:val="bottom"/>
            <w:tcBorders>
              <w:bottom w:val="single" w:sz="8" w:color="F2F2F2"/>
            </w:tcBorders>
            <w:shd w:val="clear" w:color="auto" w:fill="F2F2F2"/>
          </w:tcPr>
          <w:p>
            <w:pPr>
              <w:spacing w:after="0"/>
              <w:rPr>
                <w:sz w:val="13"/>
                <w:szCs w:val="13"/>
                <w:color w:val="auto"/>
              </w:rPr>
            </w:pPr>
          </w:p>
        </w:tc>
        <w:tc>
          <w:tcPr>
            <w:tcW w:w="1860" w:type="dxa"/>
            <w:vAlign w:val="bottom"/>
            <w:tcBorders>
              <w:bottom w:val="single" w:sz="8" w:color="F2F2F2"/>
            </w:tcBorders>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2</w:t>
            </w:r>
          </w:p>
        </w:tc>
        <w:tc>
          <w:tcPr>
            <w:tcW w:w="120" w:type="dxa"/>
            <w:vAlign w:val="bottom"/>
            <w:tcBorders>
              <w:bottom w:val="single" w:sz="8" w:color="F2F2F2"/>
            </w:tcBorders>
            <w:shd w:val="clear" w:color="auto" w:fill="F2F2F2"/>
          </w:tcPr>
          <w:p>
            <w:pPr>
              <w:spacing w:after="0"/>
              <w:rPr>
                <w:sz w:val="13"/>
                <w:szCs w:val="13"/>
                <w:color w:val="auto"/>
              </w:rPr>
            </w:pPr>
          </w:p>
        </w:tc>
        <w:tc>
          <w:tcPr>
            <w:tcW w:w="1260" w:type="dxa"/>
            <w:vAlign w:val="bottom"/>
            <w:tcBorders>
              <w:bottom w:val="single" w:sz="8" w:color="F2F2F2"/>
            </w:tcBorders>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Ms. Hakim</w:t>
            </w: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4,904</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$3,977,536</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040" w:type="dxa"/>
            <w:vAlign w:val="bottom"/>
          </w:tcPr>
          <w:p>
            <w:pPr>
              <w:spacing w:after="0"/>
              <w:rPr>
                <w:sz w:val="9"/>
                <w:szCs w:val="9"/>
                <w:color w:val="auto"/>
              </w:rPr>
            </w:pPr>
          </w:p>
        </w:tc>
        <w:tc>
          <w:tcPr>
            <w:tcW w:w="1860" w:type="dxa"/>
            <w:vAlign w:val="bottom"/>
            <w:vMerge w:val="restart"/>
          </w:tcPr>
          <w:p>
            <w:pPr>
              <w:jc w:val="right"/>
              <w:spacing w:after="0"/>
              <w:rPr>
                <w:sz w:val="20"/>
                <w:szCs w:val="20"/>
                <w:color w:val="auto"/>
              </w:rPr>
            </w:pPr>
            <w:r>
              <w:rPr>
                <w:rFonts w:ascii="Arial" w:cs="Arial" w:eastAsia="Arial" w:hAnsi="Arial"/>
                <w:sz w:val="14"/>
                <w:szCs w:val="14"/>
                <w:color w:val="auto"/>
              </w:rPr>
              <w:t>8,186</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$8,513,440</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6,596</w:t>
            </w:r>
          </w:p>
        </w:tc>
        <w:tc>
          <w:tcPr>
            <w:tcW w:w="360" w:type="dxa"/>
            <w:vAlign w:val="bottom"/>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20"/>
                <w:szCs w:val="20"/>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$6,859,840</w:t>
            </w:r>
          </w:p>
        </w:tc>
        <w:tc>
          <w:tcPr>
            <w:tcW w:w="0" w:type="dxa"/>
            <w:vAlign w:val="bottom"/>
          </w:tcPr>
          <w:p>
            <w:pPr>
              <w:spacing w:after="0"/>
              <w:rPr>
                <w:sz w:val="1"/>
                <w:szCs w:val="1"/>
                <w:color w:val="auto"/>
              </w:rPr>
            </w:pPr>
          </w:p>
        </w:tc>
      </w:tr>
      <w:tr>
        <w:trPr>
          <w:trHeight w:val="39"/>
        </w:trPr>
        <w:tc>
          <w:tcPr>
            <w:tcW w:w="30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304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3,023</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$2,451,895</w:t>
            </w:r>
          </w:p>
        </w:tc>
        <w:tc>
          <w:tcPr>
            <w:tcW w:w="0" w:type="dxa"/>
            <w:vAlign w:val="bottom"/>
          </w:tcPr>
          <w:p>
            <w:pPr>
              <w:spacing w:after="0"/>
              <w:rPr>
                <w:sz w:val="1"/>
                <w:szCs w:val="1"/>
                <w:color w:val="auto"/>
              </w:rPr>
            </w:pPr>
          </w:p>
        </w:tc>
      </w:tr>
      <w:tr>
        <w:trPr>
          <w:trHeight w:val="151"/>
        </w:trPr>
        <w:tc>
          <w:tcPr>
            <w:tcW w:w="3040" w:type="dxa"/>
            <w:vAlign w:val="bottom"/>
            <w:vMerge w:val="continue"/>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3</w:t>
            </w: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040" w:type="dxa"/>
            <w:vAlign w:val="bottom"/>
            <w:shd w:val="clear" w:color="auto" w:fill="F2F2F2"/>
          </w:tcPr>
          <w:p>
            <w:pPr>
              <w:spacing w:after="0"/>
              <w:rPr>
                <w:sz w:val="9"/>
                <w:szCs w:val="9"/>
                <w:color w:val="auto"/>
              </w:rPr>
            </w:pPr>
          </w:p>
        </w:tc>
        <w:tc>
          <w:tcPr>
            <w:tcW w:w="186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5,022</w:t>
            </w:r>
          </w:p>
        </w:tc>
        <w:tc>
          <w:tcPr>
            <w:tcW w:w="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$5,222,880</w:t>
            </w:r>
          </w:p>
        </w:tc>
        <w:tc>
          <w:tcPr>
            <w:tcW w:w="0" w:type="dxa"/>
            <w:vAlign w:val="bottom"/>
          </w:tcPr>
          <w:p>
            <w:pPr>
              <w:spacing w:after="0"/>
              <w:rPr>
                <w:sz w:val="1"/>
                <w:szCs w:val="1"/>
                <w:color w:val="auto"/>
              </w:rPr>
            </w:pPr>
          </w:p>
        </w:tc>
      </w:tr>
      <w:tr>
        <w:trPr>
          <w:trHeight w:val="151"/>
        </w:trPr>
        <w:tc>
          <w:tcPr>
            <w:tcW w:w="3040" w:type="dxa"/>
            <w:vAlign w:val="bottom"/>
            <w:shd w:val="clear" w:color="auto" w:fill="F2F2F2"/>
          </w:tcPr>
          <w:p>
            <w:pPr>
              <w:spacing w:after="0"/>
              <w:rPr>
                <w:sz w:val="13"/>
                <w:szCs w:val="13"/>
                <w:color w:val="auto"/>
              </w:rPr>
            </w:pPr>
          </w:p>
        </w:tc>
        <w:tc>
          <w:tcPr>
            <w:tcW w:w="1860" w:type="dxa"/>
            <w:vAlign w:val="bottom"/>
            <w:vMerge w:val="continue"/>
            <w:shd w:val="clear" w:color="auto" w:fill="F2F2F2"/>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040" w:type="dxa"/>
            <w:vAlign w:val="bottom"/>
            <w:shd w:val="clear" w:color="auto" w:fill="F2F2F2"/>
          </w:tcPr>
          <w:p>
            <w:pPr>
              <w:spacing w:after="0" w:line="20" w:lineRule="exact"/>
              <w:rPr>
                <w:sz w:val="1"/>
                <w:szCs w:val="1"/>
                <w:color w:val="auto"/>
              </w:rPr>
            </w:pPr>
          </w:p>
        </w:tc>
        <w:tc>
          <w:tcPr>
            <w:tcW w:w="1860" w:type="dxa"/>
            <w:vAlign w:val="bottom"/>
            <w:shd w:val="clear" w:color="auto" w:fill="F2F2F2"/>
          </w:tcPr>
          <w:p>
            <w:pPr>
              <w:spacing w:after="0" w:line="20" w:lineRule="exact"/>
              <w:rPr>
                <w:sz w:val="1"/>
                <w:szCs w:val="1"/>
                <w:color w:val="auto"/>
              </w:rPr>
            </w:pPr>
          </w:p>
        </w:tc>
        <w:tc>
          <w:tcPr>
            <w:tcW w:w="360" w:type="dxa"/>
            <w:vAlign w:val="bottom"/>
            <w:vMerge w:val="restart"/>
          </w:tcPr>
          <w:p>
            <w:pPr>
              <w:jc w:val="right"/>
              <w:ind w:right="233"/>
              <w:spacing w:after="0"/>
              <w:rPr>
                <w:sz w:val="20"/>
                <w:szCs w:val="20"/>
                <w:color w:val="auto"/>
              </w:rPr>
            </w:pPr>
            <w:r>
              <w:rPr>
                <w:rFonts w:ascii="Arial" w:cs="Arial" w:eastAsia="Arial" w:hAnsi="Arial"/>
                <w:sz w:val="9"/>
                <w:szCs w:val="9"/>
                <w:color w:val="auto"/>
              </w:rPr>
              <w:t>4</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40" w:type="dxa"/>
            <w:vAlign w:val="bottom"/>
            <w:tcBorders>
              <w:bottom w:val="single" w:sz="8" w:color="F2F2F2"/>
            </w:tcBorders>
            <w:shd w:val="clear" w:color="auto" w:fill="F2F2F2"/>
          </w:tcPr>
          <w:p>
            <w:pPr>
              <w:spacing w:after="0"/>
              <w:rPr>
                <w:sz w:val="20"/>
                <w:szCs w:val="20"/>
                <w:color w:val="auto"/>
              </w:rPr>
            </w:pPr>
          </w:p>
        </w:tc>
        <w:tc>
          <w:tcPr>
            <w:tcW w:w="18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4,046</w:t>
            </w:r>
          </w:p>
        </w:tc>
        <w:tc>
          <w:tcPr>
            <w:tcW w:w="360" w:type="dxa"/>
            <w:vAlign w:val="bottom"/>
            <w:vMerge w:val="continue"/>
          </w:tcPr>
          <w:p>
            <w:pPr>
              <w:spacing w:after="0"/>
              <w:rPr>
                <w:sz w:val="20"/>
                <w:szCs w:val="20"/>
                <w:color w:val="auto"/>
              </w:rPr>
            </w:pPr>
          </w:p>
        </w:tc>
        <w:tc>
          <w:tcPr>
            <w:tcW w:w="120" w:type="dxa"/>
            <w:vAlign w:val="bottom"/>
            <w:tcBorders>
              <w:bottom w:val="single" w:sz="8" w:color="F2F2F2"/>
            </w:tcBorders>
            <w:shd w:val="clear" w:color="auto" w:fill="F2F2F2"/>
          </w:tcPr>
          <w:p>
            <w:pPr>
              <w:spacing w:after="0"/>
              <w:rPr>
                <w:sz w:val="20"/>
                <w:szCs w:val="20"/>
                <w:color w:val="auto"/>
              </w:rPr>
            </w:pPr>
          </w:p>
        </w:tc>
        <w:tc>
          <w:tcPr>
            <w:tcW w:w="12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$4,207,840</w:t>
            </w: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-2287905</wp:posOffset>
            </wp:positionV>
            <wp:extent cx="4208780" cy="228028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4208780" cy="2280285"/>
                    </a:xfrm>
                    <a:prstGeom prst="rect">
                      <a:avLst/>
                    </a:prstGeom>
                    <a:noFill/>
                  </pic:spPr>
                </pic:pic>
              </a:graphicData>
            </a:graphic>
          </wp:anchor>
        </w:drawing>
      </w:r>
    </w:p>
    <w:p>
      <w:pPr>
        <w:spacing w:after="0" w:line="91" w:lineRule="exact"/>
        <w:rPr>
          <w:sz w:val="20"/>
          <w:szCs w:val="20"/>
          <w:color w:val="auto"/>
        </w:rPr>
      </w:pPr>
    </w:p>
    <w:p>
      <w:pPr>
        <w:ind w:left="160" w:hanging="152"/>
        <w:spacing w:after="0"/>
        <w:tabs>
          <w:tab w:leader="none" w:pos="160" w:val="left"/>
        </w:tabs>
        <w:numPr>
          <w:ilvl w:val="0"/>
          <w:numId w:val="152"/>
        </w:numPr>
        <w:rPr>
          <w:rFonts w:ascii="Arial" w:cs="Arial" w:eastAsia="Arial" w:hAnsi="Arial"/>
          <w:sz w:val="19"/>
          <w:szCs w:val="19"/>
          <w:color w:val="auto"/>
          <w:vertAlign w:val="superscript"/>
        </w:rPr>
      </w:pPr>
      <w:r>
        <w:rPr>
          <w:rFonts w:ascii="Arial" w:cs="Arial" w:eastAsia="Arial" w:hAnsi="Arial"/>
          <w:sz w:val="14"/>
          <w:szCs w:val="14"/>
          <w:color w:val="auto"/>
        </w:rPr>
        <w:t>Amounts reflect the market value of Lilly stock on the day of settlement.</w:t>
      </w:r>
    </w:p>
    <w:p>
      <w:pPr>
        <w:spacing w:after="0" w:line="11" w:lineRule="exact"/>
        <w:rPr>
          <w:sz w:val="20"/>
          <w:szCs w:val="20"/>
          <w:color w:val="auto"/>
        </w:rPr>
      </w:pPr>
    </w:p>
    <w:p>
      <w:pPr>
        <w:ind w:left="160" w:hanging="152"/>
        <w:spacing w:after="0"/>
        <w:tabs>
          <w:tab w:leader="none" w:pos="160" w:val="left"/>
        </w:tabs>
        <w:numPr>
          <w:ilvl w:val="0"/>
          <w:numId w:val="153"/>
        </w:numPr>
        <w:rPr>
          <w:rFonts w:ascii="Arial" w:cs="Arial" w:eastAsia="Arial" w:hAnsi="Arial"/>
          <w:sz w:val="19"/>
          <w:szCs w:val="19"/>
          <w:color w:val="auto"/>
          <w:vertAlign w:val="superscript"/>
        </w:rPr>
      </w:pPr>
      <w:r>
        <w:rPr>
          <w:rFonts w:ascii="Arial" w:cs="Arial" w:eastAsia="Arial" w:hAnsi="Arial"/>
          <w:sz w:val="14"/>
          <w:szCs w:val="14"/>
          <w:color w:val="auto"/>
        </w:rPr>
        <w:t>Restricted stock units resulting from the 2022 performance award that vested in February 2025.</w:t>
      </w:r>
    </w:p>
    <w:p>
      <w:pPr>
        <w:spacing w:after="0" w:line="39" w:lineRule="exact"/>
        <w:rPr>
          <w:rFonts w:ascii="Arial" w:cs="Arial" w:eastAsia="Arial" w:hAnsi="Arial"/>
          <w:sz w:val="19"/>
          <w:szCs w:val="19"/>
          <w:color w:val="auto"/>
          <w:vertAlign w:val="superscript"/>
        </w:rPr>
      </w:pPr>
    </w:p>
    <w:p>
      <w:pPr>
        <w:jc w:val="both"/>
        <w:ind w:right="7900"/>
        <w:spacing w:after="0" w:line="350" w:lineRule="auto"/>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Payout of the 2023 SVA at 200 percent of target.</w:t>
      </w:r>
      <w:r>
        <w:rPr>
          <w:rFonts w:ascii="Arial" w:cs="Arial" w:eastAsia="Arial" w:hAnsi="Arial"/>
          <w:sz w:val="9"/>
          <w:szCs w:val="9"/>
          <w:color w:val="auto"/>
        </w:rPr>
        <w:t xml:space="preserve"> </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Payout of the 2023 RVA at 200 percent of target.</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Retirement Benefits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retirement income to eligible U.S. employees, including executive officers, through the following plans:</w:t>
      </w:r>
    </w:p>
    <w:p>
      <w:pPr>
        <w:spacing w:after="0" w:line="171" w:lineRule="exact"/>
        <w:rPr>
          <w:sz w:val="20"/>
          <w:szCs w:val="20"/>
          <w:color w:val="auto"/>
        </w:rPr>
      </w:pPr>
    </w:p>
    <w:p>
      <w:pPr>
        <w:ind w:left="500" w:right="120" w:hanging="330"/>
        <w:spacing w:after="0" w:line="278" w:lineRule="auto"/>
        <w:tabs>
          <w:tab w:leader="none" w:pos="489" w:val="left"/>
        </w:tabs>
        <w:numPr>
          <w:ilvl w:val="0"/>
          <w:numId w:val="154"/>
        </w:numPr>
        <w:rPr>
          <w:rFonts w:ascii="Arial" w:cs="Arial" w:eastAsia="Arial" w:hAnsi="Arial"/>
          <w:sz w:val="15"/>
          <w:szCs w:val="15"/>
          <w:color w:val="auto"/>
        </w:rPr>
      </w:pPr>
      <w:r>
        <w:rPr>
          <w:rFonts w:ascii="Arial" w:cs="Arial" w:eastAsia="Arial" w:hAnsi="Arial"/>
          <w:sz w:val="17"/>
          <w:szCs w:val="17"/>
          <w:b w:val="1"/>
          <w:bCs w:val="1"/>
          <w:color w:val="auto"/>
        </w:rPr>
        <w:t>401(k) Plan</w:t>
      </w:r>
      <w:r>
        <w:rPr>
          <w:rFonts w:ascii="Arial" w:cs="Arial" w:eastAsia="Arial" w:hAnsi="Arial"/>
          <w:sz w:val="17"/>
          <w:szCs w:val="17"/>
          <w:color w:val="auto"/>
        </w:rPr>
        <w:t>. The 401(k) is a defined contribution plan qualified under Sections 401(a) and 401(k) of the Internal Revenue Code.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may elect to contribute a portion of their base salary to the plan, and the company provides matching contributions on employees’ contributions up to 6 percent of base salary, subject to IRS limits. Employee contributions, company contributions, and earnings thereon are paid out in accordance with elections made by the participant and the terms of the plan. Company contributions under the 401(k) Plan for the NEOs are included in the “</w:t>
      </w:r>
      <w:r>
        <w:rPr>
          <w:rFonts w:ascii="Arial" w:cs="Arial" w:eastAsia="Arial" w:hAnsi="Arial"/>
          <w:sz w:val="17"/>
          <w:szCs w:val="17"/>
          <w:u w:val="single" w:color="auto"/>
          <w:color w:val="0000FF"/>
        </w:rPr>
        <w:t>All Other Compensation</w:t>
      </w:r>
      <w:r>
        <w:rPr>
          <w:rFonts w:ascii="Arial" w:cs="Arial" w:eastAsia="Arial" w:hAnsi="Arial"/>
          <w:sz w:val="17"/>
          <w:szCs w:val="17"/>
          <w:color w:val="auto"/>
        </w:rPr>
        <w:t>” column in the Summary Compensation Table.</w:t>
      </w:r>
    </w:p>
    <w:p>
      <w:pPr>
        <w:spacing w:after="0" w:line="109" w:lineRule="exact"/>
        <w:rPr>
          <w:rFonts w:ascii="Arial" w:cs="Arial" w:eastAsia="Arial" w:hAnsi="Arial"/>
          <w:sz w:val="15"/>
          <w:szCs w:val="15"/>
          <w:color w:val="auto"/>
        </w:rPr>
      </w:pPr>
    </w:p>
    <w:p>
      <w:pPr>
        <w:ind w:left="500" w:right="400" w:hanging="330"/>
        <w:spacing w:after="0" w:line="287" w:lineRule="auto"/>
        <w:tabs>
          <w:tab w:leader="none" w:pos="489" w:val="left"/>
        </w:tabs>
        <w:numPr>
          <w:ilvl w:val="0"/>
          <w:numId w:val="154"/>
        </w:numPr>
        <w:rPr>
          <w:rFonts w:ascii="Arial" w:cs="Arial" w:eastAsia="Arial" w:hAnsi="Arial"/>
          <w:sz w:val="16"/>
          <w:szCs w:val="16"/>
          <w:color w:val="auto"/>
        </w:rPr>
      </w:pPr>
      <w:r>
        <w:rPr>
          <w:rFonts w:ascii="Arial" w:cs="Arial" w:eastAsia="Arial" w:hAnsi="Arial"/>
          <w:sz w:val="18"/>
          <w:szCs w:val="18"/>
          <w:b w:val="1"/>
          <w:bCs w:val="1"/>
          <w:color w:val="auto"/>
        </w:rPr>
        <w:t xml:space="preserve">Retirement Plan. </w:t>
      </w:r>
      <w:r>
        <w:rPr>
          <w:rFonts w:ascii="Arial" w:cs="Arial" w:eastAsia="Arial" w:hAnsi="Arial"/>
          <w:sz w:val="18"/>
          <w:szCs w:val="18"/>
          <w:color w:val="auto"/>
        </w:rPr>
        <w:t>The Retirement Plan is a tax-qualified defined benefit plan that provides monthly benefits to retirees.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about the value of these pension benefits is provided in the Pension Benefits in 2025 table.</w:t>
      </w:r>
    </w:p>
    <w:p>
      <w:pPr>
        <w:spacing w:after="0" w:line="98" w:lineRule="exact"/>
        <w:rPr>
          <w:rFonts w:ascii="Arial" w:cs="Arial" w:eastAsia="Arial" w:hAnsi="Arial"/>
          <w:sz w:val="16"/>
          <w:szCs w:val="16"/>
          <w:color w:val="auto"/>
        </w:rPr>
      </w:pPr>
    </w:p>
    <w:p>
      <w:pPr>
        <w:jc w:val="both"/>
        <w:ind w:left="500" w:hanging="330"/>
        <w:spacing w:after="0" w:line="259" w:lineRule="auto"/>
        <w:tabs>
          <w:tab w:leader="none" w:pos="489" w:val="left"/>
        </w:tabs>
        <w:numPr>
          <w:ilvl w:val="0"/>
          <w:numId w:val="154"/>
        </w:numPr>
        <w:rPr>
          <w:rFonts w:ascii="Arial" w:cs="Arial" w:eastAsia="Arial" w:hAnsi="Arial"/>
          <w:sz w:val="16"/>
          <w:szCs w:val="16"/>
          <w:color w:val="auto"/>
        </w:rPr>
      </w:pPr>
      <w:r>
        <w:rPr>
          <w:rFonts w:ascii="Arial" w:cs="Arial" w:eastAsia="Arial" w:hAnsi="Arial"/>
          <w:sz w:val="18"/>
          <w:szCs w:val="18"/>
          <w:b w:val="1"/>
          <w:bCs w:val="1"/>
          <w:color w:val="auto"/>
        </w:rPr>
        <w:t>Nonqualified Plans</w:t>
      </w:r>
      <w:r>
        <w:rPr>
          <w:rFonts w:ascii="Arial" w:cs="Arial" w:eastAsia="Arial" w:hAnsi="Arial"/>
          <w:sz w:val="18"/>
          <w:szCs w:val="18"/>
          <w:color w:val="auto"/>
        </w:rPr>
        <w:t>. Sections 401 and 415 of the Internal Revenue Code limit the amount of annual pension that can be paid from a</w:t>
      </w:r>
      <w:r>
        <w:rPr>
          <w:rFonts w:ascii="Arial" w:cs="Arial" w:eastAsia="Arial" w:hAnsi="Arial"/>
          <w:sz w:val="18"/>
          <w:szCs w:val="18"/>
          <w:b w:val="1"/>
          <w:bCs w:val="1"/>
          <w:color w:val="auto"/>
        </w:rPr>
        <w:t xml:space="preserve"> </w:t>
      </w:r>
      <w:r>
        <w:rPr>
          <w:rFonts w:ascii="Arial" w:cs="Arial" w:eastAsia="Arial" w:hAnsi="Arial"/>
          <w:sz w:val="18"/>
          <w:szCs w:val="18"/>
          <w:color w:val="auto"/>
        </w:rPr>
        <w:t>tax-qualified plan ($275,000 in 2024 and $280,000 in 2025), as well as the amount of annual earnings that can be used to calculate a pension benefit ($345,000 in 2024 and $350,000 in 2025). Since 1975, the company has maintained a Nonqualified Pension Plan that pays eligible retirees the difference between the amount payable under the Retirement Plan and the amount they would have received without the Internal Revenue Code limits. The Nonqualified Pension Plan is an unfunded plan.</w:t>
      </w:r>
    </w:p>
    <w:p>
      <w:pPr>
        <w:spacing w:after="0" w:line="125" w:lineRule="exact"/>
        <w:rPr>
          <w:rFonts w:ascii="Arial" w:cs="Arial" w:eastAsia="Arial" w:hAnsi="Arial"/>
          <w:sz w:val="16"/>
          <w:szCs w:val="16"/>
          <w:color w:val="auto"/>
        </w:rPr>
      </w:pPr>
    </w:p>
    <w:p>
      <w:pPr>
        <w:ind w:left="500" w:right="40"/>
        <w:spacing w:after="0" w:line="268" w:lineRule="auto"/>
        <w:rPr>
          <w:rFonts w:ascii="Arial" w:cs="Arial" w:eastAsia="Arial" w:hAnsi="Arial"/>
          <w:sz w:val="16"/>
          <w:szCs w:val="16"/>
          <w:color w:val="auto"/>
        </w:rPr>
      </w:pPr>
      <w:r>
        <w:rPr>
          <w:rFonts w:ascii="Arial" w:cs="Arial" w:eastAsia="Arial" w:hAnsi="Arial"/>
          <w:sz w:val="18"/>
          <w:szCs w:val="18"/>
          <w:color w:val="auto"/>
        </w:rPr>
        <w:t>The company maintains a nonqualified savings plan that allows participants to contribute up to 6 percent of base salary exceeding the IRS limit. The company matches these contributions in the same manner as described in the 401(k) Plan. For more information, see footnote 2 to the “</w:t>
      </w:r>
      <w:r>
        <w:rPr>
          <w:rFonts w:ascii="Arial" w:cs="Arial" w:eastAsia="Arial" w:hAnsi="Arial"/>
          <w:sz w:val="18"/>
          <w:szCs w:val="18"/>
          <w:u w:val="single" w:color="auto"/>
          <w:color w:val="0000FF"/>
        </w:rPr>
        <w:t>Nonqualified Deferred Compensation in 2025</w:t>
      </w:r>
      <w:r>
        <w:rPr>
          <w:rFonts w:ascii="Arial" w:cs="Arial" w:eastAsia="Arial" w:hAnsi="Arial"/>
          <w:sz w:val="18"/>
          <w:szCs w:val="18"/>
          <w:color w:val="auto"/>
        </w:rPr>
        <w:t>” table.</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following table shows benefits that the named executive officers have accrued under the Retirement Plan and the Nonqualified Pension Plan.</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5" w:right="419" w:bottom="1440" w:gutter="0" w:footer="0" w:header="0"/>
        </w:sectPr>
      </w:pPr>
    </w:p>
    <w:bookmarkStart w:id="66" w:name="page67"/>
    <w:bookmarkEnd w:id="66"/>
    <w:p>
      <w:pPr>
        <w:spacing w:after="0"/>
        <w:rPr>
          <w:sz w:val="20"/>
          <w:szCs w:val="20"/>
          <w:color w:val="auto"/>
        </w:rPr>
      </w:pPr>
      <w:r>
        <w:rPr>
          <w:rFonts w:ascii="Arial" w:cs="Arial" w:eastAsia="Arial" w:hAnsi="Arial"/>
          <w:sz w:val="22"/>
          <w:szCs w:val="22"/>
          <w:b w:val="1"/>
          <w:bCs w:val="1"/>
          <w:color w:val="auto"/>
        </w:rPr>
        <w:t>Pension Benefits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52894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Number of Years Credited</w:t>
            </w:r>
          </w:p>
        </w:tc>
        <w:tc>
          <w:tcPr>
            <w:tcW w:w="1920" w:type="dxa"/>
            <w:vAlign w:val="bottom"/>
          </w:tcPr>
          <w:p>
            <w:pPr>
              <w:jc w:val="right"/>
              <w:ind w:right="328"/>
              <w:spacing w:after="0"/>
              <w:rPr>
                <w:sz w:val="20"/>
                <w:szCs w:val="20"/>
                <w:color w:val="auto"/>
              </w:rPr>
            </w:pPr>
            <w:r>
              <w:rPr>
                <w:rFonts w:ascii="Arial" w:cs="Arial" w:eastAsia="Arial" w:hAnsi="Arial"/>
                <w:sz w:val="14"/>
                <w:szCs w:val="14"/>
                <w:b w:val="1"/>
                <w:bCs w:val="1"/>
                <w:color w:val="auto"/>
              </w:rPr>
              <w:t>Present Value of</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Payments During</w:t>
            </w:r>
          </w:p>
        </w:tc>
      </w:tr>
      <w:tr>
        <w:trPr>
          <w:trHeight w:val="262"/>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Plan Name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Service (#)</w:t>
            </w:r>
          </w:p>
        </w:tc>
        <w:tc>
          <w:tcPr>
            <w:tcW w:w="1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xml:space="preserve">Accumulated Benefit ($) </w:t>
            </w:r>
            <w:r>
              <w:rPr>
                <w:rFonts w:ascii="Arial" w:cs="Arial" w:eastAsia="Arial" w:hAnsi="Arial"/>
                <w:sz w:val="18"/>
                <w:szCs w:val="18"/>
                <w:b w:val="1"/>
                <w:bCs w:val="1"/>
                <w:color w:val="auto"/>
                <w:vertAlign w:val="superscript"/>
              </w:rPr>
              <w:t>1</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Last Fiscal Year ($)</w:t>
            </w:r>
          </w:p>
        </w:tc>
      </w:tr>
      <w:tr>
        <w:trPr>
          <w:trHeight w:val="221"/>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(pre-2010)</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$787,559</w:t>
            </w:r>
          </w:p>
        </w:tc>
        <w:tc>
          <w:tcPr>
            <w:tcW w:w="1480" w:type="dxa"/>
            <w:vAlign w:val="bottom"/>
            <w:shd w:val="clear" w:color="auto" w:fill="F2F2F2"/>
          </w:tcPr>
          <w:p>
            <w:pPr>
              <w:spacing w:after="0"/>
              <w:rPr>
                <w:sz w:val="19"/>
                <w:szCs w:val="19"/>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16</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$533,191</w:t>
            </w:r>
          </w:p>
        </w:tc>
        <w:tc>
          <w:tcPr>
            <w:tcW w:w="1480" w:type="dxa"/>
            <w:vAlign w:val="bottom"/>
            <w:shd w:val="clear" w:color="auto" w:fill="F2F2F2"/>
          </w:tcPr>
          <w:p>
            <w:pPr>
              <w:spacing w:after="0"/>
              <w:rPr>
                <w:sz w:val="22"/>
                <w:szCs w:val="22"/>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(pre-2010)</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$12,961,509</w:t>
            </w:r>
          </w:p>
        </w:tc>
        <w:tc>
          <w:tcPr>
            <w:tcW w:w="1480" w:type="dxa"/>
            <w:vAlign w:val="bottom"/>
            <w:shd w:val="clear" w:color="auto" w:fill="F2F2F2"/>
          </w:tcPr>
          <w:p>
            <w:pPr>
              <w:spacing w:after="0"/>
              <w:rPr>
                <w:sz w:val="22"/>
                <w:szCs w:val="22"/>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16</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$8,604,896</w:t>
            </w:r>
          </w:p>
        </w:tc>
        <w:tc>
          <w:tcPr>
            <w:tcW w:w="1480" w:type="dxa"/>
            <w:vAlign w:val="bottom"/>
            <w:shd w:val="clear" w:color="auto" w:fill="F2F2F2"/>
          </w:tcPr>
          <w:p>
            <w:pPr>
              <w:spacing w:after="0"/>
              <w:rPr>
                <w:sz w:val="22"/>
                <w:szCs w:val="22"/>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22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$22,887,155</w:t>
            </w:r>
          </w:p>
        </w:tc>
        <w:tc>
          <w:tcPr>
            <w:tcW w:w="14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224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9</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$176,073</w:t>
            </w:r>
          </w:p>
        </w:tc>
        <w:tc>
          <w:tcPr>
            <w:tcW w:w="148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9</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$428,017</w:t>
            </w:r>
          </w:p>
        </w:tc>
        <w:tc>
          <w:tcPr>
            <w:tcW w:w="1480" w:type="dxa"/>
            <w:vAlign w:val="bottom"/>
          </w:tcPr>
          <w:p>
            <w:pPr>
              <w:spacing w:after="0"/>
              <w:rPr>
                <w:sz w:val="22"/>
                <w:szCs w:val="22"/>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Pr>
          <w:p>
            <w:pPr>
              <w:spacing w:after="0"/>
              <w:rPr>
                <w:sz w:val="22"/>
                <w:szCs w:val="22"/>
                <w:color w:val="auto"/>
              </w:rPr>
            </w:pP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$604,090</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$317,524</w:t>
            </w:r>
          </w:p>
        </w:tc>
        <w:tc>
          <w:tcPr>
            <w:tcW w:w="1480" w:type="dxa"/>
            <w:vAlign w:val="bottom"/>
            <w:shd w:val="clear" w:color="auto" w:fill="F2F2F2"/>
          </w:tcPr>
          <w:p>
            <w:pPr>
              <w:spacing w:after="0"/>
              <w:rPr>
                <w:sz w:val="20"/>
                <w:szCs w:val="20"/>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13</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$2,878,852</w:t>
            </w:r>
          </w:p>
        </w:tc>
        <w:tc>
          <w:tcPr>
            <w:tcW w:w="1480" w:type="dxa"/>
            <w:vAlign w:val="bottom"/>
            <w:shd w:val="clear" w:color="auto" w:fill="F2F2F2"/>
          </w:tcPr>
          <w:p>
            <w:pPr>
              <w:spacing w:after="0"/>
              <w:rPr>
                <w:sz w:val="22"/>
                <w:szCs w:val="22"/>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22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$3,196,376</w:t>
            </w:r>
          </w:p>
        </w:tc>
        <w:tc>
          <w:tcPr>
            <w:tcW w:w="14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r>
      <w:tr>
        <w:trPr>
          <w:trHeight w:val="235"/>
        </w:trPr>
        <w:tc>
          <w:tcPr>
            <w:tcW w:w="1280" w:type="dxa"/>
            <w:vAlign w:val="bottom"/>
          </w:tcPr>
          <w:p>
            <w:pPr>
              <w:ind w:left="20"/>
              <w:spacing w:after="0"/>
              <w:rPr>
                <w:sz w:val="20"/>
                <w:szCs w:val="20"/>
                <w:color w:val="auto"/>
              </w:rPr>
            </w:pPr>
            <w:r>
              <w:rPr>
                <w:rFonts w:ascii="Arial" w:cs="Arial" w:eastAsia="Arial" w:hAnsi="Arial"/>
                <w:sz w:val="14"/>
                <w:szCs w:val="14"/>
                <w:color w:val="auto"/>
              </w:rPr>
              <w:t>Ms. Hakim</w:t>
            </w:r>
          </w:p>
        </w:tc>
        <w:tc>
          <w:tcPr>
            <w:tcW w:w="2240" w:type="dxa"/>
            <w:vAlign w:val="bottom"/>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6</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$182,032</w:t>
            </w:r>
          </w:p>
        </w:tc>
        <w:tc>
          <w:tcPr>
            <w:tcW w:w="148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tcPr>
          <w:p>
            <w:pPr>
              <w:jc w:val="center"/>
              <w:spacing w:after="0"/>
              <w:rPr>
                <w:sz w:val="20"/>
                <w:szCs w:val="20"/>
                <w:color w:val="auto"/>
              </w:rPr>
            </w:pPr>
            <w:r>
              <w:rPr>
                <w:rFonts w:ascii="Arial" w:cs="Arial" w:eastAsia="Arial" w:hAnsi="Arial"/>
                <w:sz w:val="14"/>
                <w:szCs w:val="14"/>
                <w:color w:val="auto"/>
              </w:rPr>
              <w:t>6</w:t>
            </w: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$1,105,460</w:t>
            </w:r>
          </w:p>
        </w:tc>
        <w:tc>
          <w:tcPr>
            <w:tcW w:w="1480" w:type="dxa"/>
            <w:vAlign w:val="bottom"/>
          </w:tcPr>
          <w:p>
            <w:pPr>
              <w:spacing w:after="0"/>
              <w:rPr>
                <w:sz w:val="22"/>
                <w:szCs w:val="22"/>
                <w:color w:val="auto"/>
              </w:rPr>
            </w:pPr>
          </w:p>
        </w:tc>
      </w:tr>
      <w:tr>
        <w:trPr>
          <w:trHeight w:val="256"/>
        </w:trPr>
        <w:tc>
          <w:tcPr>
            <w:tcW w:w="12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Pr>
          <w:p>
            <w:pPr>
              <w:spacing w:after="0"/>
              <w:rPr>
                <w:sz w:val="22"/>
                <w:szCs w:val="22"/>
                <w:color w:val="auto"/>
              </w:rPr>
            </w:pPr>
          </w:p>
        </w:tc>
        <w:tc>
          <w:tcPr>
            <w:tcW w:w="1920" w:type="dxa"/>
            <w:vAlign w:val="bottom"/>
          </w:tcPr>
          <w:p>
            <w:pPr>
              <w:jc w:val="right"/>
              <w:ind w:right="448"/>
              <w:spacing w:after="0"/>
              <w:rPr>
                <w:sz w:val="20"/>
                <w:szCs w:val="20"/>
                <w:color w:val="auto"/>
              </w:rPr>
            </w:pPr>
            <w:r>
              <w:rPr>
                <w:rFonts w:ascii="Arial" w:cs="Arial" w:eastAsia="Arial" w:hAnsi="Arial"/>
                <w:sz w:val="14"/>
                <w:szCs w:val="14"/>
                <w:color w:val="auto"/>
              </w:rPr>
              <w:t>$1,287,492</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5"/>
        </w:trPr>
        <w:tc>
          <w:tcPr>
            <w:tcW w:w="128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Retirement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$50,021</w:t>
            </w:r>
          </w:p>
        </w:tc>
        <w:tc>
          <w:tcPr>
            <w:tcW w:w="1480" w:type="dxa"/>
            <w:vAlign w:val="bottom"/>
            <w:shd w:val="clear" w:color="auto" w:fill="F2F2F2"/>
          </w:tcPr>
          <w:p>
            <w:pPr>
              <w:spacing w:after="0"/>
              <w:rPr>
                <w:sz w:val="20"/>
                <w:szCs w:val="20"/>
                <w:color w:val="auto"/>
              </w:rPr>
            </w:pPr>
          </w:p>
        </w:tc>
      </w:tr>
      <w:tr>
        <w:trPr>
          <w:trHeight w:val="257"/>
        </w:trPr>
        <w:tc>
          <w:tcPr>
            <w:tcW w:w="1280" w:type="dxa"/>
            <w:vAlign w:val="bottom"/>
            <w:shd w:val="clear" w:color="auto" w:fill="F2F2F2"/>
          </w:tcPr>
          <w:p>
            <w:pPr>
              <w:spacing w:after="0"/>
              <w:rPr>
                <w:sz w:val="22"/>
                <w:szCs w:val="22"/>
                <w:color w:val="auto"/>
              </w:rPr>
            </w:pPr>
          </w:p>
        </w:tc>
        <w:tc>
          <w:tcPr>
            <w:tcW w:w="2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Nonqualified Plan (post-2009)</w:t>
            </w:r>
          </w:p>
        </w:tc>
        <w:tc>
          <w:tcPr>
            <w:tcW w:w="18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w:t>
            </w:r>
          </w:p>
        </w:tc>
        <w:tc>
          <w:tcPr>
            <w:tcW w:w="1920" w:type="dxa"/>
            <w:vAlign w:val="bottom"/>
            <w:shd w:val="clear" w:color="auto" w:fill="F2F2F2"/>
          </w:tcPr>
          <w:p>
            <w:pPr>
              <w:jc w:val="right"/>
              <w:ind w:right="448"/>
              <w:spacing w:after="0"/>
              <w:rPr>
                <w:sz w:val="20"/>
                <w:szCs w:val="20"/>
                <w:color w:val="auto"/>
              </w:rPr>
            </w:pPr>
            <w:r>
              <w:rPr>
                <w:rFonts w:ascii="Arial" w:cs="Arial" w:eastAsia="Arial" w:hAnsi="Arial"/>
                <w:sz w:val="14"/>
                <w:szCs w:val="14"/>
                <w:color w:val="auto"/>
              </w:rPr>
              <w:t>$225,333</w:t>
            </w:r>
          </w:p>
        </w:tc>
        <w:tc>
          <w:tcPr>
            <w:tcW w:w="1480" w:type="dxa"/>
            <w:vAlign w:val="bottom"/>
            <w:shd w:val="clear" w:color="auto" w:fill="F2F2F2"/>
          </w:tcPr>
          <w:p>
            <w:pPr>
              <w:spacing w:after="0"/>
              <w:rPr>
                <w:sz w:val="22"/>
                <w:szCs w:val="22"/>
                <w:color w:val="auto"/>
              </w:rPr>
            </w:pPr>
          </w:p>
        </w:tc>
      </w:tr>
      <w:tr>
        <w:trPr>
          <w:trHeight w:val="258"/>
        </w:trPr>
        <w:tc>
          <w:tcPr>
            <w:tcW w:w="1280" w:type="dxa"/>
            <w:vAlign w:val="bottom"/>
            <w:tcBorders>
              <w:bottom w:val="single" w:sz="8" w:color="F2F2F2"/>
            </w:tcBorders>
            <w:shd w:val="clear" w:color="auto" w:fill="F2F2F2"/>
          </w:tcPr>
          <w:p>
            <w:pPr>
              <w:spacing w:after="0"/>
              <w:rPr>
                <w:sz w:val="22"/>
                <w:szCs w:val="22"/>
                <w:color w:val="auto"/>
              </w:rPr>
            </w:pPr>
          </w:p>
        </w:tc>
        <w:tc>
          <w:tcPr>
            <w:tcW w:w="22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total</w:t>
            </w:r>
          </w:p>
        </w:tc>
        <w:tc>
          <w:tcPr>
            <w:tcW w:w="1800" w:type="dxa"/>
            <w:vAlign w:val="bottom"/>
            <w:tcBorders>
              <w:bottom w:val="single" w:sz="8" w:color="F2F2F2"/>
            </w:tcBorders>
            <w:shd w:val="clear" w:color="auto" w:fill="F2F2F2"/>
          </w:tcPr>
          <w:p>
            <w:pPr>
              <w:spacing w:after="0"/>
              <w:rPr>
                <w:sz w:val="22"/>
                <w:szCs w:val="22"/>
                <w:color w:val="auto"/>
              </w:rPr>
            </w:pPr>
          </w:p>
        </w:tc>
        <w:tc>
          <w:tcPr>
            <w:tcW w:w="1920" w:type="dxa"/>
            <w:vAlign w:val="bottom"/>
            <w:tcBorders>
              <w:bottom w:val="single" w:sz="8" w:color="F2F2F2"/>
            </w:tcBorders>
            <w:shd w:val="clear" w:color="auto" w:fill="F2F2F2"/>
          </w:tcPr>
          <w:p>
            <w:pPr>
              <w:jc w:val="right"/>
              <w:ind w:right="448"/>
              <w:spacing w:after="0"/>
              <w:rPr>
                <w:sz w:val="20"/>
                <w:szCs w:val="20"/>
                <w:color w:val="auto"/>
              </w:rPr>
            </w:pPr>
            <w:r>
              <w:rPr>
                <w:rFonts w:ascii="Arial" w:cs="Arial" w:eastAsia="Arial" w:hAnsi="Arial"/>
                <w:sz w:val="14"/>
                <w:szCs w:val="14"/>
                <w:color w:val="auto"/>
              </w:rPr>
              <w:t>$275,354</w:t>
            </w:r>
          </w:p>
        </w:tc>
        <w:tc>
          <w:tcPr>
            <w:tcW w:w="148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128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11" w:lineRule="exact"/>
        <w:rPr>
          <w:sz w:val="20"/>
          <w:szCs w:val="20"/>
          <w:color w:val="auto"/>
        </w:rPr>
      </w:pPr>
    </w:p>
    <w:p>
      <w:pPr>
        <w:ind w:left="220" w:hanging="212"/>
        <w:spacing w:after="0"/>
        <w:tabs>
          <w:tab w:leader="none" w:pos="220" w:val="left"/>
        </w:tabs>
        <w:numPr>
          <w:ilvl w:val="0"/>
          <w:numId w:val="155"/>
        </w:numPr>
        <w:rPr>
          <w:rFonts w:ascii="Arial" w:cs="Arial" w:eastAsia="Arial" w:hAnsi="Arial"/>
          <w:sz w:val="19"/>
          <w:szCs w:val="19"/>
          <w:color w:val="auto"/>
          <w:vertAlign w:val="superscript"/>
        </w:rPr>
      </w:pPr>
      <w:r>
        <w:rPr>
          <w:rFonts w:ascii="Arial" w:cs="Arial" w:eastAsia="Arial" w:hAnsi="Arial"/>
          <w:sz w:val="14"/>
          <w:szCs w:val="14"/>
          <w:color w:val="auto"/>
        </w:rPr>
        <w:t>The following standard actuarial assumptions were used to calculate the present value of each individual’s accumulated pension benefit:</w:t>
      </w:r>
    </w:p>
    <w:p>
      <w:pPr>
        <w:sectPr>
          <w:pgSz w:w="11900" w:h="16838" w:orient="portrait"/>
          <w:cols w:equalWidth="0" w:num="1">
            <w:col w:w="11240"/>
          </w:cols>
          <w:pgMar w:left="320" w:top="989" w:right="339" w:bottom="1440" w:gutter="0" w:footer="0" w:header="0"/>
        </w:sectPr>
      </w:pPr>
    </w:p>
    <w:p>
      <w:pPr>
        <w:spacing w:after="0" w:line="20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F3A85"/>
        </w:rPr>
        <w:t>Discount rate: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F3A85"/>
        </w:rPr>
        <w:t>Mortality (post-retirement decrement only):</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F3A85"/>
        </w:rPr>
        <w:t>Pre-2010 joint and survivor benefit (% of pension):</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F3A85"/>
        </w:rPr>
        <w:t>Post-2009 benefit payment form:</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5.76 percent for the qualified plan and 5.62 percent for nonqualified plan</w:t>
      </w:r>
    </w:p>
    <w:p>
      <w:pPr>
        <w:spacing w:after="0" w:line="82" w:lineRule="exact"/>
        <w:rPr>
          <w:sz w:val="20"/>
          <w:szCs w:val="20"/>
          <w:color w:val="auto"/>
        </w:rPr>
      </w:pPr>
    </w:p>
    <w:p>
      <w:pPr>
        <w:ind w:right="2220"/>
        <w:spacing w:after="0" w:line="285" w:lineRule="auto"/>
        <w:rPr>
          <w:sz w:val="20"/>
          <w:szCs w:val="20"/>
          <w:color w:val="auto"/>
        </w:rPr>
      </w:pPr>
      <w:r>
        <w:rPr>
          <w:rFonts w:ascii="Arial" w:cs="Arial" w:eastAsia="Arial" w:hAnsi="Arial"/>
          <w:sz w:val="14"/>
          <w:szCs w:val="14"/>
          <w:color w:val="auto"/>
        </w:rPr>
        <w:t>Private 2012 white collar table with generational projection using Scale MP-2021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50 percent until age 62; 25 percent thereafter</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Life annuity</w:t>
      </w:r>
    </w:p>
    <w:p>
      <w:pPr>
        <w:spacing w:after="0" w:line="167" w:lineRule="exact"/>
        <w:rPr>
          <w:sz w:val="20"/>
          <w:szCs w:val="20"/>
          <w:color w:val="auto"/>
        </w:rPr>
      </w:pPr>
    </w:p>
    <w:p>
      <w:pPr>
        <w:sectPr>
          <w:pgSz w:w="11900" w:h="16838" w:orient="portrait"/>
          <w:cols w:equalWidth="0" w:num="2">
            <w:col w:w="4040" w:space="180"/>
            <w:col w:w="7020"/>
          </w:cols>
          <w:pgMar w:left="320" w:top="989" w:right="339" w:bottom="1440" w:gutter="0" w:footer="0" w:header="0"/>
          <w:type w:val="continuous"/>
        </w:sectPr>
      </w:pPr>
    </w:p>
    <w:p>
      <w:pPr>
        <w:ind w:right="20"/>
        <w:spacing w:after="0" w:line="262" w:lineRule="auto"/>
        <w:rPr>
          <w:sz w:val="20"/>
          <w:szCs w:val="20"/>
          <w:color w:val="auto"/>
        </w:rPr>
      </w:pPr>
      <w:r>
        <w:rPr>
          <w:rFonts w:ascii="Arial" w:cs="Arial" w:eastAsia="Arial" w:hAnsi="Arial"/>
          <w:sz w:val="18"/>
          <w:szCs w:val="18"/>
          <w:color w:val="auto"/>
        </w:rPr>
        <w:t>The Retirement Plan benefits shown in the table represent net present values. Benefits are not payable as a lump sum but are generally paid as a monthly annuity for the life of the retiree and, if elected, any qualifying survivor. The annual benefit is calculated using years of service and the average of the annual earnings (salary plus bonus) for the highest five out of the last 10 calendar years of service (final average earnings).</w:t>
      </w:r>
    </w:p>
    <w:p>
      <w:pPr>
        <w:spacing w:after="0" w:line="198" w:lineRule="exact"/>
        <w:rPr>
          <w:sz w:val="20"/>
          <w:szCs w:val="20"/>
          <w:color w:val="auto"/>
        </w:rPr>
      </w:pPr>
    </w:p>
    <w:p>
      <w:pPr>
        <w:ind w:right="160"/>
        <w:spacing w:after="0" w:line="279" w:lineRule="auto"/>
        <w:rPr>
          <w:sz w:val="20"/>
          <w:szCs w:val="20"/>
          <w:color w:val="auto"/>
        </w:rPr>
      </w:pPr>
      <w:r>
        <w:rPr>
          <w:rFonts w:ascii="Arial" w:cs="Arial" w:eastAsia="Arial" w:hAnsi="Arial"/>
          <w:sz w:val="20"/>
          <w:szCs w:val="20"/>
          <w:b w:val="1"/>
          <w:bCs w:val="1"/>
          <w:color w:val="D52B1E"/>
        </w:rPr>
        <w:t xml:space="preserve">Post-2009 Plan Information: </w:t>
      </w:r>
      <w:r>
        <w:rPr>
          <w:rFonts w:ascii="Arial" w:cs="Arial" w:eastAsia="Arial" w:hAnsi="Arial"/>
          <w:sz w:val="17"/>
          <w:szCs w:val="17"/>
          <w:color w:val="000000"/>
        </w:rPr>
        <w:t>Following amendment of our Retirement Plan formulas, employees first hired on or after February 1, 2008</w:t>
      </w:r>
      <w:r>
        <w:rPr>
          <w:rFonts w:ascii="Arial" w:cs="Arial" w:eastAsia="Arial" w:hAnsi="Arial"/>
          <w:sz w:val="20"/>
          <w:szCs w:val="20"/>
          <w:b w:val="1"/>
          <w:bCs w:val="1"/>
          <w:color w:val="D52B1E"/>
        </w:rPr>
        <w:t xml:space="preserve"> </w:t>
      </w:r>
      <w:r>
        <w:rPr>
          <w:rFonts w:ascii="Arial" w:cs="Arial" w:eastAsia="Arial" w:hAnsi="Arial"/>
          <w:sz w:val="17"/>
          <w:szCs w:val="17"/>
          <w:color w:val="000000"/>
        </w:rPr>
        <w:t>have accrued retirement benefits only under the new plan formula. Employees hired before that date have accrued benefits under both the old and new plan formulas. All eligible employees, including those hired on or after February 1, 2008, can currently retire at age 65 with at least five years of service and receive an unreduced benefit.</w:t>
      </w:r>
    </w:p>
    <w:p>
      <w:pPr>
        <w:spacing w:after="0" w:line="1"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The annual benefit under the new plan formula is equal to 1.2 percent of final average earnings multiplied by years of service. Early retirement benefits under this formula are reduced 6 percent for each year under age 65.</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Transition benefits were afforded to employees with 50 points (age plus service) or more as of December 31, 2009. These benefits were intended to ease the transition to the new retirement formula for those employees who were closer to retirement or had longer tenure with the company at the time the plan was changed. For the transition group, early retirement benefits are reduced 3 percent for each year from age 65 to age 60 and 6 percent for each year under age 60. Mr. Ricks is in this transition group.</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20"/>
          <w:szCs w:val="20"/>
          <w:b w:val="1"/>
          <w:bCs w:val="1"/>
          <w:color w:val="D52B1E"/>
        </w:rPr>
        <w:t xml:space="preserve">Pre-2010 Plan Information: </w:t>
      </w:r>
      <w:r>
        <w:rPr>
          <w:rFonts w:ascii="Arial" w:cs="Arial" w:eastAsia="Arial" w:hAnsi="Arial"/>
          <w:sz w:val="17"/>
          <w:szCs w:val="17"/>
          <w:color w:val="000000"/>
        </w:rPr>
        <w:t>Employees hired prior to February 1, 2008 accrued benefits under both plan formulas. For these employees,</w:t>
      </w:r>
      <w:r>
        <w:rPr>
          <w:rFonts w:ascii="Arial" w:cs="Arial" w:eastAsia="Arial" w:hAnsi="Arial"/>
          <w:sz w:val="20"/>
          <w:szCs w:val="20"/>
          <w:b w:val="1"/>
          <w:bCs w:val="1"/>
          <w:color w:val="D52B1E"/>
        </w:rPr>
        <w:t xml:space="preserve"> </w:t>
      </w:r>
      <w:r>
        <w:rPr>
          <w:rFonts w:ascii="Arial" w:cs="Arial" w:eastAsia="Arial" w:hAnsi="Arial"/>
          <w:sz w:val="17"/>
          <w:szCs w:val="17"/>
          <w:color w:val="000000"/>
        </w:rPr>
        <w:t>benefits that accrued before January 1, 2010 were calculated under the old plan formula. The amount of the benefit is calculated using actual years of service through December 31, 2009, while total years of service are used to determine eligibility and early retirement reductions. The benefit amount is increased (but not decreased) proportionately based on final average earnings at termination compared to final average earnings on December 31, 2009.</w:t>
      </w:r>
    </w:p>
    <w:p>
      <w:pPr>
        <w:spacing w:after="0" w:line="12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Full retirement benefits are earned by employees with 90 or more points (the sum of his or her age plus years of service). Employees electing early retirement receive reduced benefits as described below:</w:t>
      </w:r>
    </w:p>
    <w:p>
      <w:pPr>
        <w:sectPr>
          <w:pgSz w:w="11900" w:h="16838" w:orient="portrait"/>
          <w:cols w:equalWidth="0" w:num="1">
            <w:col w:w="11240"/>
          </w:cols>
          <w:pgMar w:left="320" w:top="989"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67" w:name="page68"/>
    <w:bookmarkEnd w:id="67"/>
    <w:p>
      <w:pPr>
        <w:ind w:left="480" w:hanging="310"/>
        <w:spacing w:after="0"/>
        <w:tabs>
          <w:tab w:leader="none" w:pos="480" w:val="left"/>
        </w:tabs>
        <w:numPr>
          <w:ilvl w:val="0"/>
          <w:numId w:val="156"/>
        </w:numPr>
        <w:rPr>
          <w:rFonts w:ascii="Arial" w:cs="Arial" w:eastAsia="Arial" w:hAnsi="Arial"/>
          <w:sz w:val="16"/>
          <w:szCs w:val="16"/>
          <w:color w:val="auto"/>
        </w:rPr>
      </w:pPr>
      <w:r>
        <w:rPr>
          <w:rFonts w:ascii="Arial" w:cs="Arial" w:eastAsia="Arial" w:hAnsi="Arial"/>
          <w:sz w:val="18"/>
          <w:szCs w:val="18"/>
          <w:color w:val="auto"/>
        </w:rPr>
        <w:t>Employees with between 80 and 90 points are reduced by 3 percent for each year before the earlier of 90 points or age 62.</w:t>
      </w:r>
    </w:p>
    <w:p>
      <w:pPr>
        <w:spacing w:after="0" w:line="171" w:lineRule="exact"/>
        <w:rPr>
          <w:rFonts w:ascii="Arial" w:cs="Arial" w:eastAsia="Arial" w:hAnsi="Arial"/>
          <w:sz w:val="16"/>
          <w:szCs w:val="16"/>
          <w:color w:val="auto"/>
        </w:rPr>
      </w:pPr>
    </w:p>
    <w:p>
      <w:pPr>
        <w:ind w:left="500" w:right="160" w:hanging="330"/>
        <w:spacing w:after="0" w:line="287" w:lineRule="auto"/>
        <w:tabs>
          <w:tab w:leader="none" w:pos="489" w:val="left"/>
        </w:tabs>
        <w:numPr>
          <w:ilvl w:val="0"/>
          <w:numId w:val="156"/>
        </w:numPr>
        <w:rPr>
          <w:rFonts w:ascii="Arial" w:cs="Arial" w:eastAsia="Arial" w:hAnsi="Arial"/>
          <w:sz w:val="16"/>
          <w:szCs w:val="16"/>
          <w:color w:val="auto"/>
        </w:rPr>
      </w:pPr>
      <w:r>
        <w:rPr>
          <w:rFonts w:ascii="Arial" w:cs="Arial" w:eastAsia="Arial" w:hAnsi="Arial"/>
          <w:sz w:val="18"/>
          <w:szCs w:val="18"/>
          <w:color w:val="auto"/>
        </w:rPr>
        <w:t>Employees who have fewer than 80 points who have reached age 55 and have at least 10 years of service receive a benefit reduced as described above and further reduced by 6 percent for each year before the earlier of 80 points or age 65.</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Nonqualified Deferred Compensation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572643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260" w:type="dxa"/>
            <w:vAlign w:val="bottom"/>
          </w:tcPr>
          <w:p>
            <w:pPr>
              <w:spacing w:after="0"/>
              <w:rPr>
                <w:sz w:val="15"/>
                <w:szCs w:val="15"/>
                <w:color w:val="auto"/>
              </w:rPr>
            </w:pPr>
          </w:p>
        </w:tc>
      </w:tr>
      <w:tr>
        <w:trPr>
          <w:trHeight w:val="176"/>
        </w:trPr>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Contributions in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Earnings in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Distributions in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Balance at Last</w:t>
            </w:r>
          </w:p>
        </w:tc>
      </w:tr>
      <w:tr>
        <w:trPr>
          <w:trHeight w:val="176"/>
        </w:trPr>
        <w:tc>
          <w:tcPr>
            <w:tcW w:w="10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Last Fiscal Year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Fiscal Year End</w:t>
            </w:r>
          </w:p>
        </w:tc>
      </w:tr>
      <w:tr>
        <w:trPr>
          <w:trHeight w:val="196"/>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ind w:left="700"/>
              <w:spacing w:after="0"/>
              <w:rPr>
                <w:sz w:val="20"/>
                <w:szCs w:val="20"/>
                <w:color w:val="auto"/>
              </w:rPr>
            </w:pPr>
            <w:r>
              <w:rPr>
                <w:rFonts w:ascii="Arial" w:cs="Arial" w:eastAsia="Arial" w:hAnsi="Arial"/>
                <w:sz w:val="14"/>
                <w:szCs w:val="14"/>
                <w:b w:val="1"/>
                <w:bCs w:val="1"/>
                <w:color w:val="auto"/>
              </w:rPr>
              <w:t>Plan</w:t>
            </w:r>
          </w:p>
        </w:tc>
        <w:tc>
          <w:tcPr>
            <w:tcW w:w="1260" w:type="dxa"/>
            <w:vAlign w:val="bottom"/>
          </w:tcPr>
          <w:p>
            <w:pPr>
              <w:jc w:val="right"/>
              <w:ind w:right="4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2</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3</w:t>
            </w:r>
          </w:p>
        </w:tc>
      </w:tr>
      <w:tr>
        <w:trPr>
          <w:trHeight w:val="70"/>
        </w:trPr>
        <w:tc>
          <w:tcPr>
            <w:tcW w:w="104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187"/>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$81,000</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$81,000</w:t>
            </w:r>
          </w:p>
        </w:tc>
        <w:tc>
          <w:tcPr>
            <w:tcW w:w="12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$3,325,194</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$12,400,001</w:t>
            </w: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r>
      <w:tr>
        <w:trPr>
          <w:trHeight w:val="215"/>
        </w:trPr>
        <w:tc>
          <w:tcPr>
            <w:tcW w:w="1040" w:type="dxa"/>
            <w:vAlign w:val="bottom"/>
            <w:shd w:val="clear" w:color="auto" w:fill="F2F2F2"/>
          </w:tcPr>
          <w:p>
            <w:pPr>
              <w:spacing w:after="0"/>
              <w:rPr>
                <w:sz w:val="18"/>
                <w:szCs w:val="18"/>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$5,473,816</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$773,276</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$6,247,092</w:t>
            </w: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700" w:type="dxa"/>
            <w:vAlign w:val="bottom"/>
            <w:tcBorders>
              <w:bottom w:val="single" w:sz="8" w:color="F2F2F2"/>
            </w:tcBorders>
            <w:shd w:val="clear" w:color="auto" w:fill="F2F2F2"/>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$5,554,816</w:t>
            </w:r>
          </w:p>
        </w:tc>
        <w:tc>
          <w:tcPr>
            <w:tcW w:w="130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$81,000</w:t>
            </w:r>
          </w:p>
        </w:tc>
        <w:tc>
          <w:tcPr>
            <w:tcW w:w="12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$4,098,470</w:t>
            </w:r>
          </w:p>
        </w:tc>
        <w:tc>
          <w:tcPr>
            <w:tcW w:w="1220" w:type="dxa"/>
            <w:vAlign w:val="bottom"/>
            <w:tcBorders>
              <w:bottom w:val="single" w:sz="8" w:color="F2F2F2"/>
            </w:tcBorders>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$18,647,092</w:t>
            </w: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170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$39,000</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$39,000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$17,688</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$232,788</w:t>
            </w: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104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7"/>
        </w:trPr>
        <w:tc>
          <w:tcPr>
            <w:tcW w:w="1040" w:type="dxa"/>
            <w:vAlign w:val="bottom"/>
          </w:tcPr>
          <w:p>
            <w:pPr>
              <w:spacing w:after="0"/>
              <w:rPr>
                <w:sz w:val="22"/>
                <w:szCs w:val="22"/>
                <w:color w:val="auto"/>
              </w:rPr>
            </w:pPr>
          </w:p>
        </w:tc>
        <w:tc>
          <w:tcPr>
            <w:tcW w:w="1700" w:type="dxa"/>
            <w:vAlign w:val="bottom"/>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$39,000</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$39,000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$17,688</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$232,788</w:t>
            </w:r>
          </w:p>
        </w:tc>
      </w:tr>
      <w:tr>
        <w:trPr>
          <w:trHeight w:val="22"/>
        </w:trPr>
        <w:tc>
          <w:tcPr>
            <w:tcW w:w="2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$68,423</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$68,423</w:t>
            </w:r>
          </w:p>
        </w:tc>
        <w:tc>
          <w:tcPr>
            <w:tcW w:w="12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$290,026</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$2,052,646</w:t>
            </w: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r>
      <w:tr>
        <w:trPr>
          <w:trHeight w:val="228"/>
        </w:trPr>
        <w:tc>
          <w:tcPr>
            <w:tcW w:w="1040" w:type="dxa"/>
            <w:vAlign w:val="bottom"/>
            <w:shd w:val="clear" w:color="auto" w:fill="F2F2F2"/>
          </w:tcPr>
          <w:p>
            <w:pPr>
              <w:spacing w:after="0"/>
              <w:rPr>
                <w:sz w:val="19"/>
                <w:szCs w:val="19"/>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w:t>
            </w: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700" w:type="dxa"/>
            <w:vAlign w:val="bottom"/>
            <w:tcBorders>
              <w:bottom w:val="single" w:sz="8" w:color="F2F2F2"/>
            </w:tcBorders>
            <w:shd w:val="clear" w:color="auto" w:fill="F2F2F2"/>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$68,423</w:t>
            </w:r>
          </w:p>
        </w:tc>
        <w:tc>
          <w:tcPr>
            <w:tcW w:w="130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$68,423</w:t>
            </w:r>
          </w:p>
        </w:tc>
        <w:tc>
          <w:tcPr>
            <w:tcW w:w="12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$290,026</w:t>
            </w:r>
          </w:p>
        </w:tc>
        <w:tc>
          <w:tcPr>
            <w:tcW w:w="1220" w:type="dxa"/>
            <w:vAlign w:val="bottom"/>
            <w:tcBorders>
              <w:bottom w:val="single" w:sz="8" w:color="F2F2F2"/>
            </w:tcBorders>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$2,052,646</w:t>
            </w:r>
          </w:p>
        </w:tc>
      </w:tr>
      <w:tr>
        <w:trPr>
          <w:trHeight w:val="193"/>
        </w:trPr>
        <w:tc>
          <w:tcPr>
            <w:tcW w:w="1040" w:type="dxa"/>
            <w:vAlign w:val="bottom"/>
          </w:tcPr>
          <w:p>
            <w:pPr>
              <w:ind w:left="20"/>
              <w:spacing w:after="0"/>
              <w:rPr>
                <w:sz w:val="20"/>
                <w:szCs w:val="20"/>
                <w:color w:val="auto"/>
              </w:rPr>
            </w:pPr>
            <w:r>
              <w:rPr>
                <w:rFonts w:ascii="Arial" w:cs="Arial" w:eastAsia="Arial" w:hAnsi="Arial"/>
                <w:sz w:val="14"/>
                <w:szCs w:val="14"/>
                <w:color w:val="auto"/>
              </w:rPr>
              <w:t>Ms. Hakim</w:t>
            </w:r>
          </w:p>
        </w:tc>
        <w:tc>
          <w:tcPr>
            <w:tcW w:w="1700" w:type="dxa"/>
            <w:vAlign w:val="bottom"/>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$39,000</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$39,000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$82,910</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$619,267</w:t>
            </w: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104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190"/>
        </w:trPr>
        <w:tc>
          <w:tcPr>
            <w:tcW w:w="104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Plan</w:t>
            </w: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7"/>
        </w:trPr>
        <w:tc>
          <w:tcPr>
            <w:tcW w:w="1040" w:type="dxa"/>
            <w:vAlign w:val="bottom"/>
          </w:tcPr>
          <w:p>
            <w:pPr>
              <w:spacing w:after="0"/>
              <w:rPr>
                <w:sz w:val="22"/>
                <w:szCs w:val="22"/>
                <w:color w:val="auto"/>
              </w:rPr>
            </w:pPr>
          </w:p>
        </w:tc>
        <w:tc>
          <w:tcPr>
            <w:tcW w:w="1700" w:type="dxa"/>
            <w:vAlign w:val="bottom"/>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$39,000</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$39,000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$82,910</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$619,267</w:t>
            </w:r>
          </w:p>
        </w:tc>
      </w:tr>
      <w:tr>
        <w:trPr>
          <w:trHeight w:val="22"/>
        </w:trPr>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3"/>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Mr. Van</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Nonqualified Savings</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$34,212</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$34,212</w:t>
            </w:r>
          </w:p>
        </w:tc>
        <w:tc>
          <w:tcPr>
            <w:tcW w:w="12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$59,245</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$372,445</w:t>
            </w:r>
          </w:p>
        </w:tc>
      </w:tr>
      <w:tr>
        <w:trPr>
          <w:trHeight w:val="190"/>
        </w:trPr>
        <w:tc>
          <w:tcPr>
            <w:tcW w:w="1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Naarden</w:t>
            </w: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r>
      <w:tr>
        <w:trPr>
          <w:trHeight w:val="215"/>
        </w:trPr>
        <w:tc>
          <w:tcPr>
            <w:tcW w:w="1040" w:type="dxa"/>
            <w:vAlign w:val="bottom"/>
            <w:shd w:val="clear" w:color="auto" w:fill="F2F2F2"/>
          </w:tcPr>
          <w:p>
            <w:pPr>
              <w:spacing w:after="0"/>
              <w:rPr>
                <w:sz w:val="18"/>
                <w:szCs w:val="18"/>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Deferred Compensation</w:t>
            </w:r>
          </w:p>
        </w:tc>
        <w:tc>
          <w:tcPr>
            <w:tcW w:w="1260" w:type="dxa"/>
            <w:vAlign w:val="bottom"/>
            <w:shd w:val="clear" w:color="auto" w:fill="F2F2F2"/>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w:t>
            </w:r>
          </w:p>
        </w:tc>
      </w:tr>
      <w:tr>
        <w:trPr>
          <w:trHeight w:val="190"/>
        </w:trPr>
        <w:tc>
          <w:tcPr>
            <w:tcW w:w="1040" w:type="dxa"/>
            <w:vAlign w:val="bottom"/>
            <w:shd w:val="clear" w:color="auto" w:fill="F2F2F2"/>
          </w:tcPr>
          <w:p>
            <w:pPr>
              <w:spacing w:after="0"/>
              <w:rPr>
                <w:sz w:val="16"/>
                <w:szCs w:val="16"/>
                <w:color w:val="auto"/>
              </w:rPr>
            </w:pPr>
          </w:p>
        </w:tc>
        <w:tc>
          <w:tcPr>
            <w:tcW w:w="1700" w:type="dxa"/>
            <w:vAlign w:val="bottom"/>
            <w:shd w:val="clear" w:color="auto" w:fill="F2F2F2"/>
          </w:tcPr>
          <w:p>
            <w:pPr>
              <w:ind w:left="20"/>
              <w:spacing w:after="0"/>
              <w:rPr>
                <w:sz w:val="20"/>
                <w:szCs w:val="20"/>
                <w:color w:val="auto"/>
              </w:rPr>
            </w:pPr>
            <w:r>
              <w:rPr>
                <w:rFonts w:ascii="Arial" w:cs="Arial" w:eastAsia="Arial" w:hAnsi="Arial"/>
                <w:sz w:val="14"/>
                <w:szCs w:val="14"/>
                <w:color w:val="auto"/>
              </w:rPr>
              <w:t>Plan</w:t>
            </w:r>
          </w:p>
        </w:tc>
        <w:tc>
          <w:tcPr>
            <w:tcW w:w="1260" w:type="dxa"/>
            <w:vAlign w:val="bottom"/>
            <w:shd w:val="clear" w:color="auto" w:fill="F2F2F2"/>
          </w:tcPr>
          <w:p>
            <w:pPr>
              <w:spacing w:after="0"/>
              <w:rPr>
                <w:sz w:val="16"/>
                <w:szCs w:val="16"/>
                <w:color w:val="auto"/>
              </w:rPr>
            </w:pPr>
          </w:p>
        </w:tc>
        <w:tc>
          <w:tcPr>
            <w:tcW w:w="1300" w:type="dxa"/>
            <w:vAlign w:val="bottom"/>
            <w:shd w:val="clear" w:color="auto" w:fill="F2F2F2"/>
          </w:tcPr>
          <w:p>
            <w:pPr>
              <w:spacing w:after="0"/>
              <w:rPr>
                <w:sz w:val="16"/>
                <w:szCs w:val="16"/>
                <w:color w:val="auto"/>
              </w:rPr>
            </w:pPr>
          </w:p>
        </w:tc>
        <w:tc>
          <w:tcPr>
            <w:tcW w:w="124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r>
      <w:tr>
        <w:trPr>
          <w:trHeight w:val="258"/>
        </w:trPr>
        <w:tc>
          <w:tcPr>
            <w:tcW w:w="1040" w:type="dxa"/>
            <w:vAlign w:val="bottom"/>
            <w:tcBorders>
              <w:bottom w:val="single" w:sz="8" w:color="F2F2F2"/>
            </w:tcBorders>
            <w:shd w:val="clear" w:color="auto" w:fill="F2F2F2"/>
          </w:tcPr>
          <w:p>
            <w:pPr>
              <w:spacing w:after="0"/>
              <w:rPr>
                <w:sz w:val="22"/>
                <w:szCs w:val="22"/>
                <w:color w:val="auto"/>
              </w:rPr>
            </w:pPr>
          </w:p>
        </w:tc>
        <w:tc>
          <w:tcPr>
            <w:tcW w:w="1700" w:type="dxa"/>
            <w:vAlign w:val="bottom"/>
            <w:tcBorders>
              <w:bottom w:val="single" w:sz="8" w:color="F2F2F2"/>
            </w:tcBorders>
            <w:shd w:val="clear" w:color="auto" w:fill="F2F2F2"/>
          </w:tcPr>
          <w:p>
            <w:pPr>
              <w:ind w:left="1420"/>
              <w:spacing w:after="0"/>
              <w:rPr>
                <w:sz w:val="20"/>
                <w:szCs w:val="20"/>
                <w:color w:val="auto"/>
              </w:rPr>
            </w:pPr>
            <w:r>
              <w:rPr>
                <w:rFonts w:ascii="Arial" w:cs="Arial" w:eastAsia="Arial" w:hAnsi="Arial"/>
                <w:sz w:val="14"/>
                <w:szCs w:val="14"/>
                <w:color w:val="auto"/>
                <w:w w:val="98"/>
              </w:rPr>
              <w:t>total</w:t>
            </w:r>
          </w:p>
        </w:tc>
        <w:tc>
          <w:tcPr>
            <w:tcW w:w="126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$34,212</w:t>
            </w:r>
          </w:p>
        </w:tc>
        <w:tc>
          <w:tcPr>
            <w:tcW w:w="130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$34,212</w:t>
            </w:r>
          </w:p>
        </w:tc>
        <w:tc>
          <w:tcPr>
            <w:tcW w:w="1240" w:type="dxa"/>
            <w:vAlign w:val="bottom"/>
            <w:tcBorders>
              <w:bottom w:val="single" w:sz="8" w:color="F2F2F2"/>
            </w:tcBorders>
            <w:shd w:val="clear" w:color="auto" w:fill="F2F2F2"/>
          </w:tcPr>
          <w:p>
            <w:pPr>
              <w:jc w:val="right"/>
              <w:ind w:right="228"/>
              <w:spacing w:after="0"/>
              <w:rPr>
                <w:sz w:val="20"/>
                <w:szCs w:val="20"/>
                <w:color w:val="auto"/>
              </w:rPr>
            </w:pPr>
            <w:r>
              <w:rPr>
                <w:rFonts w:ascii="Arial" w:cs="Arial" w:eastAsia="Arial" w:hAnsi="Arial"/>
                <w:sz w:val="14"/>
                <w:szCs w:val="14"/>
                <w:color w:val="auto"/>
              </w:rPr>
              <w:t>$59,245</w:t>
            </w:r>
          </w:p>
        </w:tc>
        <w:tc>
          <w:tcPr>
            <w:tcW w:w="1220" w:type="dxa"/>
            <w:vAlign w:val="bottom"/>
            <w:tcBorders>
              <w:bottom w:val="single" w:sz="8" w:color="F2F2F2"/>
            </w:tcBorders>
            <w:shd w:val="clear" w:color="auto" w:fill="F2F2F2"/>
          </w:tcPr>
          <w:p>
            <w:pPr>
              <w:ind w:left="9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$372,445</w:t>
            </w:r>
          </w:p>
        </w:tc>
      </w:tr>
      <w:tr>
        <w:trPr>
          <w:trHeight w:val="20"/>
        </w:trPr>
        <w:tc>
          <w:tcPr>
            <w:tcW w:w="10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39" w:lineRule="exact"/>
        <w:rPr>
          <w:sz w:val="20"/>
          <w:szCs w:val="20"/>
          <w:color w:val="auto"/>
        </w:rPr>
      </w:pPr>
    </w:p>
    <w:p>
      <w:pPr>
        <w:ind w:left="180" w:right="400" w:hanging="172"/>
        <w:spacing w:after="0" w:line="234" w:lineRule="auto"/>
        <w:tabs>
          <w:tab w:leader="none" w:pos="227" w:val="left"/>
        </w:tabs>
        <w:numPr>
          <w:ilvl w:val="0"/>
          <w:numId w:val="157"/>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include executive deferrals under the Nonqualified Savings Plan (6% of base salary) and the Deferred Compensation Plan (annual bonus deferrals). These amounts are also reported in the Summary Compensation Table (SCT) in the "Salary" column and "Non-Stock Incentive Plan Compensation" column, respectively.</w:t>
      </w:r>
    </w:p>
    <w:p>
      <w:pPr>
        <w:spacing w:after="0" w:line="12" w:lineRule="exact"/>
        <w:rPr>
          <w:sz w:val="20"/>
          <w:szCs w:val="20"/>
          <w:color w:val="auto"/>
        </w:rPr>
      </w:pPr>
    </w:p>
    <w:p>
      <w:pPr>
        <w:ind w:left="220" w:hanging="212"/>
        <w:spacing w:after="0"/>
        <w:tabs>
          <w:tab w:leader="none" w:pos="220" w:val="left"/>
        </w:tabs>
        <w:numPr>
          <w:ilvl w:val="0"/>
          <w:numId w:val="158"/>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represent the company match for the Nonqualified Savings Plan and are also reported in the SCT in the “All Other Compensation” column.</w:t>
      </w:r>
    </w:p>
    <w:p>
      <w:pPr>
        <w:spacing w:after="0" w:line="11" w:lineRule="exact"/>
        <w:rPr>
          <w:sz w:val="20"/>
          <w:szCs w:val="20"/>
          <w:color w:val="auto"/>
        </w:rPr>
      </w:pPr>
    </w:p>
    <w:p>
      <w:pPr>
        <w:ind w:left="220" w:hanging="212"/>
        <w:spacing w:after="0"/>
        <w:tabs>
          <w:tab w:leader="none" w:pos="220" w:val="left"/>
        </w:tabs>
        <w:numPr>
          <w:ilvl w:val="0"/>
          <w:numId w:val="159"/>
        </w:numPr>
        <w:rPr>
          <w:rFonts w:ascii="Arial" w:cs="Arial" w:eastAsia="Arial" w:hAnsi="Arial"/>
          <w:sz w:val="19"/>
          <w:szCs w:val="19"/>
          <w:color w:val="auto"/>
          <w:vertAlign w:val="superscript"/>
        </w:rPr>
      </w:pPr>
      <w:r>
        <w:rPr>
          <w:rFonts w:ascii="Arial" w:cs="Arial" w:eastAsia="Arial" w:hAnsi="Arial"/>
          <w:sz w:val="14"/>
          <w:szCs w:val="14"/>
          <w:color w:val="auto"/>
        </w:rPr>
        <w:t>Of the totals in this column, the following amounts have previously been reported in the SCT for 2025 and previous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48260</wp:posOffset>
            </wp:positionV>
            <wp:extent cx="427736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820" w:type="dxa"/>
            <w:vAlign w:val="bottom"/>
          </w:tcPr>
          <w:p>
            <w:pPr>
              <w:jc w:val="right"/>
              <w:ind w:right="208"/>
              <w:spacing w:after="0"/>
              <w:rPr>
                <w:sz w:val="20"/>
                <w:szCs w:val="20"/>
                <w:color w:val="auto"/>
              </w:rPr>
            </w:pPr>
            <w:r>
              <w:rPr>
                <w:rFonts w:ascii="Arial" w:cs="Arial" w:eastAsia="Arial" w:hAnsi="Arial"/>
                <w:sz w:val="14"/>
                <w:szCs w:val="14"/>
                <w:b w:val="1"/>
                <w:bCs w:val="1"/>
                <w:color w:val="auto"/>
              </w:rPr>
              <w:t>2025 ($)</w:t>
            </w:r>
          </w:p>
        </w:tc>
        <w:tc>
          <w:tcPr>
            <w:tcW w:w="1780" w:type="dxa"/>
            <w:vAlign w:val="bottom"/>
          </w:tcPr>
          <w:p>
            <w:pPr>
              <w:jc w:val="right"/>
              <w:ind w:right="208"/>
              <w:spacing w:after="0"/>
              <w:rPr>
                <w:sz w:val="20"/>
                <w:szCs w:val="20"/>
                <w:color w:val="auto"/>
              </w:rPr>
            </w:pPr>
            <w:r>
              <w:rPr>
                <w:rFonts w:ascii="Arial" w:cs="Arial" w:eastAsia="Arial" w:hAnsi="Arial"/>
                <w:sz w:val="14"/>
                <w:szCs w:val="14"/>
                <w:b w:val="1"/>
                <w:bCs w:val="1"/>
                <w:color w:val="auto"/>
              </w:rPr>
              <w:t>Previous Years ($)</w:t>
            </w: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 ($)</w:t>
            </w:r>
          </w:p>
        </w:tc>
      </w:tr>
      <w:tr>
        <w:trPr>
          <w:trHeight w:val="70"/>
        </w:trPr>
        <w:tc>
          <w:tcPr>
            <w:tcW w:w="19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16"/>
        </w:trPr>
        <w:tc>
          <w:tcPr>
            <w:tcW w:w="19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82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$5,635,816</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$1,152,400</w:t>
            </w:r>
          </w:p>
        </w:tc>
        <w:tc>
          <w:tcPr>
            <w:tcW w:w="122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$6,788,216</w:t>
            </w:r>
          </w:p>
        </w:tc>
      </w:tr>
      <w:tr>
        <w:trPr>
          <w:trHeight w:val="235"/>
        </w:trPr>
        <w:tc>
          <w:tcPr>
            <w:tcW w:w="1920" w:type="dxa"/>
            <w:vAlign w:val="bottom"/>
          </w:tcPr>
          <w:p>
            <w:pPr>
              <w:ind w:left="20"/>
              <w:spacing w:after="0"/>
              <w:rPr>
                <w:sz w:val="20"/>
                <w:szCs w:val="20"/>
                <w:color w:val="auto"/>
              </w:rPr>
            </w:pPr>
            <w:r>
              <w:rPr>
                <w:rFonts w:ascii="Arial" w:cs="Arial" w:eastAsia="Arial" w:hAnsi="Arial"/>
                <w:sz w:val="14"/>
                <w:szCs w:val="14"/>
                <w:color w:val="auto"/>
              </w:rPr>
              <w:t>Mr. Montarce</w:t>
            </w:r>
          </w:p>
        </w:tc>
        <w:tc>
          <w:tcPr>
            <w:tcW w:w="1820" w:type="dxa"/>
            <w:vAlign w:val="bottom"/>
          </w:tcPr>
          <w:p>
            <w:pPr>
              <w:jc w:val="right"/>
              <w:ind w:right="188"/>
              <w:spacing w:after="0"/>
              <w:rPr>
                <w:sz w:val="20"/>
                <w:szCs w:val="20"/>
                <w:color w:val="auto"/>
              </w:rPr>
            </w:pPr>
            <w:r>
              <w:rPr>
                <w:rFonts w:ascii="Arial" w:cs="Arial" w:eastAsia="Arial" w:hAnsi="Arial"/>
                <w:sz w:val="14"/>
                <w:szCs w:val="14"/>
                <w:color w:val="auto"/>
              </w:rPr>
              <w:t>$78,000</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$38,357</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$116,357</w:t>
            </w:r>
          </w:p>
        </w:tc>
      </w:tr>
      <w:tr>
        <w:trPr>
          <w:trHeight w:val="22"/>
        </w:trPr>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9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82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$136,846</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$667,994</w:t>
            </w:r>
          </w:p>
        </w:tc>
        <w:tc>
          <w:tcPr>
            <w:tcW w:w="122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$804,840</w:t>
            </w:r>
          </w:p>
        </w:tc>
      </w:tr>
      <w:tr>
        <w:trPr>
          <w:trHeight w:val="235"/>
        </w:trPr>
        <w:tc>
          <w:tcPr>
            <w:tcW w:w="1920" w:type="dxa"/>
            <w:vAlign w:val="bottom"/>
          </w:tcPr>
          <w:p>
            <w:pPr>
              <w:ind w:left="20"/>
              <w:spacing w:after="0"/>
              <w:rPr>
                <w:sz w:val="20"/>
                <w:szCs w:val="20"/>
                <w:color w:val="auto"/>
              </w:rPr>
            </w:pPr>
            <w:r>
              <w:rPr>
                <w:rFonts w:ascii="Arial" w:cs="Arial" w:eastAsia="Arial" w:hAnsi="Arial"/>
                <w:sz w:val="14"/>
                <w:szCs w:val="14"/>
                <w:color w:val="auto"/>
              </w:rPr>
              <w:t>Ms. Hakim</w:t>
            </w:r>
          </w:p>
        </w:tc>
        <w:tc>
          <w:tcPr>
            <w:tcW w:w="1820" w:type="dxa"/>
            <w:vAlign w:val="bottom"/>
          </w:tcPr>
          <w:p>
            <w:pPr>
              <w:jc w:val="right"/>
              <w:ind w:right="188"/>
              <w:spacing w:after="0"/>
              <w:rPr>
                <w:sz w:val="20"/>
                <w:szCs w:val="20"/>
                <w:color w:val="auto"/>
              </w:rPr>
            </w:pPr>
            <w:r>
              <w:rPr>
                <w:rFonts w:ascii="Arial" w:cs="Arial" w:eastAsia="Arial" w:hAnsi="Arial"/>
                <w:sz w:val="14"/>
                <w:szCs w:val="14"/>
                <w:color w:val="auto"/>
              </w:rPr>
              <w:t>$78,000</w:t>
            </w:r>
          </w:p>
        </w:tc>
        <w:tc>
          <w:tcPr>
            <w:tcW w:w="1780" w:type="dxa"/>
            <w:vAlign w:val="bottom"/>
          </w:tcPr>
          <w:p>
            <w:pPr>
              <w:jc w:val="right"/>
              <w:ind w:right="88"/>
              <w:spacing w:after="0"/>
              <w:rPr>
                <w:sz w:val="20"/>
                <w:szCs w:val="20"/>
                <w:color w:val="auto"/>
              </w:rPr>
            </w:pPr>
            <w:r>
              <w:rPr>
                <w:rFonts w:ascii="Arial" w:cs="Arial" w:eastAsia="Arial" w:hAnsi="Arial"/>
                <w:sz w:val="14"/>
                <w:szCs w:val="14"/>
                <w:color w:val="auto"/>
              </w:rPr>
              <w:t>$225,209</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$303,209</w:t>
            </w:r>
          </w:p>
        </w:tc>
      </w:tr>
      <w:tr>
        <w:trPr>
          <w:trHeight w:val="22"/>
        </w:trPr>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7"/>
        </w:trPr>
        <w:tc>
          <w:tcPr>
            <w:tcW w:w="19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820" w:type="dxa"/>
            <w:vAlign w:val="bottom"/>
            <w:tcBorders>
              <w:bottom w:val="single" w:sz="8" w:color="F2F2F2"/>
            </w:tcBorders>
            <w:shd w:val="clear" w:color="auto" w:fill="F2F2F2"/>
          </w:tcPr>
          <w:p>
            <w:pPr>
              <w:jc w:val="right"/>
              <w:ind w:right="188"/>
              <w:spacing w:after="0"/>
              <w:rPr>
                <w:sz w:val="20"/>
                <w:szCs w:val="20"/>
                <w:color w:val="auto"/>
              </w:rPr>
            </w:pPr>
            <w:r>
              <w:rPr>
                <w:rFonts w:ascii="Arial" w:cs="Arial" w:eastAsia="Arial" w:hAnsi="Arial"/>
                <w:sz w:val="14"/>
                <w:szCs w:val="14"/>
                <w:color w:val="auto"/>
              </w:rPr>
              <w:t>$68,423</w:t>
            </w:r>
          </w:p>
        </w:tc>
        <w:tc>
          <w:tcPr>
            <w:tcW w:w="17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$202,131</w:t>
            </w:r>
          </w:p>
        </w:tc>
        <w:tc>
          <w:tcPr>
            <w:tcW w:w="122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$270,554</w:t>
            </w:r>
          </w:p>
        </w:tc>
      </w:tr>
      <w:tr>
        <w:trPr>
          <w:trHeight w:val="20"/>
        </w:trPr>
        <w:tc>
          <w:tcPr>
            <w:tcW w:w="19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table above reports information about two company programs: the Nonqualified Savings Plan and the Deferred Compensation Plan. The Nonqualified Savings Plan is designed to allow each employee to contribute up to 6 percent of his or her base salary and receive a company match, beyond IRS contribution limits. This plan is administered in the same manner as the 401(k) Plan, with the same participation and investment elections. Executive officers and other U.S. executives may also defer receipt of their bonus under the Deferred Compensation Plan. Participants may select from the investment funds available under the Deferred Compensation Plan, which are substantially similar to those available under the 401(k) Plan. Amounts deferred are credited based on the investment elections made by the participant. Participants may elect to receive the funds in a lump sum or in up to 10 annual installments following termination of employment but may not make</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68" w:name="page69"/>
    <w:bookmarkEnd w:id="68"/>
    <w:p>
      <w:pPr>
        <w:ind w:right="520"/>
        <w:spacing w:after="0" w:line="287" w:lineRule="auto"/>
        <w:rPr>
          <w:sz w:val="20"/>
          <w:szCs w:val="20"/>
          <w:color w:val="auto"/>
        </w:rPr>
      </w:pPr>
      <w:r>
        <w:rPr>
          <w:rFonts w:ascii="Arial" w:cs="Arial" w:eastAsia="Arial" w:hAnsi="Arial"/>
          <w:sz w:val="18"/>
          <w:szCs w:val="18"/>
          <w:color w:val="auto"/>
        </w:rPr>
        <w:t>withdrawals while employed by the company, except in the event of hardship as approved by the Committee. All deferral elections and associated distribution schedules are irrevocable. Both plans are unfunded.</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Payments Upon Termination or Change in Control (as of December 31, 2025)</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 and accompanying narrative describe the potential payments and benefits under the company’s compensation and benefit plans and arrangements to which the named executive officers would be eligible upon covered termination of employment. Except for certain terminations following a change in control of the company, as described below, there are no agreements, arrangements, or plans that entitle named executive officers to cash severance, perquisites, or other enhanced benefits upon termination of their employment. Any agreement to provide such payments or benefits to a terminating executive officer (other than following a change in control pursuant to our change-in-control severance plan) would be at the discretion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76072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Continuation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Acceleration and</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rPr>
              <w:t>Cash</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Medical / Welfare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Continuation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rPr>
              <w:t>Severance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Benefits (present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Stock Awards as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254"/>
        </w:trPr>
        <w:tc>
          <w:tcPr>
            <w:tcW w:w="4260" w:type="dxa"/>
            <w:vAlign w:val="bottom"/>
            <w:tcBorders>
              <w:bottom w:val="single" w:sz="8" w:color="auto"/>
            </w:tcBorders>
            <w:gridSpan w:val="2"/>
            <w:vMerge w:val="continue"/>
          </w:tcPr>
          <w:p>
            <w:pPr>
              <w:spacing w:after="0"/>
              <w:rPr>
                <w:sz w:val="22"/>
                <w:szCs w:val="22"/>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 xml:space="preserve">Payment </w:t>
            </w:r>
            <w:r>
              <w:rPr>
                <w:rFonts w:ascii="Arial" w:cs="Arial" w:eastAsia="Arial" w:hAnsi="Arial"/>
                <w:sz w:val="18"/>
                <w:szCs w:val="18"/>
                <w:b w:val="1"/>
                <w:bCs w:val="1"/>
                <w:color w:val="auto"/>
                <w:w w:val="98"/>
                <w:vertAlign w:val="superscript"/>
              </w:rPr>
              <w:t>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xml:space="preserve">value) </w:t>
            </w:r>
            <w:r>
              <w:rPr>
                <w:rFonts w:ascii="Arial" w:cs="Arial" w:eastAsia="Arial" w:hAnsi="Arial"/>
                <w:sz w:val="18"/>
                <w:szCs w:val="18"/>
                <w:b w:val="1"/>
                <w:bCs w:val="1"/>
                <w:color w:val="auto"/>
                <w:w w:val="97"/>
                <w:vertAlign w:val="superscript"/>
              </w:rPr>
              <w:t>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12/31/2025</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1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Ricks</w:t>
            </w:r>
          </w:p>
        </w:tc>
        <w:tc>
          <w:tcPr>
            <w:tcW w:w="1000" w:type="dxa"/>
            <w:vAlign w:val="bottom"/>
            <w:shd w:val="clear" w:color="auto" w:fill="F2F2F2"/>
          </w:tcPr>
          <w:p>
            <w:pPr>
              <w:spacing w:after="0"/>
              <w:rPr>
                <w:sz w:val="18"/>
                <w:szCs w:val="18"/>
                <w:color w:val="auto"/>
              </w:rPr>
            </w:pPr>
          </w:p>
        </w:tc>
        <w:tc>
          <w:tcPr>
            <w:tcW w:w="1280" w:type="dxa"/>
            <w:vAlign w:val="bottom"/>
            <w:shd w:val="clear" w:color="auto" w:fill="F2F2F2"/>
          </w:tcPr>
          <w:p>
            <w:pPr>
              <w:spacing w:after="0"/>
              <w:rPr>
                <w:sz w:val="18"/>
                <w:szCs w:val="18"/>
                <w:color w:val="auto"/>
              </w:rPr>
            </w:pPr>
          </w:p>
        </w:tc>
        <w:tc>
          <w:tcPr>
            <w:tcW w:w="1460" w:type="dxa"/>
            <w:vAlign w:val="bottom"/>
            <w:shd w:val="clear" w:color="auto" w:fill="F2F2F2"/>
          </w:tcPr>
          <w:p>
            <w:pPr>
              <w:spacing w:after="0"/>
              <w:rPr>
                <w:sz w:val="18"/>
                <w:szCs w:val="18"/>
                <w:color w:val="auto"/>
              </w:rPr>
            </w:pPr>
          </w:p>
        </w:tc>
        <w:tc>
          <w:tcPr>
            <w:tcW w:w="1080" w:type="dxa"/>
            <w:vAlign w:val="bottom"/>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$17,158,341</w:t>
            </w:r>
          </w:p>
        </w:tc>
        <w:tc>
          <w:tcPr>
            <w:tcW w:w="10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$17,158,341</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$9,350,000</w:t>
            </w:r>
          </w:p>
        </w:tc>
        <w:tc>
          <w:tcPr>
            <w:tcW w:w="12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$53,560</w:t>
            </w:r>
          </w:p>
        </w:tc>
        <w:tc>
          <w:tcPr>
            <w:tcW w:w="14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$84,476,138</w:t>
            </w:r>
          </w:p>
        </w:tc>
        <w:tc>
          <w:tcPr>
            <w:tcW w:w="108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$93,879,698</w:t>
            </w: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Mr. Montarce</w:t>
            </w: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  Retirement or Involuntary termination</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$2,524,423</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$2,524,423</w:t>
            </w:r>
          </w:p>
        </w:tc>
        <w:tc>
          <w:tcPr>
            <w:tcW w:w="0" w:type="dxa"/>
            <w:vAlign w:val="bottom"/>
          </w:tcPr>
          <w:p>
            <w:pPr>
              <w:spacing w:after="0"/>
              <w:rPr>
                <w:sz w:val="1"/>
                <w:szCs w:val="1"/>
                <w:color w:val="auto"/>
              </w:rPr>
            </w:pPr>
          </w:p>
        </w:tc>
      </w:tr>
      <w:tr>
        <w:trPr>
          <w:trHeight w:val="257"/>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4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Pr>
          <w:p>
            <w:pPr>
              <w:jc w:val="right"/>
              <w:spacing w:after="0"/>
              <w:rPr>
                <w:sz w:val="20"/>
                <w:szCs w:val="20"/>
                <w:color w:val="auto"/>
              </w:rPr>
            </w:pPr>
            <w:r>
              <w:rPr>
                <w:rFonts w:ascii="Arial" w:cs="Arial" w:eastAsia="Arial" w:hAnsi="Arial"/>
                <w:sz w:val="14"/>
                <w:szCs w:val="14"/>
                <w:color w:val="auto"/>
              </w:rPr>
              <w:t>$4,000,000</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$53,726</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$9,503,935</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$13,557,661</w:t>
            </w:r>
          </w:p>
        </w:tc>
        <w:tc>
          <w:tcPr>
            <w:tcW w:w="0" w:type="dxa"/>
            <w:vAlign w:val="bottom"/>
          </w:tcPr>
          <w:p>
            <w:pPr>
              <w:spacing w:after="0"/>
              <w:rPr>
                <w:sz w:val="1"/>
                <w:szCs w:val="1"/>
                <w:color w:val="auto"/>
              </w:rPr>
            </w:pPr>
          </w:p>
        </w:tc>
      </w:tr>
      <w:tr>
        <w:trPr>
          <w:trHeight w:val="22"/>
        </w:trPr>
        <w:tc>
          <w:tcPr>
            <w:tcW w:w="4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Dr. Skovronsky</w:t>
            </w:r>
          </w:p>
        </w:tc>
        <w:tc>
          <w:tcPr>
            <w:tcW w:w="1000" w:type="dxa"/>
            <w:vAlign w:val="bottom"/>
            <w:shd w:val="clear" w:color="auto" w:fill="F2F2F2"/>
          </w:tcPr>
          <w:p>
            <w:pPr>
              <w:spacing w:after="0"/>
              <w:rPr>
                <w:sz w:val="20"/>
                <w:szCs w:val="20"/>
                <w:color w:val="auto"/>
              </w:rPr>
            </w:pPr>
          </w:p>
        </w:tc>
        <w:tc>
          <w:tcPr>
            <w:tcW w:w="128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10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$6,815,621</w:t>
            </w:r>
          </w:p>
        </w:tc>
        <w:tc>
          <w:tcPr>
            <w:tcW w:w="10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$6,815,621</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$6,000,000</w:t>
            </w:r>
          </w:p>
        </w:tc>
        <w:tc>
          <w:tcPr>
            <w:tcW w:w="12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$53,726</w:t>
            </w:r>
          </w:p>
        </w:tc>
        <w:tc>
          <w:tcPr>
            <w:tcW w:w="14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$36,090,769</w:t>
            </w:r>
          </w:p>
        </w:tc>
        <w:tc>
          <w:tcPr>
            <w:tcW w:w="108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$42,144,495</w:t>
            </w:r>
          </w:p>
        </w:tc>
        <w:tc>
          <w:tcPr>
            <w:tcW w:w="0" w:type="dxa"/>
            <w:vAlign w:val="bottom"/>
          </w:tcPr>
          <w:p>
            <w:pPr>
              <w:spacing w:after="0"/>
              <w:rPr>
                <w:sz w:val="1"/>
                <w:szCs w:val="1"/>
                <w:color w:val="auto"/>
              </w:rPr>
            </w:pP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Ms. Hakim</w:t>
            </w: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  Retirement or Involuntary termination</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$3,600,178</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$3,600,178</w:t>
            </w:r>
          </w:p>
        </w:tc>
        <w:tc>
          <w:tcPr>
            <w:tcW w:w="0" w:type="dxa"/>
            <w:vAlign w:val="bottom"/>
          </w:tcPr>
          <w:p>
            <w:pPr>
              <w:spacing w:after="0"/>
              <w:rPr>
                <w:sz w:val="1"/>
                <w:szCs w:val="1"/>
                <w:color w:val="auto"/>
              </w:rPr>
            </w:pPr>
          </w:p>
        </w:tc>
      </w:tr>
      <w:tr>
        <w:trPr>
          <w:trHeight w:val="257"/>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040" w:type="dxa"/>
            <w:vAlign w:val="bottom"/>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Pr>
          <w:p>
            <w:pPr>
              <w:jc w:val="right"/>
              <w:spacing w:after="0"/>
              <w:rPr>
                <w:sz w:val="20"/>
                <w:szCs w:val="20"/>
                <w:color w:val="auto"/>
              </w:rPr>
            </w:pPr>
            <w:r>
              <w:rPr>
                <w:rFonts w:ascii="Arial" w:cs="Arial" w:eastAsia="Arial" w:hAnsi="Arial"/>
                <w:sz w:val="14"/>
                <w:szCs w:val="14"/>
                <w:color w:val="auto"/>
              </w:rPr>
              <w:t>$4,000,000</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$69,086</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$18,640,758</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$22,709,844</w:t>
            </w:r>
          </w:p>
        </w:tc>
        <w:tc>
          <w:tcPr>
            <w:tcW w:w="0" w:type="dxa"/>
            <w:vAlign w:val="bottom"/>
          </w:tcPr>
          <w:p>
            <w:pPr>
              <w:spacing w:after="0"/>
              <w:rPr>
                <w:sz w:val="1"/>
                <w:szCs w:val="1"/>
                <w:color w:val="auto"/>
              </w:rPr>
            </w:pPr>
          </w:p>
        </w:tc>
      </w:tr>
      <w:tr>
        <w:trPr>
          <w:trHeight w:val="22"/>
        </w:trPr>
        <w:tc>
          <w:tcPr>
            <w:tcW w:w="4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Mr. Van Naarden</w:t>
            </w:r>
          </w:p>
        </w:tc>
        <w:tc>
          <w:tcPr>
            <w:tcW w:w="1000" w:type="dxa"/>
            <w:vAlign w:val="bottom"/>
            <w:shd w:val="clear" w:color="auto" w:fill="F2F2F2"/>
          </w:tcPr>
          <w:p>
            <w:pPr>
              <w:spacing w:after="0"/>
              <w:rPr>
                <w:sz w:val="20"/>
                <w:szCs w:val="20"/>
                <w:color w:val="auto"/>
              </w:rPr>
            </w:pPr>
          </w:p>
        </w:tc>
        <w:tc>
          <w:tcPr>
            <w:tcW w:w="128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108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shd w:val="clear" w:color="auto" w:fill="F2F2F2"/>
          </w:tcPr>
          <w:p>
            <w:pPr>
              <w:ind w:left="20"/>
              <w:spacing w:after="0"/>
              <w:rPr>
                <w:sz w:val="20"/>
                <w:szCs w:val="20"/>
                <w:color w:val="auto"/>
              </w:rPr>
            </w:pPr>
            <w:r>
              <w:rPr>
                <w:rFonts w:ascii="Arial" w:cs="Arial" w:eastAsia="Arial" w:hAnsi="Arial"/>
                <w:sz w:val="14"/>
                <w:szCs w:val="14"/>
                <w:color w:val="auto"/>
              </w:rPr>
              <w:t>Retirement or Involuntary termination</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$2,207,393</w:t>
            </w:r>
          </w:p>
        </w:tc>
        <w:tc>
          <w:tcPr>
            <w:tcW w:w="108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$2,207,393</w:t>
            </w:r>
          </w:p>
        </w:tc>
        <w:tc>
          <w:tcPr>
            <w:tcW w:w="0" w:type="dxa"/>
            <w:vAlign w:val="bottom"/>
          </w:tcPr>
          <w:p>
            <w:pPr>
              <w:spacing w:after="0"/>
              <w:rPr>
                <w:sz w:val="1"/>
                <w:szCs w:val="1"/>
                <w:color w:val="auto"/>
              </w:rPr>
            </w:pPr>
          </w:p>
        </w:tc>
      </w:tr>
      <w:tr>
        <w:trPr>
          <w:trHeight w:val="258"/>
        </w:trPr>
        <w:tc>
          <w:tcPr>
            <w:tcW w:w="2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w:t>
            </w:r>
          </w:p>
        </w:tc>
        <w:tc>
          <w:tcPr>
            <w:tcW w:w="40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Involuntary or good-reason termination after change in control</w:t>
            </w:r>
          </w:p>
        </w:tc>
        <w:tc>
          <w:tcPr>
            <w:tcW w:w="10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$3,700,000</w:t>
            </w:r>
          </w:p>
        </w:tc>
        <w:tc>
          <w:tcPr>
            <w:tcW w:w="128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$68,666</w:t>
            </w:r>
          </w:p>
        </w:tc>
        <w:tc>
          <w:tcPr>
            <w:tcW w:w="146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$12,959,622</w:t>
            </w:r>
          </w:p>
        </w:tc>
        <w:tc>
          <w:tcPr>
            <w:tcW w:w="1080" w:type="dxa"/>
            <w:vAlign w:val="bottom"/>
            <w:tcBorders>
              <w:bottom w:val="single" w:sz="8" w:color="F2F2F2"/>
            </w:tcBorders>
            <w:shd w:val="clear" w:color="auto" w:fill="F2F2F2"/>
          </w:tcPr>
          <w:p>
            <w:pPr>
              <w:jc w:val="right"/>
              <w:ind w:right="48"/>
              <w:spacing w:after="0"/>
              <w:rPr>
                <w:sz w:val="20"/>
                <w:szCs w:val="20"/>
                <w:color w:val="auto"/>
              </w:rPr>
            </w:pPr>
            <w:r>
              <w:rPr>
                <w:rFonts w:ascii="Arial" w:cs="Arial" w:eastAsia="Arial" w:hAnsi="Arial"/>
                <w:sz w:val="14"/>
                <w:szCs w:val="14"/>
                <w:color w:val="auto"/>
              </w:rPr>
              <w:t>$16,728,288</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right="160" w:hanging="172"/>
        <w:spacing w:after="0"/>
        <w:tabs>
          <w:tab w:leader="none" w:pos="270" w:val="left"/>
        </w:tabs>
        <w:numPr>
          <w:ilvl w:val="0"/>
          <w:numId w:val="160"/>
        </w:numPr>
        <w:rPr>
          <w:rFonts w:ascii="Arial" w:cs="Arial" w:eastAsia="Arial" w:hAnsi="Arial"/>
          <w:sz w:val="19"/>
          <w:szCs w:val="19"/>
          <w:color w:val="auto"/>
          <w:vertAlign w:val="superscript"/>
        </w:rPr>
      </w:pPr>
      <w:r>
        <w:rPr>
          <w:rFonts w:ascii="Arial" w:cs="Arial" w:eastAsia="Arial" w:hAnsi="Arial"/>
          <w:sz w:val="14"/>
          <w:szCs w:val="14"/>
          <w:color w:val="auto"/>
        </w:rPr>
        <w:t>See “</w:t>
      </w:r>
      <w:r>
        <w:rPr>
          <w:rFonts w:ascii="Arial" w:cs="Arial" w:eastAsia="Arial" w:hAnsi="Arial"/>
          <w:sz w:val="14"/>
          <w:szCs w:val="14"/>
          <w:u w:val="single" w:color="auto"/>
          <w:color w:val="0000FF"/>
        </w:rPr>
        <w:t>Change-in-Control Severance Pay Plan—Cash Severance Payment</w:t>
      </w:r>
      <w:r>
        <w:rPr>
          <w:rFonts w:ascii="Arial" w:cs="Arial" w:eastAsia="Arial" w:hAnsi="Arial"/>
          <w:sz w:val="14"/>
          <w:szCs w:val="14"/>
          <w:color w:val="auto"/>
        </w:rPr>
        <w:t>”. The table above assumes that the company does not elect to enforce Non-Compete Payment Agreements with Dr. Skovronsky and Mr. Van Naarden, under which they may receive up to $5 million and $3 million (less applicable reductions by the company and deductions required by law for the payment of wages), respectively, in exchange for their restrictive covenant obligations.</w:t>
      </w:r>
    </w:p>
    <w:p>
      <w:pPr>
        <w:spacing w:after="0" w:line="27" w:lineRule="exact"/>
        <w:rPr>
          <w:sz w:val="20"/>
          <w:szCs w:val="20"/>
          <w:color w:val="auto"/>
        </w:rPr>
      </w:pPr>
    </w:p>
    <w:p>
      <w:pPr>
        <w:ind w:left="260" w:hanging="252"/>
        <w:spacing w:after="0"/>
        <w:tabs>
          <w:tab w:leader="none" w:pos="260" w:val="left"/>
        </w:tabs>
        <w:numPr>
          <w:ilvl w:val="0"/>
          <w:numId w:val="161"/>
        </w:numPr>
        <w:rPr>
          <w:rFonts w:ascii="Arial" w:cs="Arial" w:eastAsia="Arial" w:hAnsi="Arial"/>
          <w:sz w:val="9"/>
          <w:szCs w:val="9"/>
          <w:color w:val="auto"/>
        </w:rPr>
      </w:pPr>
      <w:r>
        <w:rPr>
          <w:rFonts w:ascii="Arial" w:cs="Arial" w:eastAsia="Arial" w:hAnsi="Arial"/>
          <w:sz w:val="14"/>
          <w:szCs w:val="14"/>
          <w:color w:val="auto"/>
        </w:rPr>
        <w:t>See “</w:t>
      </w:r>
      <w:r>
        <w:rPr>
          <w:rFonts w:ascii="Arial" w:cs="Arial" w:eastAsia="Arial" w:hAnsi="Arial"/>
          <w:sz w:val="14"/>
          <w:szCs w:val="14"/>
          <w:u w:val="single" w:color="auto"/>
          <w:color w:val="0000FF"/>
        </w:rPr>
        <w:t>Accrued Pay and Regular Retirement Benefits</w:t>
      </w:r>
      <w:r>
        <w:rPr>
          <w:rFonts w:ascii="Arial" w:cs="Arial" w:eastAsia="Arial" w:hAnsi="Arial"/>
          <w:sz w:val="14"/>
          <w:szCs w:val="14"/>
          <w:color w:val="auto"/>
        </w:rPr>
        <w:t>” and “</w:t>
      </w:r>
      <w:r>
        <w:rPr>
          <w:rFonts w:ascii="Arial" w:cs="Arial" w:eastAsia="Arial" w:hAnsi="Arial"/>
          <w:sz w:val="14"/>
          <w:szCs w:val="14"/>
          <w:u w:val="single" w:color="auto"/>
          <w:color w:val="0000FF"/>
        </w:rPr>
        <w:t>Change-in-Control Severance Pay Plan—Continuation of Medical and Welfare Benefits</w:t>
      </w:r>
      <w:r>
        <w:rPr>
          <w:rFonts w:ascii="Arial" w:cs="Arial" w:eastAsia="Arial" w:hAnsi="Arial"/>
          <w:sz w:val="14"/>
          <w:szCs w:val="14"/>
          <w:color w:val="auto"/>
        </w:rPr>
        <w:t>” below.</w:t>
      </w:r>
    </w:p>
    <w:p>
      <w:pPr>
        <w:spacing w:after="0" w:line="252"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b w:val="1"/>
          <w:bCs w:val="1"/>
          <w:color w:val="auto"/>
        </w:rPr>
        <w:t xml:space="preserve">Accrued Pay and Regular Retirement Benefits: </w:t>
      </w:r>
      <w:r>
        <w:rPr>
          <w:rFonts w:ascii="Arial" w:cs="Arial" w:eastAsia="Arial" w:hAnsi="Arial"/>
          <w:sz w:val="17"/>
          <w:szCs w:val="17"/>
          <w:color w:val="auto"/>
        </w:rPr>
        <w:t>The amounts shown in the table above do not include certain payments and</w:t>
      </w:r>
      <w:r>
        <w:rPr>
          <w:rFonts w:ascii="Arial" w:cs="Arial" w:eastAsia="Arial" w:hAnsi="Arial"/>
          <w:sz w:val="22"/>
          <w:szCs w:val="22"/>
          <w:b w:val="1"/>
          <w:bCs w:val="1"/>
          <w:color w:val="auto"/>
        </w:rPr>
        <w:t xml:space="preserve"> </w:t>
      </w:r>
      <w:r>
        <w:rPr>
          <w:rFonts w:ascii="Arial" w:cs="Arial" w:eastAsia="Arial" w:hAnsi="Arial"/>
          <w:sz w:val="17"/>
          <w:szCs w:val="17"/>
          <w:color w:val="auto"/>
        </w:rPr>
        <w:t>benefits provided on a non-discriminatory basis to salaried employees generally upon termination of employment. These include:</w:t>
      </w:r>
    </w:p>
    <w:p>
      <w:pPr>
        <w:spacing w:after="0" w:line="129" w:lineRule="exact"/>
        <w:rPr>
          <w:sz w:val="20"/>
          <w:szCs w:val="20"/>
          <w:color w:val="auto"/>
        </w:rPr>
      </w:pPr>
    </w:p>
    <w:p>
      <w:pPr>
        <w:ind w:left="480" w:hanging="310"/>
        <w:spacing w:after="0"/>
        <w:tabs>
          <w:tab w:leader="none" w:pos="480" w:val="left"/>
        </w:tabs>
        <w:numPr>
          <w:ilvl w:val="0"/>
          <w:numId w:val="162"/>
        </w:numPr>
        <w:rPr>
          <w:rFonts w:ascii="Arial" w:cs="Arial" w:eastAsia="Arial" w:hAnsi="Arial"/>
          <w:sz w:val="16"/>
          <w:szCs w:val="16"/>
          <w:color w:val="auto"/>
        </w:rPr>
      </w:pPr>
      <w:r>
        <w:rPr>
          <w:rFonts w:ascii="Arial" w:cs="Arial" w:eastAsia="Arial" w:hAnsi="Arial"/>
          <w:sz w:val="18"/>
          <w:szCs w:val="18"/>
          <w:color w:val="auto"/>
        </w:rPr>
        <w:t>accrued salary and vacation pay;</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62"/>
        </w:numPr>
        <w:rPr>
          <w:rFonts w:ascii="Arial" w:cs="Arial" w:eastAsia="Arial" w:hAnsi="Arial"/>
          <w:sz w:val="16"/>
          <w:szCs w:val="16"/>
          <w:color w:val="auto"/>
        </w:rPr>
      </w:pPr>
      <w:r>
        <w:rPr>
          <w:rFonts w:ascii="Arial" w:cs="Arial" w:eastAsia="Arial" w:hAnsi="Arial"/>
          <w:sz w:val="18"/>
          <w:szCs w:val="18"/>
          <w:color w:val="auto"/>
        </w:rPr>
        <w:t>regular pension benefits under the Retirement Plan and the Nonqualified Pension Plan. See “</w:t>
      </w:r>
      <w:r>
        <w:rPr>
          <w:rFonts w:ascii="Arial" w:cs="Arial" w:eastAsia="Arial" w:hAnsi="Arial"/>
          <w:sz w:val="18"/>
          <w:szCs w:val="18"/>
          <w:u w:val="single" w:color="auto"/>
          <w:color w:val="0000FF"/>
        </w:rPr>
        <w:t>Retirement Benefits</w:t>
      </w:r>
      <w:r>
        <w:rPr>
          <w:rFonts w:ascii="Arial" w:cs="Arial" w:eastAsia="Arial" w:hAnsi="Arial"/>
          <w:sz w:val="18"/>
          <w:szCs w:val="18"/>
          <w:color w:val="auto"/>
        </w:rPr>
        <w:t>” above;</w:t>
      </w:r>
    </w:p>
    <w:p>
      <w:pPr>
        <w:spacing w:after="0" w:line="171" w:lineRule="exact"/>
        <w:rPr>
          <w:rFonts w:ascii="Arial" w:cs="Arial" w:eastAsia="Arial" w:hAnsi="Arial"/>
          <w:sz w:val="16"/>
          <w:szCs w:val="16"/>
          <w:color w:val="auto"/>
        </w:rPr>
      </w:pPr>
    </w:p>
    <w:p>
      <w:pPr>
        <w:ind w:left="500" w:right="420" w:hanging="330"/>
        <w:spacing w:after="0" w:line="287" w:lineRule="auto"/>
        <w:tabs>
          <w:tab w:leader="none" w:pos="489" w:val="left"/>
        </w:tabs>
        <w:numPr>
          <w:ilvl w:val="0"/>
          <w:numId w:val="162"/>
        </w:numPr>
        <w:rPr>
          <w:rFonts w:ascii="Arial" w:cs="Arial" w:eastAsia="Arial" w:hAnsi="Arial"/>
          <w:sz w:val="16"/>
          <w:szCs w:val="16"/>
          <w:color w:val="auto"/>
        </w:rPr>
      </w:pPr>
      <w:r>
        <w:rPr>
          <w:rFonts w:ascii="Arial" w:cs="Arial" w:eastAsia="Arial" w:hAnsi="Arial"/>
          <w:sz w:val="18"/>
          <w:szCs w:val="18"/>
          <w:color w:val="auto"/>
        </w:rPr>
        <w:t>welfare benefits provided to eligible U.S. retirees, including retiree medical and dental insurance. The amounts shown in the table above as “Continuation of Medical/Welfare Benefits” are explained below; and</w:t>
      </w:r>
    </w:p>
    <w:p>
      <w:pPr>
        <w:spacing w:after="0" w:line="98" w:lineRule="exact"/>
        <w:rPr>
          <w:rFonts w:ascii="Arial" w:cs="Arial" w:eastAsia="Arial" w:hAnsi="Arial"/>
          <w:sz w:val="16"/>
          <w:szCs w:val="16"/>
          <w:color w:val="auto"/>
        </w:rPr>
      </w:pPr>
    </w:p>
    <w:p>
      <w:pPr>
        <w:ind w:left="500" w:right="300" w:hanging="330"/>
        <w:spacing w:after="0" w:line="287" w:lineRule="auto"/>
        <w:tabs>
          <w:tab w:leader="none" w:pos="489" w:val="left"/>
        </w:tabs>
        <w:numPr>
          <w:ilvl w:val="0"/>
          <w:numId w:val="162"/>
        </w:numPr>
        <w:rPr>
          <w:rFonts w:ascii="Arial" w:cs="Arial" w:eastAsia="Arial" w:hAnsi="Arial"/>
          <w:sz w:val="16"/>
          <w:szCs w:val="16"/>
          <w:color w:val="auto"/>
        </w:rPr>
      </w:pPr>
      <w:r>
        <w:rPr>
          <w:rFonts w:ascii="Arial" w:cs="Arial" w:eastAsia="Arial" w:hAnsi="Arial"/>
          <w:sz w:val="18"/>
          <w:szCs w:val="18"/>
          <w:color w:val="auto"/>
        </w:rPr>
        <w:t>distributions of plan balances under the 401(k) Plan, the Nonqualified Savings Plan, and the Deferred Compensation Plan. See the narrative following the Nonqualified Deferred Compensation in 2025 table for information about these plans.</w:t>
      </w:r>
    </w:p>
    <w:p>
      <w:pPr>
        <w:spacing w:after="0" w:line="157" w:lineRule="exact"/>
        <w:rPr>
          <w:sz w:val="20"/>
          <w:szCs w:val="20"/>
          <w:color w:val="auto"/>
        </w:rPr>
      </w:pPr>
    </w:p>
    <w:p>
      <w:pPr>
        <w:spacing w:after="0" w:line="292" w:lineRule="auto"/>
        <w:rPr>
          <w:sz w:val="20"/>
          <w:szCs w:val="20"/>
          <w:color w:val="auto"/>
        </w:rPr>
      </w:pPr>
      <w:r>
        <w:rPr>
          <w:rFonts w:ascii="Arial" w:cs="Arial" w:eastAsia="Arial" w:hAnsi="Arial"/>
          <w:sz w:val="22"/>
          <w:szCs w:val="22"/>
          <w:b w:val="1"/>
          <w:bCs w:val="1"/>
          <w:color w:val="auto"/>
        </w:rPr>
        <w:t xml:space="preserve">Death and Disability: </w:t>
      </w:r>
      <w:r>
        <w:rPr>
          <w:rFonts w:ascii="Arial" w:cs="Arial" w:eastAsia="Arial" w:hAnsi="Arial"/>
          <w:sz w:val="17"/>
          <w:szCs w:val="17"/>
          <w:color w:val="auto"/>
        </w:rPr>
        <w:t>A termination of employment due to death or disability does not entitle named executive officers to any payments</w:t>
      </w:r>
      <w:r>
        <w:rPr>
          <w:rFonts w:ascii="Arial" w:cs="Arial" w:eastAsia="Arial" w:hAnsi="Arial"/>
          <w:sz w:val="22"/>
          <w:szCs w:val="22"/>
          <w:b w:val="1"/>
          <w:bCs w:val="1"/>
          <w:color w:val="auto"/>
        </w:rPr>
        <w:t xml:space="preserve"> </w:t>
      </w:r>
      <w:r>
        <w:rPr>
          <w:rFonts w:ascii="Arial" w:cs="Arial" w:eastAsia="Arial" w:hAnsi="Arial"/>
          <w:sz w:val="17"/>
          <w:szCs w:val="17"/>
          <w:color w:val="auto"/>
        </w:rPr>
        <w:t>or benefits that are not available to U.S. employees generally.</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9" w:name="page70"/>
    <w:bookmarkEnd w:id="69"/>
    <w:p>
      <w:pPr>
        <w:ind w:right="340"/>
        <w:spacing w:after="0" w:line="233" w:lineRule="auto"/>
        <w:rPr>
          <w:sz w:val="20"/>
          <w:szCs w:val="20"/>
          <w:color w:val="auto"/>
        </w:rPr>
      </w:pPr>
      <w:r>
        <w:rPr>
          <w:rFonts w:ascii="Arial" w:cs="Arial" w:eastAsia="Arial" w:hAnsi="Arial"/>
          <w:sz w:val="22"/>
          <w:szCs w:val="22"/>
          <w:b w:val="1"/>
          <w:bCs w:val="1"/>
          <w:color w:val="auto"/>
        </w:rPr>
        <w:t xml:space="preserve">Termination for Cause: </w:t>
      </w:r>
      <w:r>
        <w:rPr>
          <w:rFonts w:ascii="Arial" w:cs="Arial" w:eastAsia="Arial" w:hAnsi="Arial"/>
          <w:sz w:val="17"/>
          <w:szCs w:val="17"/>
          <w:color w:val="auto"/>
        </w:rPr>
        <w:t>Executives terminated for cause receive no severance or enhanced benefits and forfeit any unvested stock</w:t>
      </w:r>
      <w:r>
        <w:rPr>
          <w:rFonts w:ascii="Arial" w:cs="Arial" w:eastAsia="Arial" w:hAnsi="Arial"/>
          <w:sz w:val="22"/>
          <w:szCs w:val="22"/>
          <w:b w:val="1"/>
          <w:bCs w:val="1"/>
          <w:color w:val="auto"/>
        </w:rPr>
        <w:t xml:space="preserve"> </w:t>
      </w:r>
      <w:r>
        <w:rPr>
          <w:rFonts w:ascii="Arial" w:cs="Arial" w:eastAsia="Arial" w:hAnsi="Arial"/>
          <w:sz w:val="17"/>
          <w:szCs w:val="17"/>
          <w:color w:val="auto"/>
        </w:rPr>
        <w:t>grants.</w:t>
      </w:r>
    </w:p>
    <w:p>
      <w:pPr>
        <w:spacing w:after="0" w:line="197" w:lineRule="exact"/>
        <w:rPr>
          <w:sz w:val="20"/>
          <w:szCs w:val="20"/>
          <w:color w:val="auto"/>
        </w:rPr>
      </w:pPr>
    </w:p>
    <w:p>
      <w:pPr>
        <w:ind w:right="220"/>
        <w:spacing w:after="0" w:line="269" w:lineRule="auto"/>
        <w:rPr>
          <w:sz w:val="20"/>
          <w:szCs w:val="20"/>
          <w:color w:val="auto"/>
        </w:rPr>
      </w:pPr>
      <w:r>
        <w:rPr>
          <w:rFonts w:ascii="Arial" w:cs="Arial" w:eastAsia="Arial" w:hAnsi="Arial"/>
          <w:sz w:val="22"/>
          <w:szCs w:val="22"/>
          <w:b w:val="1"/>
          <w:bCs w:val="1"/>
          <w:color w:val="auto"/>
        </w:rPr>
        <w:t>Stock Acceleration</w:t>
      </w:r>
      <w:r>
        <w:rPr>
          <w:rFonts w:ascii="Arial" w:cs="Arial" w:eastAsia="Arial" w:hAnsi="Arial"/>
          <w:sz w:val="17"/>
          <w:szCs w:val="17"/>
          <w:color w:val="auto"/>
        </w:rPr>
        <w:t>: Pursuant to the award agreements granted under the Amended and Restated 2002 Lilly Stock Plan, if an</w:t>
      </w:r>
      <w:r>
        <w:rPr>
          <w:rFonts w:ascii="Arial" w:cs="Arial" w:eastAsia="Arial" w:hAnsi="Arial"/>
          <w:sz w:val="22"/>
          <w:szCs w:val="22"/>
          <w:b w:val="1"/>
          <w:bCs w:val="1"/>
          <w:color w:val="auto"/>
        </w:rPr>
        <w:t xml:space="preserve"> </w:t>
      </w:r>
      <w:r>
        <w:rPr>
          <w:rFonts w:ascii="Arial" w:cs="Arial" w:eastAsia="Arial" w:hAnsi="Arial"/>
          <w:sz w:val="17"/>
          <w:szCs w:val="17"/>
          <w:color w:val="auto"/>
        </w:rPr>
        <w:t>applicable transaction occurs prior to the end of the applicable performance period, the unvested stock awards convert into restricted stock units of the new company, with the number of shares earned under the awards based on the accrued performance at the time of the transaction. The restricted stock units continue to vest and are paid out upon the earliest of the completion of the original award period, a covered termination, or failure by the successor entity to assume, substitute, or otherwise replace the award.</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22"/>
          <w:szCs w:val="22"/>
          <w:b w:val="1"/>
          <w:bCs w:val="1"/>
          <w:color w:val="auto"/>
        </w:rPr>
        <w:t xml:space="preserve">Change-in-Control Severance Pay Plan: </w:t>
      </w:r>
      <w:r>
        <w:rPr>
          <w:rFonts w:ascii="Arial" w:cs="Arial" w:eastAsia="Arial" w:hAnsi="Arial"/>
          <w:sz w:val="17"/>
          <w:szCs w:val="17"/>
          <w:color w:val="auto"/>
        </w:rPr>
        <w:t>As described in the CD&amp;A under “</w:t>
      </w:r>
      <w:r>
        <w:rPr>
          <w:rFonts w:ascii="Arial" w:cs="Arial" w:eastAsia="Arial" w:hAnsi="Arial"/>
          <w:sz w:val="17"/>
          <w:szCs w:val="17"/>
          <w:u w:val="single" w:color="auto"/>
          <w:color w:val="0000FF"/>
        </w:rPr>
        <w:t>Other Compensation Practices and Information—</w:t>
      </w:r>
      <w:r>
        <w:rPr>
          <w:rFonts w:ascii="Arial" w:cs="Arial" w:eastAsia="Arial" w:hAnsi="Arial"/>
          <w:sz w:val="22"/>
          <w:szCs w:val="22"/>
          <w:b w:val="1"/>
          <w:bCs w:val="1"/>
          <w:color w:val="auto"/>
        </w:rPr>
        <w:t xml:space="preserve"> </w:t>
      </w:r>
      <w:r>
        <w:rPr>
          <w:rFonts w:ascii="Arial" w:cs="Arial" w:eastAsia="Arial" w:hAnsi="Arial"/>
          <w:sz w:val="17"/>
          <w:szCs w:val="17"/>
          <w:u w:val="single" w:color="auto"/>
          <w:color w:val="0000FF"/>
        </w:rPr>
        <w:t>Severance Benefits</w:t>
      </w:r>
      <w:r>
        <w:rPr>
          <w:rFonts w:ascii="Arial" w:cs="Arial" w:eastAsia="Arial" w:hAnsi="Arial"/>
          <w:sz w:val="17"/>
          <w:szCs w:val="17"/>
          <w:color w:val="000000"/>
        </w:rPr>
        <w:t>,” the company maintains a change-in-control severance pay plan for nearly all employees, including the named</w:t>
      </w:r>
      <w:r>
        <w:rPr>
          <w:rFonts w:ascii="Arial" w:cs="Arial" w:eastAsia="Arial" w:hAnsi="Arial"/>
          <w:sz w:val="17"/>
          <w:szCs w:val="17"/>
          <w:color w:val="0000FF"/>
        </w:rPr>
        <w:t xml:space="preserve"> </w:t>
      </w:r>
      <w:r>
        <w:rPr>
          <w:rFonts w:ascii="Arial" w:cs="Arial" w:eastAsia="Arial" w:hAnsi="Arial"/>
          <w:sz w:val="17"/>
          <w:szCs w:val="17"/>
          <w:color w:val="000000"/>
        </w:rPr>
        <w:t>executive officers. The change-in-control plan for executive officers provides a specific definition of change in control, which generally includes the occurrence of one of the following: (i) acquisition by any person of 20 percent or more of the company’s stock; (ii) replacement by the shareholders of one-half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complete liquidation of the company or sale or disposition of all or substantially all of its assets (other than a sale or disposition to any subsidiary of the company). The amounts shown in the table above for “involuntary or good-reason termination after change in control” are based on the following assumptions and plan provisions and are conditioned upon the executive’s execution and non-revocation of a general release of claims:</w:t>
      </w:r>
    </w:p>
    <w:p>
      <w:pPr>
        <w:spacing w:after="0" w:line="318" w:lineRule="exact"/>
        <w:rPr>
          <w:sz w:val="20"/>
          <w:szCs w:val="20"/>
          <w:color w:val="auto"/>
        </w:rPr>
      </w:pPr>
    </w:p>
    <w:p>
      <w:pPr>
        <w:ind w:left="500" w:right="20" w:hanging="330"/>
        <w:spacing w:after="0" w:line="274" w:lineRule="auto"/>
        <w:tabs>
          <w:tab w:leader="none" w:pos="489" w:val="left"/>
        </w:tabs>
        <w:numPr>
          <w:ilvl w:val="0"/>
          <w:numId w:val="163"/>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Covered terminations. </w:t>
      </w:r>
      <w:r>
        <w:rPr>
          <w:rFonts w:ascii="Arial" w:cs="Arial" w:eastAsia="Arial" w:hAnsi="Arial"/>
          <w:sz w:val="17"/>
          <w:szCs w:val="17"/>
          <w:color w:val="000000"/>
        </w:rPr>
        <w:t>The table assumes a termination of employment that is eligible for severance under the terms of the plan,</w:t>
      </w:r>
      <w:r>
        <w:rPr>
          <w:rFonts w:ascii="Arial" w:cs="Arial" w:eastAsia="Arial" w:hAnsi="Arial"/>
          <w:sz w:val="20"/>
          <w:szCs w:val="20"/>
          <w:b w:val="1"/>
          <w:bCs w:val="1"/>
          <w:color w:val="D52B1E"/>
        </w:rPr>
        <w:t xml:space="preserve"> </w:t>
      </w:r>
      <w:r>
        <w:rPr>
          <w:rFonts w:ascii="Arial" w:cs="Arial" w:eastAsia="Arial" w:hAnsi="Arial"/>
          <w:sz w:val="17"/>
          <w:szCs w:val="17"/>
          <w:color w:val="000000"/>
        </w:rPr>
        <w:t>based on the named executive officer’s compensation, benefits, age, and service credit on December 31, 2025. Eligible terminations include an involuntary termination for reasons other than “cause” or a voluntary termination by the executive for “good reason,” each as defined in the plan, within two years following the change in control.</w:t>
      </w:r>
    </w:p>
    <w:p>
      <w:pPr>
        <w:spacing w:after="0" w:line="112" w:lineRule="exact"/>
        <w:rPr>
          <w:rFonts w:ascii="Arial" w:cs="Arial" w:eastAsia="Arial" w:hAnsi="Arial"/>
          <w:sz w:val="16"/>
          <w:szCs w:val="16"/>
          <w:b w:val="1"/>
          <w:bCs w:val="1"/>
          <w:color w:val="D52B1E"/>
        </w:rPr>
      </w:pPr>
    </w:p>
    <w:p>
      <w:pPr>
        <w:ind w:left="860" w:right="40" w:hanging="324"/>
        <w:spacing w:after="0" w:line="257" w:lineRule="auto"/>
        <w:rPr>
          <w:rFonts w:ascii="Arial" w:cs="Arial" w:eastAsia="Arial" w:hAnsi="Arial"/>
          <w:sz w:val="16"/>
          <w:szCs w:val="16"/>
          <w:b w:val="1"/>
          <w:bCs w:val="1"/>
          <w:color w:val="D52B1E"/>
        </w:rPr>
      </w:pPr>
      <w:r>
        <w:rPr>
          <w:rFonts w:ascii="Arial" w:cs="Arial" w:eastAsia="Arial" w:hAnsi="Arial"/>
          <w:sz w:val="18"/>
          <w:szCs w:val="18"/>
          <w:color w:val="auto"/>
        </w:rPr>
        <w:t>– A termination of an executive officer by the company is for “cause,” in general, if it is for any of the following reasons: (i) the employee’s willful refusal to perform, without legal cause, material duties, resulting in demonstrable economic harm to the company or participating employers; (ii) any act of fraud, dishonesty, or gross misconduct resulting in significant economic harm or other significant harm to the company or participating employers or to the business reputation of the company or participating employers; or (iii) conviction by a court of competent jurisdiction of any crime (or the entering of a plea of guilty or nolo contendere to a charge of any crime) constituting a felony.</w:t>
      </w:r>
    </w:p>
    <w:p>
      <w:pPr>
        <w:spacing w:after="0" w:line="128" w:lineRule="exact"/>
        <w:rPr>
          <w:rFonts w:ascii="Arial" w:cs="Arial" w:eastAsia="Arial" w:hAnsi="Arial"/>
          <w:sz w:val="16"/>
          <w:szCs w:val="16"/>
          <w:b w:val="1"/>
          <w:bCs w:val="1"/>
          <w:color w:val="D52B1E"/>
        </w:rPr>
      </w:pPr>
    </w:p>
    <w:p>
      <w:pPr>
        <w:ind w:left="860" w:hanging="324"/>
        <w:spacing w:after="0" w:line="253" w:lineRule="auto"/>
        <w:rPr>
          <w:rFonts w:ascii="Arial" w:cs="Arial" w:eastAsia="Arial" w:hAnsi="Arial"/>
          <w:sz w:val="16"/>
          <w:szCs w:val="16"/>
          <w:b w:val="1"/>
          <w:bCs w:val="1"/>
          <w:color w:val="D52B1E"/>
        </w:rPr>
      </w:pPr>
      <w:r>
        <w:rPr>
          <w:rFonts w:ascii="Arial" w:cs="Arial" w:eastAsia="Arial" w:hAnsi="Arial"/>
          <w:sz w:val="18"/>
          <w:szCs w:val="18"/>
          <w:color w:val="auto"/>
        </w:rPr>
        <w:t>– A termination by the executive officer is for “good reason,” in general,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(vi) relocation of the executive by more than 50 miles from his or her regularly assigned workplace in effect immediately prior to the change in control; or (vii) any failure by a successor entity to the company in connection with a change in control to assume the obligations of the company under the plan, or any attempted amendment, termination, or repudiation of the plan by such successor entity.</w:t>
      </w:r>
    </w:p>
    <w:p>
      <w:pPr>
        <w:spacing w:after="0" w:line="157" w:lineRule="exact"/>
        <w:rPr>
          <w:rFonts w:ascii="Arial" w:cs="Arial" w:eastAsia="Arial" w:hAnsi="Arial"/>
          <w:sz w:val="16"/>
          <w:szCs w:val="16"/>
          <w:b w:val="1"/>
          <w:bCs w:val="1"/>
          <w:color w:val="D52B1E"/>
        </w:rPr>
      </w:pPr>
    </w:p>
    <w:p>
      <w:pPr>
        <w:ind w:left="500" w:right="260" w:hanging="330"/>
        <w:spacing w:after="0" w:line="267" w:lineRule="auto"/>
        <w:tabs>
          <w:tab w:leader="none" w:pos="489" w:val="left"/>
        </w:tabs>
        <w:numPr>
          <w:ilvl w:val="0"/>
          <w:numId w:val="163"/>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Cash severance payment. </w:t>
      </w:r>
      <w:r>
        <w:rPr>
          <w:rFonts w:ascii="Arial" w:cs="Arial" w:eastAsia="Arial" w:hAnsi="Arial"/>
          <w:sz w:val="17"/>
          <w:szCs w:val="17"/>
          <w:color w:val="000000"/>
        </w:rPr>
        <w:t>The cash severance payment amounts, in general, equal two times the sum of the executive officer’s</w:t>
      </w:r>
      <w:r>
        <w:rPr>
          <w:rFonts w:ascii="Arial" w:cs="Arial" w:eastAsia="Arial" w:hAnsi="Arial"/>
          <w:sz w:val="20"/>
          <w:szCs w:val="20"/>
          <w:b w:val="1"/>
          <w:bCs w:val="1"/>
          <w:color w:val="D52B1E"/>
        </w:rPr>
        <w:t xml:space="preserve"> </w:t>
      </w:r>
      <w:r>
        <w:rPr>
          <w:rFonts w:ascii="Arial" w:cs="Arial" w:eastAsia="Arial" w:hAnsi="Arial"/>
          <w:sz w:val="17"/>
          <w:szCs w:val="17"/>
          <w:color w:val="000000"/>
        </w:rPr>
        <w:t>annual base salary and target bonus, to be paid in a lump sum.</w:t>
      </w:r>
    </w:p>
    <w:p>
      <w:pPr>
        <w:spacing w:after="0" w:line="55" w:lineRule="exact"/>
        <w:rPr>
          <w:rFonts w:ascii="Arial" w:cs="Arial" w:eastAsia="Arial" w:hAnsi="Arial"/>
          <w:sz w:val="16"/>
          <w:szCs w:val="16"/>
          <w:b w:val="1"/>
          <w:bCs w:val="1"/>
          <w:color w:val="D52B1E"/>
        </w:rPr>
      </w:pPr>
    </w:p>
    <w:p>
      <w:pPr>
        <w:ind w:left="500" w:right="120" w:hanging="330"/>
        <w:spacing w:after="0" w:line="272" w:lineRule="auto"/>
        <w:tabs>
          <w:tab w:leader="none" w:pos="489" w:val="left"/>
        </w:tabs>
        <w:numPr>
          <w:ilvl w:val="0"/>
          <w:numId w:val="163"/>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Continuation of medical and welfare benefits. </w:t>
      </w:r>
      <w:r>
        <w:rPr>
          <w:rFonts w:ascii="Arial" w:cs="Arial" w:eastAsia="Arial" w:hAnsi="Arial"/>
          <w:sz w:val="17"/>
          <w:szCs w:val="17"/>
          <w:color w:val="000000"/>
        </w:rPr>
        <w:t>This amount represents the present value of the change-in-control plan’s</w:t>
      </w:r>
      <w:r>
        <w:rPr>
          <w:rFonts w:ascii="Arial" w:cs="Arial" w:eastAsia="Arial" w:hAnsi="Arial"/>
          <w:sz w:val="20"/>
          <w:szCs w:val="20"/>
          <w:b w:val="1"/>
          <w:bCs w:val="1"/>
          <w:color w:val="D52B1E"/>
        </w:rPr>
        <w:t xml:space="preserve"> </w:t>
      </w:r>
      <w:r>
        <w:rPr>
          <w:rFonts w:ascii="Arial" w:cs="Arial" w:eastAsia="Arial" w:hAnsi="Arial"/>
          <w:sz w:val="17"/>
          <w:szCs w:val="17"/>
          <w:color w:val="000000"/>
        </w:rPr>
        <w:t>provision, following a covered termination, of 18 months of continued coverage equivalent to the company’s current active employee medical, dental, group life, company-provided death benefit, and long-term disability insurance. Similar actuarial assumptions to those used to calculate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0" w:name="page71"/>
    <w:bookmarkEnd w:id="70"/>
    <w:p>
      <w:pPr>
        <w:ind w:left="500" w:right="160"/>
        <w:spacing w:after="0" w:line="268" w:lineRule="auto"/>
        <w:rPr>
          <w:sz w:val="20"/>
          <w:szCs w:val="20"/>
          <w:color w:val="auto"/>
        </w:rPr>
      </w:pPr>
      <w:r>
        <w:rPr>
          <w:rFonts w:ascii="Arial" w:cs="Arial" w:eastAsia="Arial" w:hAnsi="Arial"/>
          <w:sz w:val="18"/>
          <w:szCs w:val="18"/>
          <w:color w:val="auto"/>
        </w:rPr>
        <w:t>incremental pension benefits apply to the calculation for continuation of medical and welfare benefits, with the addition of actual COBRA rates based on current benefit elections. In addition, the executive will receive two years of additional age and service credit for eligibility purposes under the retiree medical plan.</w:t>
      </w:r>
    </w:p>
    <w:p>
      <w:pPr>
        <w:spacing w:after="0" w:line="58" w:lineRule="exact"/>
        <w:rPr>
          <w:sz w:val="20"/>
          <w:szCs w:val="20"/>
          <w:color w:val="auto"/>
        </w:rPr>
      </w:pPr>
    </w:p>
    <w:p>
      <w:pPr>
        <w:ind w:left="500" w:hanging="330"/>
        <w:spacing w:after="0" w:line="279" w:lineRule="auto"/>
        <w:tabs>
          <w:tab w:leader="none" w:pos="489" w:val="left"/>
        </w:tabs>
        <w:numPr>
          <w:ilvl w:val="0"/>
          <w:numId w:val="16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Excise taxes. </w:t>
      </w:r>
      <w:r>
        <w:rPr>
          <w:rFonts w:ascii="Arial" w:cs="Arial" w:eastAsia="Arial" w:hAnsi="Arial"/>
          <w:sz w:val="17"/>
          <w:szCs w:val="17"/>
          <w:color w:val="000000"/>
        </w:rPr>
        <w:t>Upon a change in control, employees may be subject to certain excise taxes under Section 280G of the Internal</w:t>
      </w:r>
      <w:r>
        <w:rPr>
          <w:rFonts w:ascii="Arial" w:cs="Arial" w:eastAsia="Arial" w:hAnsi="Arial"/>
          <w:sz w:val="20"/>
          <w:szCs w:val="20"/>
          <w:b w:val="1"/>
          <w:bCs w:val="1"/>
          <w:color w:val="D52B1E"/>
        </w:rPr>
        <w:t xml:space="preserve"> </w:t>
      </w:r>
      <w:r>
        <w:rPr>
          <w:rFonts w:ascii="Arial" w:cs="Arial" w:eastAsia="Arial" w:hAnsi="Arial"/>
          <w:sz w:val="17"/>
          <w:szCs w:val="17"/>
          <w:color w:val="000000"/>
        </w:rPr>
        <w:t>Revenue Code. The company does not reimburse the affected employees for those excise taxes or any income taxes payable by the employee. To reduce the employee’s exposure to potential excise taxes, the employee’s change in control benefit would be decreased to maximize the after-tax benefit to the individual.</w:t>
      </w:r>
    </w:p>
    <w:p>
      <w:pPr>
        <w:spacing w:after="0" w:line="49" w:lineRule="exact"/>
        <w:rPr>
          <w:rFonts w:ascii="Arial" w:cs="Arial" w:eastAsia="Arial" w:hAnsi="Arial"/>
          <w:sz w:val="16"/>
          <w:szCs w:val="16"/>
          <w:b w:val="1"/>
          <w:bCs w:val="1"/>
          <w:color w:val="D52B1E"/>
        </w:rPr>
      </w:pPr>
    </w:p>
    <w:p>
      <w:pPr>
        <w:ind w:left="500" w:right="200" w:hanging="330"/>
        <w:spacing w:after="0" w:line="258" w:lineRule="auto"/>
        <w:tabs>
          <w:tab w:leader="none" w:pos="489" w:val="left"/>
        </w:tabs>
        <w:numPr>
          <w:ilvl w:val="0"/>
          <w:numId w:val="164"/>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Payments upon Change in Control alone. </w:t>
      </w:r>
      <w:r>
        <w:rPr>
          <w:rFonts w:ascii="Arial" w:cs="Arial" w:eastAsia="Arial" w:hAnsi="Arial"/>
          <w:sz w:val="17"/>
          <w:szCs w:val="17"/>
          <w:color w:val="000000"/>
        </w:rPr>
        <w:t>The change-in-control plan is a “double trigger” plan, meaning payments are made</w:t>
      </w:r>
      <w:r>
        <w:rPr>
          <w:rFonts w:ascii="Arial" w:cs="Arial" w:eastAsia="Arial" w:hAnsi="Arial"/>
          <w:sz w:val="20"/>
          <w:szCs w:val="20"/>
          <w:b w:val="1"/>
          <w:bCs w:val="1"/>
          <w:color w:val="D52B1E"/>
        </w:rPr>
        <w:t xml:space="preserve"> </w:t>
      </w:r>
      <w:r>
        <w:rPr>
          <w:rFonts w:ascii="Arial" w:cs="Arial" w:eastAsia="Arial" w:hAnsi="Arial"/>
          <w:sz w:val="17"/>
          <w:szCs w:val="17"/>
          <w:color w:val="000000"/>
        </w:rPr>
        <w:t>only if the employee suffers a covered termination of employment within two years following the change in control, or in the case of stock awards, if the successor entity does not assume, substitute, or otherwise replace the awards.</w:t>
      </w:r>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CEO Pay Ratio</w:t>
      </w:r>
    </w:p>
    <w:p>
      <w:pPr>
        <w:spacing w:after="0" w:line="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Lilly is committed to ensuring that every employee’s pay reflects their job’s impact and responsibilities and remains market competitive. As required by SEC rules, we are providing the ratio of our CEO’s annual total compensation to that of our median employee. The SEC rules grant companies flexibility in determining the methodology, assumptions, and estimates used to identify the median employee. As a global company with approximately 51,000 employees across diverse roles and geographies, this calculation reflects our broad and complex workforce.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discloses the 2025 annual total compensation for our CEO and median paid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420052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CEO Pay Ratio:</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CEO Annual Total Compensation*</w:t>
            </w:r>
          </w:p>
        </w:tc>
        <w:tc>
          <w:tcPr>
            <w:tcW w:w="172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$36,698,337</w:t>
            </w:r>
          </w:p>
        </w:tc>
      </w:tr>
      <w:tr>
        <w:trPr>
          <w:trHeight w:val="247"/>
        </w:trPr>
        <w:tc>
          <w:tcPr>
            <w:tcW w:w="4900" w:type="dxa"/>
            <w:vAlign w:val="bottom"/>
          </w:tcPr>
          <w:p>
            <w:pPr>
              <w:ind w:left="20"/>
              <w:spacing w:after="0"/>
              <w:rPr>
                <w:sz w:val="20"/>
                <w:szCs w:val="20"/>
                <w:color w:val="auto"/>
              </w:rPr>
            </w:pPr>
            <w:r>
              <w:rPr>
                <w:rFonts w:ascii="Arial" w:cs="Arial" w:eastAsia="Arial" w:hAnsi="Arial"/>
                <w:sz w:val="18"/>
                <w:szCs w:val="18"/>
                <w:color w:val="auto"/>
              </w:rPr>
              <w:t>Median Employee Annual Total Compensation</w:t>
            </w:r>
          </w:p>
        </w:tc>
        <w:tc>
          <w:tcPr>
            <w:tcW w:w="1720" w:type="dxa"/>
            <w:vAlign w:val="bottom"/>
          </w:tcPr>
          <w:p>
            <w:pPr>
              <w:jc w:val="right"/>
              <w:spacing w:after="0"/>
              <w:rPr>
                <w:sz w:val="20"/>
                <w:szCs w:val="20"/>
                <w:color w:val="auto"/>
              </w:rPr>
            </w:pPr>
            <w:r>
              <w:rPr>
                <w:rFonts w:ascii="Arial" w:cs="Arial" w:eastAsia="Arial" w:hAnsi="Arial"/>
                <w:sz w:val="18"/>
                <w:szCs w:val="18"/>
                <w:color w:val="auto"/>
              </w:rPr>
              <w:t>$125,100</w:t>
            </w:r>
          </w:p>
        </w:tc>
      </w:tr>
      <w:tr>
        <w:trPr>
          <w:trHeight w:val="23"/>
        </w:trPr>
        <w:tc>
          <w:tcPr>
            <w:tcW w:w="49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5"/>
        </w:trPr>
        <w:tc>
          <w:tcPr>
            <w:tcW w:w="49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CEO to Median Employee Pay Ratio</w:t>
            </w:r>
          </w:p>
        </w:tc>
        <w:tc>
          <w:tcPr>
            <w:tcW w:w="17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8"/>
                <w:szCs w:val="18"/>
                <w:color w:val="auto"/>
              </w:rPr>
              <w:t>293:1</w:t>
            </w:r>
          </w:p>
        </w:tc>
      </w:tr>
      <w:tr>
        <w:trPr>
          <w:trHeight w:val="294"/>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*This annual total compensation is the SCT amount.</w:t>
            </w:r>
          </w:p>
        </w:tc>
        <w:tc>
          <w:tcPr>
            <w:tcW w:w="1720" w:type="dxa"/>
            <w:vAlign w:val="bottom"/>
            <w:tcBorders>
              <w:top w:val="single" w:sz="8" w:color="auto"/>
            </w:tcBorders>
          </w:tcPr>
          <w:p>
            <w:pPr>
              <w:spacing w:after="0"/>
              <w:rPr>
                <w:sz w:val="24"/>
                <w:szCs w:val="24"/>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Methodology:</w:t>
      </w:r>
    </w:p>
    <w:p>
      <w:pPr>
        <w:spacing w:after="0" w:line="182" w:lineRule="exact"/>
        <w:rPr>
          <w:sz w:val="20"/>
          <w:szCs w:val="20"/>
          <w:color w:val="auto"/>
        </w:rPr>
      </w:pPr>
    </w:p>
    <w:p>
      <w:pPr>
        <w:ind w:left="500" w:right="280" w:hanging="330"/>
        <w:spacing w:after="0" w:line="268" w:lineRule="auto"/>
        <w:tabs>
          <w:tab w:leader="none" w:pos="489" w:val="left"/>
        </w:tabs>
        <w:numPr>
          <w:ilvl w:val="0"/>
          <w:numId w:val="165"/>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Measurement Date: </w:t>
      </w:r>
      <w:r>
        <w:rPr>
          <w:rFonts w:ascii="Arial" w:cs="Arial" w:eastAsia="Arial" w:hAnsi="Arial"/>
          <w:sz w:val="17"/>
          <w:szCs w:val="17"/>
          <w:color w:val="auto"/>
        </w:rPr>
        <w:t>The median employee was identified from our employee population as of October 31, 2025. Lilly employed</w:t>
      </w:r>
      <w:r>
        <w:rPr>
          <w:rFonts w:ascii="Arial" w:cs="Arial" w:eastAsia="Arial" w:hAnsi="Arial"/>
          <w:sz w:val="19"/>
          <w:szCs w:val="19"/>
          <w:b w:val="1"/>
          <w:bCs w:val="1"/>
          <w:color w:val="auto"/>
        </w:rPr>
        <w:t xml:space="preserve"> </w:t>
      </w:r>
      <w:r>
        <w:rPr>
          <w:rFonts w:ascii="Arial" w:cs="Arial" w:eastAsia="Arial" w:hAnsi="Arial"/>
          <w:sz w:val="17"/>
          <w:szCs w:val="17"/>
          <w:color w:val="auto"/>
        </w:rPr>
        <w:t>approximately 51,000 individuals globally, with approximately 24,000 in the United States and approximately 27,000 internationally.</w:t>
      </w:r>
    </w:p>
    <w:p>
      <w:pPr>
        <w:spacing w:after="0" w:line="119" w:lineRule="exact"/>
        <w:rPr>
          <w:rFonts w:ascii="Arial" w:cs="Arial" w:eastAsia="Arial" w:hAnsi="Arial"/>
          <w:sz w:val="16"/>
          <w:szCs w:val="16"/>
          <w:b w:val="1"/>
          <w:bCs w:val="1"/>
          <w:color w:val="auto"/>
        </w:rPr>
      </w:pPr>
    </w:p>
    <w:p>
      <w:pPr>
        <w:ind w:left="500" w:right="380" w:hanging="330"/>
        <w:spacing w:after="0" w:line="267" w:lineRule="auto"/>
        <w:tabs>
          <w:tab w:leader="none" w:pos="489" w:val="left"/>
        </w:tabs>
        <w:numPr>
          <w:ilvl w:val="0"/>
          <w:numId w:val="165"/>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Identification of Median Employee: </w:t>
      </w:r>
      <w:r>
        <w:rPr>
          <w:rFonts w:ascii="Arial" w:cs="Arial" w:eastAsia="Arial" w:hAnsi="Arial"/>
          <w:sz w:val="17"/>
          <w:szCs w:val="17"/>
          <w:color w:val="auto"/>
        </w:rPr>
        <w:t>In compliance with SEC regulations, to determine the median employee, we used a</w:t>
      </w:r>
      <w:r>
        <w:rPr>
          <w:rFonts w:ascii="Arial" w:cs="Arial" w:eastAsia="Arial" w:hAnsi="Arial"/>
          <w:sz w:val="19"/>
          <w:szCs w:val="19"/>
          <w:b w:val="1"/>
          <w:bCs w:val="1"/>
          <w:color w:val="auto"/>
        </w:rPr>
        <w:t xml:space="preserve"> </w:t>
      </w:r>
      <w:r>
        <w:rPr>
          <w:rFonts w:ascii="Arial" w:cs="Arial" w:eastAsia="Arial" w:hAnsi="Arial"/>
          <w:sz w:val="17"/>
          <w:szCs w:val="17"/>
          <w:color w:val="auto"/>
        </w:rPr>
        <w:t>“consistently applied compensation measure” (CACM) based on annual base pay, target bonus, and grant-date fair value of stock awards.</w:t>
      </w:r>
    </w:p>
    <w:p>
      <w:pPr>
        <w:spacing w:after="0" w:line="119" w:lineRule="exact"/>
        <w:rPr>
          <w:rFonts w:ascii="Arial" w:cs="Arial" w:eastAsia="Arial" w:hAnsi="Arial"/>
          <w:sz w:val="16"/>
          <w:szCs w:val="16"/>
          <w:b w:val="1"/>
          <w:bCs w:val="1"/>
          <w:color w:val="auto"/>
        </w:rPr>
      </w:pPr>
    </w:p>
    <w:p>
      <w:pPr>
        <w:ind w:left="480" w:hanging="310"/>
        <w:spacing w:after="0"/>
        <w:tabs>
          <w:tab w:leader="none" w:pos="480" w:val="left"/>
        </w:tabs>
        <w:numPr>
          <w:ilvl w:val="0"/>
          <w:numId w:val="165"/>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De Minimis Exception: </w:t>
      </w:r>
      <w:r>
        <w:rPr>
          <w:rFonts w:ascii="Arial" w:cs="Arial" w:eastAsia="Arial" w:hAnsi="Arial"/>
          <w:sz w:val="17"/>
          <w:szCs w:val="17"/>
          <w:color w:val="auto"/>
        </w:rPr>
        <w:t>Lilly has employees in 66 countries. In identifying the median employee, we excluded 177 workers in the</w:t>
      </w:r>
    </w:p>
    <w:p>
      <w:pPr>
        <w:spacing w:after="0" w:line="23" w:lineRule="exact"/>
        <w:rPr>
          <w:rFonts w:ascii="Arial" w:cs="Arial" w:eastAsia="Arial" w:hAnsi="Arial"/>
          <w:sz w:val="16"/>
          <w:szCs w:val="16"/>
          <w:b w:val="1"/>
          <w:bCs w:val="1"/>
          <w:color w:val="auto"/>
        </w:rPr>
      </w:pPr>
    </w:p>
    <w:p>
      <w:pPr>
        <w:ind w:left="500" w:right="220"/>
        <w:spacing w:after="0" w:line="266" w:lineRule="auto"/>
        <w:rPr>
          <w:rFonts w:ascii="Arial" w:cs="Arial" w:eastAsia="Arial" w:hAnsi="Arial"/>
          <w:sz w:val="16"/>
          <w:szCs w:val="16"/>
          <w:b w:val="1"/>
          <w:bCs w:val="1"/>
          <w:color w:val="auto"/>
        </w:rPr>
      </w:pPr>
      <w:r>
        <w:rPr>
          <w:rFonts w:ascii="Arial" w:cs="Arial" w:eastAsia="Arial" w:hAnsi="Arial"/>
          <w:sz w:val="18"/>
          <w:szCs w:val="18"/>
          <w:color w:val="auto"/>
        </w:rPr>
        <w:t>following seven countries, representing less than 1 percent of our workforce: Bahrain, Costa Rica, Egypt, Greece, Kuwait, Pakistan, and Russia.</w:t>
      </w:r>
    </w:p>
    <w:p>
      <w:pPr>
        <w:spacing w:after="0" w:line="122" w:lineRule="exact"/>
        <w:rPr>
          <w:rFonts w:ascii="Arial" w:cs="Arial" w:eastAsia="Arial" w:hAnsi="Arial"/>
          <w:sz w:val="16"/>
          <w:szCs w:val="16"/>
          <w:b w:val="1"/>
          <w:bCs w:val="1"/>
          <w:color w:val="auto"/>
        </w:rPr>
      </w:pPr>
    </w:p>
    <w:p>
      <w:pPr>
        <w:ind w:left="500" w:right="600" w:hanging="330"/>
        <w:spacing w:after="0" w:line="268" w:lineRule="auto"/>
        <w:tabs>
          <w:tab w:leader="none" w:pos="489" w:val="left"/>
        </w:tabs>
        <w:numPr>
          <w:ilvl w:val="0"/>
          <w:numId w:val="165"/>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Calculated CEO Pay Ratio: </w:t>
      </w:r>
      <w:r>
        <w:rPr>
          <w:rFonts w:ascii="Arial" w:cs="Arial" w:eastAsia="Arial" w:hAnsi="Arial"/>
          <w:sz w:val="17"/>
          <w:szCs w:val="17"/>
          <w:color w:val="auto"/>
        </w:rPr>
        <w:t>After applying our CACM and accounting for the exclusions mentioned, we identified the median</w:t>
      </w:r>
      <w:r>
        <w:rPr>
          <w:rFonts w:ascii="Arial" w:cs="Arial" w:eastAsia="Arial" w:hAnsi="Arial"/>
          <w:sz w:val="19"/>
          <w:szCs w:val="19"/>
          <w:b w:val="1"/>
          <w:bCs w:val="1"/>
          <w:color w:val="auto"/>
        </w:rPr>
        <w:t xml:space="preserve"> </w:t>
      </w:r>
      <w:r>
        <w:rPr>
          <w:rFonts w:ascii="Arial" w:cs="Arial" w:eastAsia="Arial" w:hAnsi="Arial"/>
          <w:sz w:val="17"/>
          <w:szCs w:val="17"/>
          <w:color w:val="auto"/>
        </w:rPr>
        <w:t>employee. We then calculated the median employee’s total annual compensation following SCT requirements.</w:t>
      </w:r>
    </w:p>
    <w:p>
      <w:pPr>
        <w:spacing w:after="0" w:line="319"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Pay versus Performance</w:t>
      </w:r>
    </w:p>
    <w:p>
      <w:pPr>
        <w:spacing w:after="0" w:line="8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Committee manages compensation to align executive pay with shareholder interests through a blend of short- and long-term performance programs. In 2025, incentive pay comprised 94 percent of our CEO’s target compensation and, on average, 88 percent of our other NEOs’ target compensation.</w:t>
      </w:r>
    </w:p>
    <w:p>
      <w:pPr>
        <w:spacing w:after="0" w:line="11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High utilization of incentive compensation means total pay can rise and fall as leaders exceed or miss performance targets. Significant underperformance results in most awards delivering no payout.</w:t>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71" w:name="page72"/>
    <w:bookmarkEnd w:id="71"/>
    <w:p>
      <w:pPr>
        <w:ind w:right="340"/>
        <w:spacing w:after="0" w:line="262" w:lineRule="auto"/>
        <w:rPr>
          <w:sz w:val="20"/>
          <w:szCs w:val="20"/>
          <w:color w:val="auto"/>
        </w:rPr>
      </w:pPr>
      <w:r>
        <w:rPr>
          <w:rFonts w:ascii="Arial" w:cs="Arial" w:eastAsia="Arial" w:hAnsi="Arial"/>
          <w:sz w:val="18"/>
          <w:szCs w:val="18"/>
          <w:color w:val="auto"/>
        </w:rPr>
        <w:t>Mr. Ricks served as the principal executive officer (PEO) for the entire five-year period represented in the table. Average compensation actually paid (CAP) to non-PEO NEOs was impacted by changes in non-PEO composition, particularly CFO transitions in 2021 and 2024 reporting years. The impact was most pronounced in 2024, when the compensation for the interim CFO (Mr. Brooks) was included in the non-PEO 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106680</wp:posOffset>
            </wp:positionV>
            <wp:extent cx="1285875" cy="2603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85875" cy="2603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 initial fixed $100</w:t>
            </w: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investment based on:</w:t>
            </w: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68"/>
        </w:trPr>
        <w:tc>
          <w:tcPr>
            <w:tcW w:w="5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Selected</w:t>
            </w:r>
          </w:p>
        </w:tc>
        <w:tc>
          <w:tcPr>
            <w:tcW w:w="0" w:type="dxa"/>
            <w:vAlign w:val="bottom"/>
          </w:tcPr>
          <w:p>
            <w:pPr>
              <w:spacing w:after="0"/>
              <w:rPr>
                <w:sz w:val="1"/>
                <w:szCs w:val="1"/>
                <w:color w:val="auto"/>
              </w:rPr>
            </w:pPr>
          </w:p>
        </w:tc>
      </w:tr>
      <w:tr>
        <w:trPr>
          <w:trHeight w:val="108"/>
        </w:trPr>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Summary</w:t>
            </w:r>
          </w:p>
        </w:tc>
        <w:tc>
          <w:tcPr>
            <w:tcW w:w="11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0" w:type="dxa"/>
            <w:vAlign w:val="bottom"/>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Summary</w:t>
            </w:r>
          </w:p>
        </w:tc>
        <w:tc>
          <w:tcPr>
            <w:tcW w:w="1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Peer Group</w:t>
            </w:r>
          </w:p>
        </w:tc>
        <w:tc>
          <w:tcPr>
            <w:tcW w:w="760" w:type="dxa"/>
            <w:vAlign w:val="bottom"/>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Measure (CSM)</w:t>
            </w: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00" w:type="dxa"/>
            <w:vAlign w:val="bottom"/>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Compensation</w:t>
            </w:r>
          </w:p>
        </w:tc>
        <w:tc>
          <w:tcPr>
            <w:tcW w:w="1220" w:type="dxa"/>
            <w:vAlign w:val="bottom"/>
            <w:vMerge w:val="continue"/>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Actually Paid to</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7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9"/>
              </w:rPr>
              <w:t>Table Total for</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r>
              <w:rPr>
                <w:rFonts w:ascii="Arial" w:cs="Arial" w:eastAsia="Arial" w:hAnsi="Arial"/>
                <w:sz w:val="18"/>
                <w:szCs w:val="18"/>
                <w:b w:val="1"/>
                <w:bCs w:val="1"/>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Table Total for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1220" w:type="dxa"/>
            <w:vAlign w:val="bottom"/>
          </w:tcPr>
          <w:p>
            <w:pPr>
              <w:jc w:val="center"/>
              <w:spacing w:after="0" w:line="167" w:lineRule="exact"/>
              <w:rPr>
                <w:sz w:val="20"/>
                <w:szCs w:val="20"/>
                <w:color w:val="auto"/>
              </w:rPr>
            </w:pPr>
            <w:r>
              <w:rPr>
                <w:rFonts w:ascii="Arial" w:cs="Arial" w:eastAsia="Arial" w:hAnsi="Arial"/>
                <w:sz w:val="14"/>
                <w:szCs w:val="14"/>
                <w:b w:val="1"/>
                <w:bCs w:val="1"/>
                <w:color w:val="auto"/>
              </w:rPr>
              <w:t>Non-PEO NEOs</w:t>
            </w:r>
            <w:r>
              <w:rPr>
                <w:rFonts w:ascii="Arial" w:cs="Arial" w:eastAsia="Arial" w:hAnsi="Arial"/>
                <w:sz w:val="18"/>
                <w:szCs w:val="18"/>
                <w:b w:val="1"/>
                <w:bCs w:val="1"/>
                <w:color w:val="auto"/>
                <w:vertAlign w:val="superscript"/>
              </w:rPr>
              <w:t>4,</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8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Income ($   Non-GAAP</w:t>
            </w:r>
          </w:p>
        </w:tc>
        <w:tc>
          <w:tcPr>
            <w:tcW w:w="0" w:type="dxa"/>
            <w:vAlign w:val="bottom"/>
          </w:tcPr>
          <w:p>
            <w:pPr>
              <w:spacing w:after="0"/>
              <w:rPr>
                <w:sz w:val="1"/>
                <w:szCs w:val="1"/>
                <w:color w:val="auto"/>
              </w:rPr>
            </w:pPr>
          </w:p>
        </w:tc>
      </w:tr>
      <w:tr>
        <w:trPr>
          <w:trHeight w:val="206"/>
        </w:trPr>
        <w:tc>
          <w:tcPr>
            <w:tcW w:w="50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PEO</w:t>
            </w:r>
            <w:r>
              <w:rPr>
                <w:rFonts w:ascii="Arial" w:cs="Arial" w:eastAsia="Arial" w:hAnsi="Arial"/>
                <w:sz w:val="9"/>
                <w:szCs w:val="9"/>
                <w:b w:val="1"/>
                <w:bCs w:val="1"/>
                <w:color w:val="auto"/>
              </w:rPr>
              <w:t>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PEO</w:t>
            </w:r>
            <w:r>
              <w:rPr>
                <w:rFonts w:ascii="Arial" w:cs="Arial" w:eastAsia="Arial" w:hAnsi="Arial"/>
                <w:sz w:val="18"/>
                <w:szCs w:val="18"/>
                <w:b w:val="1"/>
                <w:bCs w:val="1"/>
                <w:color w:val="auto"/>
                <w:w w:val="99"/>
                <w:vertAlign w:val="superscript"/>
              </w:rPr>
              <w:t>3</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8"/>
              </w:rPr>
              <w:t>7</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NEOs</w:t>
            </w:r>
            <w:r>
              <w:rPr>
                <w:rFonts w:ascii="Arial" w:cs="Arial" w:eastAsia="Arial" w:hAnsi="Arial"/>
                <w:sz w:val="18"/>
                <w:szCs w:val="18"/>
                <w:b w:val="1"/>
                <w:bCs w:val="1"/>
                <w:color w:val="auto"/>
                <w:w w:val="98"/>
                <w:vertAlign w:val="superscript"/>
              </w:rPr>
              <w:t>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Return</w:t>
            </w:r>
            <w:r>
              <w:rPr>
                <w:rFonts w:ascii="Arial" w:cs="Arial" w:eastAsia="Arial" w:hAnsi="Arial"/>
                <w:sz w:val="18"/>
                <w:szCs w:val="18"/>
                <w:b w:val="1"/>
                <w:bCs w:val="1"/>
                <w:color w:val="auto"/>
                <w:w w:val="96"/>
                <w:vertAlign w:val="superscript"/>
              </w:rPr>
              <w:t>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Return</w:t>
            </w:r>
            <w:r>
              <w:rPr>
                <w:rFonts w:ascii="Arial" w:cs="Arial" w:eastAsia="Arial" w:hAnsi="Arial"/>
                <w:sz w:val="9"/>
                <w:szCs w:val="9"/>
                <w:b w:val="1"/>
                <w:bCs w:val="1"/>
                <w:color w:val="auto"/>
                <w:w w:val="99"/>
              </w:rPr>
              <w:t>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millions)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EPS</w:t>
            </w:r>
            <w:r>
              <w:rPr>
                <w:rFonts w:ascii="Arial" w:cs="Arial" w:eastAsia="Arial" w:hAnsi="Arial"/>
                <w:sz w:val="18"/>
                <w:szCs w:val="18"/>
                <w:b w:val="1"/>
                <w:bCs w:val="1"/>
                <w:color w:val="auto"/>
                <w:w w:val="97"/>
                <w:vertAlign w:val="superscript"/>
              </w:rPr>
              <w:t>6</w:t>
            </w:r>
          </w:p>
        </w:tc>
        <w:tc>
          <w:tcPr>
            <w:tcW w:w="0" w:type="dxa"/>
            <w:vAlign w:val="bottom"/>
          </w:tcPr>
          <w:p>
            <w:pPr>
              <w:spacing w:after="0"/>
              <w:rPr>
                <w:sz w:val="1"/>
                <w:szCs w:val="1"/>
                <w:color w:val="auto"/>
              </w:rPr>
            </w:pPr>
          </w:p>
        </w:tc>
      </w:tr>
      <w:tr>
        <w:trPr>
          <w:trHeight w:val="230"/>
        </w:trPr>
        <w:tc>
          <w:tcPr>
            <w:tcW w:w="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2025</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$36,698,337</w:t>
            </w:r>
          </w:p>
        </w:tc>
        <w:tc>
          <w:tcPr>
            <w:tcW w:w="118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$75,185,008</w:t>
            </w:r>
          </w:p>
        </w:tc>
        <w:tc>
          <w:tcPr>
            <w:tcW w:w="12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$10,925,377</w:t>
            </w:r>
          </w:p>
        </w:tc>
        <w:tc>
          <w:tcPr>
            <w:tcW w:w="1160" w:type="dxa"/>
            <w:vAlign w:val="bottom"/>
            <w:tcBorders>
              <w:bottom w:val="single" w:sz="8" w:color="F2F2F2"/>
            </w:tcBorders>
            <w:shd w:val="clear" w:color="auto" w:fill="F2F2F2"/>
          </w:tcPr>
          <w:p>
            <w:pPr>
              <w:jc w:val="right"/>
              <w:ind w:right="28"/>
              <w:spacing w:after="0"/>
              <w:rPr>
                <w:sz w:val="20"/>
                <w:szCs w:val="20"/>
                <w:color w:val="auto"/>
              </w:rPr>
            </w:pPr>
            <w:r>
              <w:rPr>
                <w:rFonts w:ascii="Arial" w:cs="Arial" w:eastAsia="Arial" w:hAnsi="Arial"/>
                <w:sz w:val="14"/>
                <w:szCs w:val="14"/>
                <w:color w:val="auto"/>
              </w:rPr>
              <w:t>$20,352,904</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$670.56</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8"/>
              </w:rPr>
              <w:t>$154.11</w:t>
            </w:r>
          </w:p>
        </w:tc>
        <w:tc>
          <w:tcPr>
            <w:tcW w:w="760" w:type="dxa"/>
            <w:vAlign w:val="bottom"/>
            <w:tcBorders>
              <w:bottom w:val="single" w:sz="8" w:color="F2F2F2"/>
            </w:tcBorders>
            <w:shd w:val="clear" w:color="auto" w:fill="F2F2F2"/>
          </w:tcPr>
          <w:p>
            <w:pPr>
              <w:jc w:val="right"/>
              <w:ind w:right="8"/>
              <w:spacing w:after="0"/>
              <w:rPr>
                <w:sz w:val="20"/>
                <w:szCs w:val="20"/>
                <w:color w:val="auto"/>
              </w:rPr>
            </w:pPr>
            <w:r>
              <w:rPr>
                <w:rFonts w:ascii="Arial" w:cs="Arial" w:eastAsia="Arial" w:hAnsi="Arial"/>
                <w:sz w:val="14"/>
                <w:szCs w:val="14"/>
                <w:color w:val="auto"/>
              </w:rPr>
              <w:t>$20,640</w:t>
            </w:r>
          </w:p>
        </w:tc>
        <w:tc>
          <w:tcPr>
            <w:tcW w:w="1120" w:type="dxa"/>
            <w:vAlign w:val="bottom"/>
            <w:tcBorders>
              <w:bottom w:val="single" w:sz="8" w:color="F2F2F2"/>
            </w:tcBorders>
            <w:shd w:val="clear" w:color="auto" w:fill="F2F2F2"/>
          </w:tcPr>
          <w:p>
            <w:pPr>
              <w:jc w:val="right"/>
              <w:ind w:right="268"/>
              <w:spacing w:after="0"/>
              <w:rPr>
                <w:sz w:val="20"/>
                <w:szCs w:val="20"/>
                <w:color w:val="auto"/>
              </w:rPr>
            </w:pPr>
            <w:r>
              <w:rPr>
                <w:rFonts w:ascii="Arial" w:cs="Arial" w:eastAsia="Arial" w:hAnsi="Arial"/>
                <w:sz w:val="14"/>
                <w:szCs w:val="14"/>
                <w:color w:val="auto"/>
              </w:rPr>
              <w:t>$27.06</w:t>
            </w:r>
          </w:p>
        </w:tc>
        <w:tc>
          <w:tcPr>
            <w:tcW w:w="0" w:type="dxa"/>
            <w:vAlign w:val="bottom"/>
          </w:tcPr>
          <w:p>
            <w:pPr>
              <w:spacing w:after="0"/>
              <w:rPr>
                <w:sz w:val="1"/>
                <w:szCs w:val="1"/>
                <w:color w:val="auto"/>
              </w:rPr>
            </w:pPr>
          </w:p>
        </w:tc>
      </w:tr>
      <w:tr>
        <w:trPr>
          <w:trHeight w:val="208"/>
        </w:trPr>
        <w:tc>
          <w:tcPr>
            <w:tcW w:w="500" w:type="dxa"/>
            <w:vAlign w:val="bottom"/>
          </w:tcPr>
          <w:p>
            <w:pPr>
              <w:ind w:left="20"/>
              <w:spacing w:after="0"/>
              <w:rPr>
                <w:sz w:val="20"/>
                <w:szCs w:val="20"/>
                <w:color w:val="auto"/>
              </w:rPr>
            </w:pPr>
            <w:r>
              <w:rPr>
                <w:rFonts w:ascii="Arial" w:cs="Arial" w:eastAsia="Arial" w:hAnsi="Arial"/>
                <w:sz w:val="14"/>
                <w:szCs w:val="14"/>
                <w:color w:val="auto"/>
              </w:rPr>
              <w:t>2024</w:t>
            </w:r>
          </w:p>
        </w:tc>
        <w:tc>
          <w:tcPr>
            <w:tcW w:w="1160" w:type="dxa"/>
            <w:vAlign w:val="bottom"/>
          </w:tcPr>
          <w:p>
            <w:pPr>
              <w:jc w:val="center"/>
              <w:spacing w:after="0"/>
              <w:rPr>
                <w:sz w:val="20"/>
                <w:szCs w:val="20"/>
                <w:color w:val="auto"/>
              </w:rPr>
            </w:pPr>
            <w:r>
              <w:rPr>
                <w:rFonts w:ascii="Arial" w:cs="Arial" w:eastAsia="Arial" w:hAnsi="Arial"/>
                <w:sz w:val="14"/>
                <w:szCs w:val="14"/>
                <w:color w:val="auto"/>
              </w:rPr>
              <w:t>$29,242,926</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$80,583,515</w:t>
            </w:r>
          </w:p>
        </w:tc>
        <w:tc>
          <w:tcPr>
            <w:tcW w:w="1220" w:type="dxa"/>
            <w:vAlign w:val="bottom"/>
          </w:tcPr>
          <w:p>
            <w:pPr>
              <w:jc w:val="right"/>
              <w:spacing w:after="0"/>
              <w:rPr>
                <w:sz w:val="20"/>
                <w:szCs w:val="20"/>
                <w:color w:val="auto"/>
              </w:rPr>
            </w:pPr>
            <w:r>
              <w:rPr>
                <w:rFonts w:ascii="Arial" w:cs="Arial" w:eastAsia="Arial" w:hAnsi="Arial"/>
                <w:sz w:val="14"/>
                <w:szCs w:val="14"/>
                <w:color w:val="auto"/>
              </w:rPr>
              <w:t>$6,090,259</w:t>
            </w:r>
          </w:p>
        </w:tc>
        <w:tc>
          <w:tcPr>
            <w:tcW w:w="1160" w:type="dxa"/>
            <w:vAlign w:val="bottom"/>
          </w:tcPr>
          <w:p>
            <w:pPr>
              <w:jc w:val="right"/>
              <w:spacing w:after="0"/>
              <w:rPr>
                <w:sz w:val="20"/>
                <w:szCs w:val="20"/>
                <w:color w:val="auto"/>
              </w:rPr>
            </w:pPr>
            <w:r>
              <w:rPr>
                <w:rFonts w:ascii="Arial" w:cs="Arial" w:eastAsia="Arial" w:hAnsi="Arial"/>
                <w:sz w:val="14"/>
                <w:szCs w:val="14"/>
                <w:color w:val="auto"/>
              </w:rPr>
              <w:t>($929,092)</w:t>
            </w:r>
          </w:p>
        </w:tc>
        <w:tc>
          <w:tcPr>
            <w:tcW w:w="980" w:type="dxa"/>
            <w:vAlign w:val="bottom"/>
          </w:tcPr>
          <w:p>
            <w:pPr>
              <w:jc w:val="center"/>
              <w:spacing w:after="0"/>
              <w:rPr>
                <w:sz w:val="20"/>
                <w:szCs w:val="20"/>
                <w:color w:val="auto"/>
              </w:rPr>
            </w:pPr>
            <w:r>
              <w:rPr>
                <w:rFonts w:ascii="Arial" w:cs="Arial" w:eastAsia="Arial" w:hAnsi="Arial"/>
                <w:sz w:val="14"/>
                <w:szCs w:val="14"/>
                <w:color w:val="auto"/>
              </w:rPr>
              <w:t>$478.17</w:t>
            </w:r>
          </w:p>
        </w:tc>
        <w:tc>
          <w:tcPr>
            <w:tcW w:w="1000" w:type="dxa"/>
            <w:vAlign w:val="bottom"/>
          </w:tcPr>
          <w:p>
            <w:pPr>
              <w:jc w:val="center"/>
              <w:spacing w:after="0"/>
              <w:rPr>
                <w:sz w:val="20"/>
                <w:szCs w:val="20"/>
                <w:color w:val="auto"/>
              </w:rPr>
            </w:pPr>
            <w:r>
              <w:rPr>
                <w:rFonts w:ascii="Arial" w:cs="Arial" w:eastAsia="Arial" w:hAnsi="Arial"/>
                <w:sz w:val="14"/>
                <w:szCs w:val="14"/>
                <w:color w:val="auto"/>
              </w:rPr>
              <w:t>$123.43</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$10,590</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0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2023</w:t>
            </w:r>
          </w:p>
        </w:tc>
        <w:tc>
          <w:tcPr>
            <w:tcW w:w="11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$26,565,732</w:t>
            </w:r>
          </w:p>
        </w:tc>
        <w:tc>
          <w:tcPr>
            <w:tcW w:w="11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$120,865,280</w:t>
            </w:r>
          </w:p>
        </w:tc>
        <w:tc>
          <w:tcPr>
            <w:tcW w:w="12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$7,836,611</w:t>
            </w:r>
          </w:p>
        </w:tc>
        <w:tc>
          <w:tcPr>
            <w:tcW w:w="116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$27,249,897</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$358.72</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8"/>
              </w:rPr>
              <w:t>$118.45</w:t>
            </w:r>
          </w:p>
        </w:tc>
        <w:tc>
          <w:tcPr>
            <w:tcW w:w="7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$5,240</w:t>
            </w:r>
          </w:p>
        </w:tc>
        <w:tc>
          <w:tcPr>
            <w:tcW w:w="112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62"/>
        </w:trPr>
        <w:tc>
          <w:tcPr>
            <w:tcW w:w="500" w:type="dxa"/>
            <w:vAlign w:val="bottom"/>
            <w:shd w:val="clear" w:color="auto" w:fill="F2F2F2"/>
          </w:tcPr>
          <w:p>
            <w:pPr>
              <w:spacing w:after="0"/>
              <w:rPr>
                <w:sz w:val="5"/>
                <w:szCs w:val="5"/>
                <w:color w:val="auto"/>
              </w:rPr>
            </w:pPr>
          </w:p>
        </w:tc>
        <w:tc>
          <w:tcPr>
            <w:tcW w:w="1160" w:type="dxa"/>
            <w:vAlign w:val="bottom"/>
            <w:shd w:val="clear" w:color="auto" w:fill="F2F2F2"/>
          </w:tcPr>
          <w:p>
            <w:pPr>
              <w:spacing w:after="0"/>
              <w:rPr>
                <w:sz w:val="5"/>
                <w:szCs w:val="5"/>
                <w:color w:val="auto"/>
              </w:rPr>
            </w:pPr>
          </w:p>
        </w:tc>
        <w:tc>
          <w:tcPr>
            <w:tcW w:w="1180" w:type="dxa"/>
            <w:vAlign w:val="bottom"/>
            <w:shd w:val="clear" w:color="auto" w:fill="F2F2F2"/>
          </w:tcPr>
          <w:p>
            <w:pPr>
              <w:spacing w:after="0"/>
              <w:rPr>
                <w:sz w:val="5"/>
                <w:szCs w:val="5"/>
                <w:color w:val="auto"/>
              </w:rPr>
            </w:pPr>
          </w:p>
        </w:tc>
        <w:tc>
          <w:tcPr>
            <w:tcW w:w="1220" w:type="dxa"/>
            <w:vAlign w:val="bottom"/>
            <w:shd w:val="clear" w:color="auto" w:fill="F2F2F2"/>
          </w:tcPr>
          <w:p>
            <w:pPr>
              <w:spacing w:after="0"/>
              <w:rPr>
                <w:sz w:val="5"/>
                <w:szCs w:val="5"/>
                <w:color w:val="auto"/>
              </w:rPr>
            </w:pPr>
          </w:p>
        </w:tc>
        <w:tc>
          <w:tcPr>
            <w:tcW w:w="1160" w:type="dxa"/>
            <w:vAlign w:val="bottom"/>
            <w:shd w:val="clear" w:color="auto" w:fill="F2F2F2"/>
          </w:tcPr>
          <w:p>
            <w:pPr>
              <w:spacing w:after="0"/>
              <w:rPr>
                <w:sz w:val="5"/>
                <w:szCs w:val="5"/>
                <w:color w:val="auto"/>
              </w:rPr>
            </w:pPr>
          </w:p>
        </w:tc>
        <w:tc>
          <w:tcPr>
            <w:tcW w:w="980" w:type="dxa"/>
            <w:vAlign w:val="bottom"/>
            <w:shd w:val="clear" w:color="auto" w:fill="F2F2F2"/>
          </w:tcPr>
          <w:p>
            <w:pPr>
              <w:spacing w:after="0"/>
              <w:rPr>
                <w:sz w:val="5"/>
                <w:szCs w:val="5"/>
                <w:color w:val="auto"/>
              </w:rPr>
            </w:pPr>
          </w:p>
        </w:tc>
        <w:tc>
          <w:tcPr>
            <w:tcW w:w="1000" w:type="dxa"/>
            <w:vAlign w:val="bottom"/>
            <w:shd w:val="clear" w:color="auto" w:fill="F2F2F2"/>
          </w:tcPr>
          <w:p>
            <w:pPr>
              <w:spacing w:after="0"/>
              <w:rPr>
                <w:sz w:val="5"/>
                <w:szCs w:val="5"/>
                <w:color w:val="auto"/>
              </w:rPr>
            </w:pPr>
          </w:p>
        </w:tc>
        <w:tc>
          <w:tcPr>
            <w:tcW w:w="760" w:type="dxa"/>
            <w:vAlign w:val="bottom"/>
            <w:shd w:val="clear" w:color="auto" w:fill="F2F2F2"/>
          </w:tcPr>
          <w:p>
            <w:pPr>
              <w:spacing w:after="0"/>
              <w:rPr>
                <w:sz w:val="5"/>
                <w:szCs w:val="5"/>
                <w:color w:val="auto"/>
              </w:rPr>
            </w:pPr>
          </w:p>
        </w:tc>
        <w:tc>
          <w:tcPr>
            <w:tcW w:w="11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00" w:type="dxa"/>
            <w:vAlign w:val="bottom"/>
          </w:tcPr>
          <w:p>
            <w:pPr>
              <w:ind w:left="20"/>
              <w:spacing w:after="0"/>
              <w:rPr>
                <w:sz w:val="20"/>
                <w:szCs w:val="20"/>
                <w:color w:val="auto"/>
              </w:rPr>
            </w:pPr>
            <w:r>
              <w:rPr>
                <w:rFonts w:ascii="Arial" w:cs="Arial" w:eastAsia="Arial" w:hAnsi="Arial"/>
                <w:sz w:val="14"/>
                <w:szCs w:val="14"/>
                <w:color w:val="auto"/>
              </w:rPr>
              <w:t>2022</w:t>
            </w:r>
          </w:p>
        </w:tc>
        <w:tc>
          <w:tcPr>
            <w:tcW w:w="1160" w:type="dxa"/>
            <w:vAlign w:val="bottom"/>
          </w:tcPr>
          <w:p>
            <w:pPr>
              <w:jc w:val="center"/>
              <w:spacing w:after="0"/>
              <w:rPr>
                <w:sz w:val="20"/>
                <w:szCs w:val="20"/>
                <w:color w:val="auto"/>
              </w:rPr>
            </w:pPr>
            <w:r>
              <w:rPr>
                <w:rFonts w:ascii="Arial" w:cs="Arial" w:eastAsia="Arial" w:hAnsi="Arial"/>
                <w:sz w:val="14"/>
                <w:szCs w:val="14"/>
                <w:color w:val="auto"/>
              </w:rPr>
              <w:t>$21,398,135</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$64,088,705</w:t>
            </w:r>
          </w:p>
        </w:tc>
        <w:tc>
          <w:tcPr>
            <w:tcW w:w="1220" w:type="dxa"/>
            <w:vAlign w:val="bottom"/>
          </w:tcPr>
          <w:p>
            <w:pPr>
              <w:jc w:val="right"/>
              <w:spacing w:after="0"/>
              <w:rPr>
                <w:sz w:val="20"/>
                <w:szCs w:val="20"/>
                <w:color w:val="auto"/>
              </w:rPr>
            </w:pPr>
            <w:r>
              <w:rPr>
                <w:rFonts w:ascii="Arial" w:cs="Arial" w:eastAsia="Arial" w:hAnsi="Arial"/>
                <w:sz w:val="14"/>
                <w:szCs w:val="14"/>
                <w:color w:val="auto"/>
              </w:rPr>
              <w:t>$5,769,810</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$13,893,269</w:t>
            </w:r>
          </w:p>
        </w:tc>
        <w:tc>
          <w:tcPr>
            <w:tcW w:w="980" w:type="dxa"/>
            <w:vAlign w:val="bottom"/>
          </w:tcPr>
          <w:p>
            <w:pPr>
              <w:jc w:val="center"/>
              <w:spacing w:after="0"/>
              <w:rPr>
                <w:sz w:val="20"/>
                <w:szCs w:val="20"/>
                <w:color w:val="auto"/>
              </w:rPr>
            </w:pPr>
            <w:r>
              <w:rPr>
                <w:rFonts w:ascii="Arial" w:cs="Arial" w:eastAsia="Arial" w:hAnsi="Arial"/>
                <w:sz w:val="14"/>
                <w:szCs w:val="14"/>
                <w:color w:val="auto"/>
              </w:rPr>
              <w:t>$222.94</w:t>
            </w:r>
          </w:p>
        </w:tc>
        <w:tc>
          <w:tcPr>
            <w:tcW w:w="1000" w:type="dxa"/>
            <w:vAlign w:val="bottom"/>
          </w:tcPr>
          <w:p>
            <w:pPr>
              <w:jc w:val="center"/>
              <w:spacing w:after="0"/>
              <w:rPr>
                <w:sz w:val="20"/>
                <w:szCs w:val="20"/>
                <w:color w:val="auto"/>
              </w:rPr>
            </w:pPr>
            <w:r>
              <w:rPr>
                <w:rFonts w:ascii="Arial" w:cs="Arial" w:eastAsia="Arial" w:hAnsi="Arial"/>
                <w:sz w:val="14"/>
                <w:szCs w:val="14"/>
                <w:color w:val="auto"/>
              </w:rPr>
              <w:t>$124.87</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$6,245</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00" w:type="dxa"/>
            <w:vAlign w:val="bottom"/>
            <w:shd w:val="clear" w:color="auto" w:fill="F2F2F2"/>
          </w:tcPr>
          <w:p>
            <w:pPr>
              <w:ind w:left="20"/>
              <w:spacing w:after="0"/>
              <w:rPr>
                <w:sz w:val="20"/>
                <w:szCs w:val="20"/>
                <w:color w:val="auto"/>
              </w:rPr>
            </w:pPr>
            <w:r>
              <w:rPr>
                <w:rFonts w:ascii="Arial" w:cs="Arial" w:eastAsia="Arial" w:hAnsi="Arial"/>
                <w:sz w:val="14"/>
                <w:szCs w:val="14"/>
                <w:color w:val="auto"/>
              </w:rPr>
              <w:t>2021</w:t>
            </w:r>
          </w:p>
        </w:tc>
        <w:tc>
          <w:tcPr>
            <w:tcW w:w="11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$21,509,985</w:t>
            </w:r>
          </w:p>
        </w:tc>
        <w:tc>
          <w:tcPr>
            <w:tcW w:w="11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$75,705,116</w:t>
            </w:r>
          </w:p>
        </w:tc>
        <w:tc>
          <w:tcPr>
            <w:tcW w:w="12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$4,730,690</w:t>
            </w:r>
          </w:p>
        </w:tc>
        <w:tc>
          <w:tcPr>
            <w:tcW w:w="116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$4,563,545</w:t>
            </w:r>
          </w:p>
        </w:tc>
        <w:tc>
          <w:tcPr>
            <w:tcW w:w="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$166.08</w:t>
            </w:r>
          </w:p>
        </w:tc>
        <w:tc>
          <w:tcPr>
            <w:tcW w:w="100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8"/>
              </w:rPr>
              <w:t>$116.73</w:t>
            </w:r>
          </w:p>
        </w:tc>
        <w:tc>
          <w:tcPr>
            <w:tcW w:w="7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$5,582</w:t>
            </w:r>
          </w:p>
        </w:tc>
        <w:tc>
          <w:tcPr>
            <w:tcW w:w="1120" w:type="dxa"/>
            <w:vAlign w:val="bottom"/>
            <w:shd w:val="clear" w:color="auto" w:fill="F2F2F2"/>
          </w:tcPr>
          <w:p>
            <w:pPr>
              <w:jc w:val="right"/>
              <w:ind w:right="268"/>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62"/>
        </w:trPr>
        <w:tc>
          <w:tcPr>
            <w:tcW w:w="500" w:type="dxa"/>
            <w:vAlign w:val="bottom"/>
            <w:tcBorders>
              <w:bottom w:val="single" w:sz="8" w:color="auto"/>
            </w:tcBorders>
            <w:shd w:val="clear" w:color="auto" w:fill="F2F2F2"/>
          </w:tcPr>
          <w:p>
            <w:pPr>
              <w:spacing w:after="0"/>
              <w:rPr>
                <w:sz w:val="5"/>
                <w:szCs w:val="5"/>
                <w:color w:val="auto"/>
              </w:rPr>
            </w:pPr>
          </w:p>
        </w:tc>
        <w:tc>
          <w:tcPr>
            <w:tcW w:w="1160" w:type="dxa"/>
            <w:vAlign w:val="bottom"/>
            <w:tcBorders>
              <w:bottom w:val="single" w:sz="8" w:color="auto"/>
            </w:tcBorders>
            <w:shd w:val="clear" w:color="auto" w:fill="F2F2F2"/>
          </w:tcPr>
          <w:p>
            <w:pPr>
              <w:spacing w:after="0"/>
              <w:rPr>
                <w:sz w:val="5"/>
                <w:szCs w:val="5"/>
                <w:color w:val="auto"/>
              </w:rPr>
            </w:pPr>
          </w:p>
        </w:tc>
        <w:tc>
          <w:tcPr>
            <w:tcW w:w="1180" w:type="dxa"/>
            <w:vAlign w:val="bottom"/>
            <w:tcBorders>
              <w:bottom w:val="single" w:sz="8" w:color="auto"/>
            </w:tcBorders>
            <w:shd w:val="clear" w:color="auto" w:fill="F2F2F2"/>
          </w:tcPr>
          <w:p>
            <w:pPr>
              <w:spacing w:after="0"/>
              <w:rPr>
                <w:sz w:val="5"/>
                <w:szCs w:val="5"/>
                <w:color w:val="auto"/>
              </w:rPr>
            </w:pPr>
          </w:p>
        </w:tc>
        <w:tc>
          <w:tcPr>
            <w:tcW w:w="1220" w:type="dxa"/>
            <w:vAlign w:val="bottom"/>
            <w:tcBorders>
              <w:bottom w:val="single" w:sz="8" w:color="auto"/>
            </w:tcBorders>
            <w:shd w:val="clear" w:color="auto" w:fill="F2F2F2"/>
          </w:tcPr>
          <w:p>
            <w:pPr>
              <w:spacing w:after="0"/>
              <w:rPr>
                <w:sz w:val="5"/>
                <w:szCs w:val="5"/>
                <w:color w:val="auto"/>
              </w:rPr>
            </w:pPr>
          </w:p>
        </w:tc>
        <w:tc>
          <w:tcPr>
            <w:tcW w:w="1160" w:type="dxa"/>
            <w:vAlign w:val="bottom"/>
            <w:tcBorders>
              <w:bottom w:val="single" w:sz="8" w:color="auto"/>
            </w:tcBorders>
            <w:shd w:val="clear" w:color="auto" w:fill="F2F2F2"/>
          </w:tcPr>
          <w:p>
            <w:pPr>
              <w:spacing w:after="0"/>
              <w:rPr>
                <w:sz w:val="5"/>
                <w:szCs w:val="5"/>
                <w:color w:val="auto"/>
              </w:rPr>
            </w:pPr>
          </w:p>
        </w:tc>
        <w:tc>
          <w:tcPr>
            <w:tcW w:w="980" w:type="dxa"/>
            <w:vAlign w:val="bottom"/>
            <w:tcBorders>
              <w:bottom w:val="single" w:sz="8" w:color="auto"/>
            </w:tcBorders>
            <w:shd w:val="clear" w:color="auto" w:fill="F2F2F2"/>
          </w:tcPr>
          <w:p>
            <w:pPr>
              <w:spacing w:after="0"/>
              <w:rPr>
                <w:sz w:val="5"/>
                <w:szCs w:val="5"/>
                <w:color w:val="auto"/>
              </w:rPr>
            </w:pPr>
          </w:p>
        </w:tc>
        <w:tc>
          <w:tcPr>
            <w:tcW w:w="1000" w:type="dxa"/>
            <w:vAlign w:val="bottom"/>
            <w:tcBorders>
              <w:bottom w:val="single" w:sz="8" w:color="auto"/>
            </w:tcBorders>
            <w:shd w:val="clear" w:color="auto" w:fill="F2F2F2"/>
          </w:tcPr>
          <w:p>
            <w:pPr>
              <w:spacing w:after="0"/>
              <w:rPr>
                <w:sz w:val="5"/>
                <w:szCs w:val="5"/>
                <w:color w:val="auto"/>
              </w:rPr>
            </w:pPr>
          </w:p>
        </w:tc>
        <w:tc>
          <w:tcPr>
            <w:tcW w:w="760" w:type="dxa"/>
            <w:vAlign w:val="bottom"/>
            <w:tcBorders>
              <w:bottom w:val="single" w:sz="8" w:color="auto"/>
            </w:tcBorders>
            <w:shd w:val="clear" w:color="auto" w:fill="F2F2F2"/>
          </w:tcPr>
          <w:p>
            <w:pPr>
              <w:spacing w:after="0"/>
              <w:rPr>
                <w:sz w:val="5"/>
                <w:szCs w:val="5"/>
                <w:color w:val="auto"/>
              </w:rPr>
            </w:pPr>
          </w:p>
        </w:tc>
        <w:tc>
          <w:tcPr>
            <w:tcW w:w="1120" w:type="dxa"/>
            <w:vAlign w:val="bottom"/>
            <w:tcBorders>
              <w:bottom w:val="single" w:sz="8" w:color="auto"/>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-153670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-136525</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-119380</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-102235</wp:posOffset>
            </wp:positionV>
            <wp:extent cx="8255"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-85090</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-67945</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-50800</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-33655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-16510</wp:posOffset>
            </wp:positionV>
            <wp:extent cx="8255"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-153670</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-136525</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-119380</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-102235</wp:posOffset>
            </wp:positionV>
            <wp:extent cx="8255"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-85090</wp:posOffset>
            </wp:positionV>
            <wp:extent cx="8255"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-67945</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-50800</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-33655</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-16510</wp:posOffset>
            </wp:positionV>
            <wp:extent cx="8255"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-325120</wp:posOffset>
            </wp:positionV>
            <wp:extent cx="8255"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-307975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-290830</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-273685</wp:posOffset>
            </wp:positionV>
            <wp:extent cx="8255"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-256540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-239395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-222250</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-205105</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-187960</wp:posOffset>
            </wp:positionV>
            <wp:extent cx="8255" cy="2603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-325120</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-307975</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-290830</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-273685</wp:posOffset>
            </wp:positionV>
            <wp:extent cx="8255"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-256540</wp:posOffset>
            </wp:positionV>
            <wp:extent cx="8255" cy="825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-239395</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-222250</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-205105</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-187960</wp:posOffset>
            </wp:positionV>
            <wp:extent cx="8255" cy="2603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-496570</wp:posOffset>
            </wp:positionV>
            <wp:extent cx="8255"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-479425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-462280</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-445135</wp:posOffset>
            </wp:positionV>
            <wp:extent cx="8255"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-427990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-410845</wp:posOffset>
            </wp:positionV>
            <wp:extent cx="8255"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-393700</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-376555</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-359410</wp:posOffset>
            </wp:positionV>
            <wp:extent cx="8255" cy="2603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-496570</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-479425</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-462280</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-445135</wp:posOffset>
            </wp:positionV>
            <wp:extent cx="8255"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-427990</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-410845</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-393700</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-376555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-359410</wp:posOffset>
            </wp:positionV>
            <wp:extent cx="8255" cy="2603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-668020</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-650875</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-633730</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-616585</wp:posOffset>
            </wp:positionV>
            <wp:extent cx="8255"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-599440</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-582295</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-565150</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-548005</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-530860</wp:posOffset>
            </wp:positionV>
            <wp:extent cx="8255" cy="2603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-668020</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-650875</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-633730</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-616585</wp:posOffset>
            </wp:positionV>
            <wp:extent cx="825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-599440</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-582295</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-565150</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-548005</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-530860</wp:posOffset>
            </wp:positionV>
            <wp:extent cx="8255" cy="2603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2603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-856615</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-839470</wp:posOffset>
            </wp:positionV>
            <wp:extent cx="8255"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-822325</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-805180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-788035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-770890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-753745</wp:posOffset>
            </wp:positionV>
            <wp:extent cx="8255"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-736600</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-719455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-702310</wp:posOffset>
            </wp:positionV>
            <wp:extent cx="8255" cy="2540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-856615</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-839470</wp:posOffset>
            </wp:positionV>
            <wp:extent cx="8255"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-822325</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-805180</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-788035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-770890</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-753745</wp:posOffset>
            </wp:positionV>
            <wp:extent cx="8255"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-736600</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-719455</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-702310</wp:posOffset>
            </wp:positionV>
            <wp:extent cx="8255" cy="2540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-1559560</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-1542415</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-1525270</wp:posOffset>
            </wp:positionV>
            <wp:extent cx="8255"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-1508125</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-1490980</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-1473835</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-1456690</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-1439545</wp:posOffset>
            </wp:positionV>
            <wp:extent cx="8255"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-1422400</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-1405255</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-1388110</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-1370965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-1353820</wp:posOffset>
            </wp:positionV>
            <wp:extent cx="8255"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-1336675</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-1319530</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-1302385</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-1285240</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-1268095</wp:posOffset>
            </wp:positionV>
            <wp:extent cx="8255"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-1250950</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-1233805</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-1216660</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-1199515</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-1182370</wp:posOffset>
            </wp:positionV>
            <wp:extent cx="8255"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-1165225</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-1148080</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-1130935</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-1113790</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-1096645</wp:posOffset>
            </wp:positionV>
            <wp:extent cx="8255"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-1079500</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-1062355</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-1045210</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-1028065</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-1010920</wp:posOffset>
            </wp:positionV>
            <wp:extent cx="8255"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-993775</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-976630</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-959485</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-942340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-925195</wp:posOffset>
            </wp:positionV>
            <wp:extent cx="8255"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-908050</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-890905</wp:posOffset>
            </wp:positionV>
            <wp:extent cx="8255"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-873760</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-1559560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-1542415</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-1525270</wp:posOffset>
            </wp:positionV>
            <wp:extent cx="8255"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-1508125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-1490980</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-1473835</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-1456690</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-1439545</wp:posOffset>
            </wp:positionV>
            <wp:extent cx="825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-1422400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-1405255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-1388110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-1370965</wp:posOffset>
            </wp:positionV>
            <wp:extent cx="8255"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-1353820</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-1336675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-1319530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-1302385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-1285240</wp:posOffset>
            </wp:positionV>
            <wp:extent cx="8255"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-1268095</wp:posOffset>
            </wp:positionV>
            <wp:extent cx="825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-1250950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-1233805</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-1216660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-1199515</wp:posOffset>
            </wp:positionV>
            <wp:extent cx="8255"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-1182370</wp:posOffset>
            </wp:positionV>
            <wp:extent cx="8255"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-1165225</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-1148080</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-1130935</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-1113790</wp:posOffset>
            </wp:positionV>
            <wp:extent cx="8255"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-1096645</wp:posOffset>
            </wp:positionV>
            <wp:extent cx="8255"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-1079500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-1062355</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-1045210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-1028065</wp:posOffset>
            </wp:positionV>
            <wp:extent cx="8255"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-1010920</wp:posOffset>
            </wp:positionV>
            <wp:extent cx="8255"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-993775</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-976630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-959485</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-942340</wp:posOffset>
            </wp:positionV>
            <wp:extent cx="8255"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-925195</wp:posOffset>
            </wp:positionV>
            <wp:extent cx="8255"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-908050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-890905</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-873760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-1799590</wp:posOffset>
            </wp:positionV>
            <wp:extent cx="8255"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-1782445</wp:posOffset>
            </wp:positionV>
            <wp:extent cx="8255"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-1765300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-1748155</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-1731010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-1713865</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-1696720</wp:posOffset>
            </wp:positionV>
            <wp:extent cx="8255"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-1679575</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-1662430</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-1645285</wp:posOffset>
            </wp:positionV>
            <wp:extent cx="8255"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-1628140</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-1610995</wp:posOffset>
            </wp:positionV>
            <wp:extent cx="8255"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-1593850</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-1576705</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-1799590</wp:posOffset>
            </wp:positionV>
            <wp:extent cx="8255"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-1782445</wp:posOffset>
            </wp:positionV>
            <wp:extent cx="8255"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-1765300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-1748155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-1731010</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-1713865</wp:posOffset>
            </wp:positionV>
            <wp:extent cx="8255"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-1696720</wp:posOffset>
            </wp:positionV>
            <wp:extent cx="8255"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-1679575</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-1662430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-1645285</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-1628140</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-1610995</wp:posOffset>
            </wp:positionV>
            <wp:extent cx="8255"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-1593850</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-1576705</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06" w:lineRule="exact"/>
        <w:rPr>
          <w:sz w:val="20"/>
          <w:szCs w:val="20"/>
          <w:color w:val="auto"/>
        </w:rPr>
      </w:pPr>
    </w:p>
    <w:p>
      <w:pPr>
        <w:ind w:left="180" w:right="300" w:hanging="172"/>
        <w:spacing w:after="0" w:line="222" w:lineRule="auto"/>
        <w:tabs>
          <w:tab w:leader="none" w:pos="174" w:val="left"/>
        </w:tabs>
        <w:numPr>
          <w:ilvl w:val="0"/>
          <w:numId w:val="166"/>
        </w:numPr>
        <w:rPr>
          <w:rFonts w:ascii="Arial" w:cs="Arial" w:eastAsia="Arial" w:hAnsi="Arial"/>
          <w:sz w:val="19"/>
          <w:szCs w:val="19"/>
          <w:color w:val="auto"/>
          <w:vertAlign w:val="superscript"/>
        </w:rPr>
      </w:pPr>
      <w:r>
        <w:rPr>
          <w:rFonts w:ascii="Arial" w:cs="Arial" w:eastAsia="Arial" w:hAnsi="Arial"/>
          <w:sz w:val="14"/>
          <w:szCs w:val="14"/>
          <w:color w:val="auto"/>
        </w:rPr>
        <w:t>CAP amounts are calculated using SEC-required valuation assumptions under Item 402(v) of Regulation S-K and do not reflect actual compensation earned by or paid to NEOs. The value realized from unvested awards will be determined when awards fully vest and settle.</w:t>
      </w:r>
    </w:p>
    <w:p>
      <w:pPr>
        <w:spacing w:after="0" w:line="12" w:lineRule="exact"/>
        <w:rPr>
          <w:sz w:val="20"/>
          <w:szCs w:val="20"/>
          <w:color w:val="auto"/>
        </w:rPr>
      </w:pPr>
    </w:p>
    <w:p>
      <w:pPr>
        <w:ind w:left="160" w:hanging="152"/>
        <w:spacing w:after="0"/>
        <w:tabs>
          <w:tab w:leader="none" w:pos="160" w:val="left"/>
        </w:tabs>
        <w:numPr>
          <w:ilvl w:val="0"/>
          <w:numId w:val="167"/>
        </w:numPr>
        <w:rPr>
          <w:rFonts w:ascii="Arial" w:cs="Arial" w:eastAsia="Arial" w:hAnsi="Arial"/>
          <w:sz w:val="19"/>
          <w:szCs w:val="19"/>
          <w:color w:val="auto"/>
          <w:vertAlign w:val="superscript"/>
        </w:rPr>
      </w:pPr>
      <w:r>
        <w:rPr>
          <w:rFonts w:ascii="Arial" w:cs="Arial" w:eastAsia="Arial" w:hAnsi="Arial"/>
          <w:sz w:val="14"/>
          <w:szCs w:val="14"/>
          <w:color w:val="auto"/>
        </w:rPr>
        <w:t>The table below reconciles the PEO Summary Compensation Table (SCT) total to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39370</wp:posOffset>
            </wp:positionV>
            <wp:extent cx="564896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73" w:lineRule="exact"/>
        <w:rPr>
          <w:sz w:val="20"/>
          <w:szCs w:val="20"/>
          <w:color w:val="auto"/>
        </w:rPr>
      </w:pPr>
    </w:p>
    <w:tbl>
      <w:tblPr>
        <w:tblLayout w:type="fixed"/>
        <w:tblInd w:w="160" w:type="dxa"/>
        <w:tblCellMar>
          <w:top w:w="0" w:type="dxa"/>
          <w:left w:w="0" w:type="dxa"/>
          <w:bottom w:w="0" w:type="dxa"/>
          <w:right w:w="0" w:type="dxa"/>
        </w:tblCellMar>
      </w:tblPr>
      <w:tr>
        <w:trPr>
          <w:trHeight w:val="176"/>
        </w:trPr>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SCT Total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SCT Change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Pension</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SCT 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Value: 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Final Value: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 Pension</w:t>
            </w: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Granted in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Unvested</w:t>
            </w:r>
          </w:p>
        </w:tc>
        <w:tc>
          <w:tcPr>
            <w:tcW w:w="1040" w:type="dxa"/>
            <w:vAlign w:val="bottom"/>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0" w:type="dxa"/>
            <w:vAlign w:val="bottom"/>
          </w:tcPr>
          <w:p>
            <w:pPr>
              <w:spacing w:after="0"/>
              <w:rPr>
                <w:sz w:val="1"/>
                <w:szCs w:val="1"/>
                <w:color w:val="auto"/>
              </w:rPr>
            </w:pPr>
          </w:p>
        </w:tc>
      </w:tr>
      <w:tr>
        <w:trPr>
          <w:trHeight w:val="211"/>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PEO</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Service Cost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Current Year</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Stock</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PEO</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i w:val="1"/>
                <w:iCs w:val="1"/>
                <w:color w:val="D52B1E"/>
              </w:rPr>
              <w:t>a</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D52B1E"/>
              </w:rPr>
              <w:t>b</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D52B1E"/>
                <w:w w:val="85"/>
              </w:rPr>
              <w:t>c</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D52B1E"/>
              </w:rPr>
              <w:t>d</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D52B1E"/>
              </w:rPr>
              <w:t>e</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D52B1E"/>
              </w:rPr>
              <w:t>f</w:t>
            </w:r>
          </w:p>
        </w:tc>
        <w:tc>
          <w:tcPr>
            <w:tcW w:w="1040" w:type="dxa"/>
            <w:vAlign w:val="bottom"/>
          </w:tcPr>
          <w:p>
            <w:pPr>
              <w:jc w:val="center"/>
              <w:spacing w:after="0"/>
              <w:rPr>
                <w:sz w:val="20"/>
                <w:szCs w:val="20"/>
                <w:color w:val="auto"/>
              </w:rPr>
            </w:pPr>
            <w:r>
              <w:rPr>
                <w:rFonts w:ascii="Arial" w:cs="Arial" w:eastAsia="Arial" w:hAnsi="Arial"/>
                <w:sz w:val="14"/>
                <w:szCs w:val="14"/>
                <w:i w:val="1"/>
                <w:iCs w:val="1"/>
                <w:color w:val="D52B1E"/>
              </w:rPr>
              <w:t>g</w:t>
            </w:r>
          </w:p>
        </w:tc>
        <w:tc>
          <w:tcPr>
            <w:tcW w:w="1160" w:type="dxa"/>
            <w:vAlign w:val="bottom"/>
          </w:tcPr>
          <w:p>
            <w:pPr>
              <w:jc w:val="center"/>
              <w:spacing w:after="0"/>
              <w:rPr>
                <w:sz w:val="20"/>
                <w:szCs w:val="20"/>
                <w:color w:val="auto"/>
              </w:rPr>
            </w:pPr>
            <w:r>
              <w:rPr>
                <w:rFonts w:ascii="Arial" w:cs="Arial" w:eastAsia="Arial" w:hAnsi="Arial"/>
                <w:sz w:val="14"/>
                <w:szCs w:val="14"/>
                <w:i w:val="1"/>
                <w:iCs w:val="1"/>
                <w:color w:val="D52B1E"/>
              </w:rPr>
              <w:t>a-b+c-d+e+f+g</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2025</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$36,698,337</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$4,451,636</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$616,007</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$23,325,000</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$10,854,848</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$(20,935,949)</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$75,728,401</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$75,185,008</w:t>
            </w:r>
          </w:p>
        </w:tc>
        <w:tc>
          <w:tcPr>
            <w:tcW w:w="0" w:type="dxa"/>
            <w:vAlign w:val="bottom"/>
          </w:tcPr>
          <w:p>
            <w:pPr>
              <w:spacing w:after="0"/>
              <w:rPr>
                <w:sz w:val="1"/>
                <w:szCs w:val="1"/>
                <w:color w:val="auto"/>
              </w:rPr>
            </w:pPr>
          </w:p>
        </w:tc>
      </w:tr>
      <w:tr>
        <w:trPr>
          <w:trHeight w:val="235"/>
        </w:trPr>
        <w:tc>
          <w:tcPr>
            <w:tcW w:w="440" w:type="dxa"/>
            <w:vAlign w:val="bottom"/>
          </w:tcPr>
          <w:p>
            <w:pPr>
              <w:ind w:left="20"/>
              <w:spacing w:after="0"/>
              <w:rPr>
                <w:sz w:val="20"/>
                <w:szCs w:val="20"/>
                <w:color w:val="auto"/>
              </w:rPr>
            </w:pPr>
            <w:r>
              <w:rPr>
                <w:rFonts w:ascii="Arial" w:cs="Arial" w:eastAsia="Arial" w:hAnsi="Arial"/>
                <w:sz w:val="14"/>
                <w:szCs w:val="14"/>
                <w:color w:val="auto"/>
              </w:rPr>
              <w:t>2024</w:t>
            </w:r>
          </w:p>
        </w:tc>
        <w:tc>
          <w:tcPr>
            <w:tcW w:w="1140" w:type="dxa"/>
            <w:vAlign w:val="bottom"/>
          </w:tcPr>
          <w:p>
            <w:pPr>
              <w:jc w:val="center"/>
              <w:spacing w:after="0"/>
              <w:rPr>
                <w:sz w:val="20"/>
                <w:szCs w:val="20"/>
                <w:color w:val="auto"/>
              </w:rPr>
            </w:pPr>
            <w:r>
              <w:rPr>
                <w:rFonts w:ascii="Arial" w:cs="Arial" w:eastAsia="Arial" w:hAnsi="Arial"/>
                <w:sz w:val="14"/>
                <w:szCs w:val="14"/>
                <w:color w:val="auto"/>
              </w:rPr>
              <w:t>$29,242,926</w:t>
            </w:r>
          </w:p>
        </w:tc>
        <w:tc>
          <w:tcPr>
            <w:tcW w:w="980" w:type="dxa"/>
            <w:vAlign w:val="bottom"/>
          </w:tcPr>
          <w:p>
            <w:pPr>
              <w:jc w:val="center"/>
              <w:spacing w:after="0"/>
              <w:rPr>
                <w:sz w:val="20"/>
                <w:szCs w:val="20"/>
                <w:color w:val="auto"/>
              </w:rPr>
            </w:pPr>
            <w:r>
              <w:rPr>
                <w:rFonts w:ascii="Arial" w:cs="Arial" w:eastAsia="Arial" w:hAnsi="Arial"/>
                <w:sz w:val="14"/>
                <w:szCs w:val="14"/>
                <w:color w:val="auto"/>
              </w:rPr>
              <w:t>$1,746,483</w:t>
            </w:r>
          </w:p>
        </w:tc>
        <w:tc>
          <w:tcPr>
            <w:tcW w:w="1000" w:type="dxa"/>
            <w:vAlign w:val="bottom"/>
          </w:tcPr>
          <w:p>
            <w:pPr>
              <w:jc w:val="center"/>
              <w:spacing w:after="0"/>
              <w:rPr>
                <w:sz w:val="20"/>
                <w:szCs w:val="20"/>
                <w:color w:val="auto"/>
              </w:rPr>
            </w:pPr>
            <w:r>
              <w:rPr>
                <w:rFonts w:ascii="Arial" w:cs="Arial" w:eastAsia="Arial" w:hAnsi="Arial"/>
                <w:sz w:val="14"/>
                <w:szCs w:val="14"/>
                <w:color w:val="auto"/>
              </w:rPr>
              <w:t>$523,751</w:t>
            </w:r>
          </w:p>
        </w:tc>
        <w:tc>
          <w:tcPr>
            <w:tcW w:w="980" w:type="dxa"/>
            <w:vAlign w:val="bottom"/>
          </w:tcPr>
          <w:p>
            <w:pPr>
              <w:jc w:val="center"/>
              <w:spacing w:after="0"/>
              <w:rPr>
                <w:sz w:val="20"/>
                <w:szCs w:val="20"/>
                <w:color w:val="auto"/>
              </w:rPr>
            </w:pPr>
            <w:r>
              <w:rPr>
                <w:rFonts w:ascii="Arial" w:cs="Arial" w:eastAsia="Arial" w:hAnsi="Arial"/>
                <w:sz w:val="14"/>
                <w:szCs w:val="14"/>
                <w:color w:val="auto"/>
              </w:rPr>
              <w:t>$19,749,324</w:t>
            </w:r>
          </w:p>
        </w:tc>
        <w:tc>
          <w:tcPr>
            <w:tcW w:w="1080" w:type="dxa"/>
            <w:vAlign w:val="bottom"/>
          </w:tcPr>
          <w:p>
            <w:pPr>
              <w:jc w:val="center"/>
              <w:spacing w:after="0"/>
              <w:rPr>
                <w:sz w:val="20"/>
                <w:szCs w:val="20"/>
                <w:color w:val="auto"/>
              </w:rPr>
            </w:pPr>
            <w:r>
              <w:rPr>
                <w:rFonts w:ascii="Arial" w:cs="Arial" w:eastAsia="Arial" w:hAnsi="Arial"/>
                <w:sz w:val="14"/>
                <w:szCs w:val="14"/>
                <w:color w:val="auto"/>
              </w:rPr>
              <w:t>$(32,793,300)</w:t>
            </w:r>
          </w:p>
        </w:tc>
        <w:tc>
          <w:tcPr>
            <w:tcW w:w="1080" w:type="dxa"/>
            <w:vAlign w:val="bottom"/>
          </w:tcPr>
          <w:p>
            <w:pPr>
              <w:jc w:val="center"/>
              <w:spacing w:after="0"/>
              <w:rPr>
                <w:sz w:val="20"/>
                <w:szCs w:val="20"/>
                <w:color w:val="auto"/>
              </w:rPr>
            </w:pPr>
            <w:r>
              <w:rPr>
                <w:rFonts w:ascii="Arial" w:cs="Arial" w:eastAsia="Arial" w:hAnsi="Arial"/>
                <w:sz w:val="14"/>
                <w:szCs w:val="14"/>
                <w:color w:val="auto"/>
              </w:rPr>
              <w:t>$(16,377,494)</w:t>
            </w:r>
          </w:p>
        </w:tc>
        <w:tc>
          <w:tcPr>
            <w:tcW w:w="1040" w:type="dxa"/>
            <w:vAlign w:val="bottom"/>
          </w:tcPr>
          <w:p>
            <w:pPr>
              <w:jc w:val="center"/>
              <w:spacing w:after="0"/>
              <w:rPr>
                <w:sz w:val="20"/>
                <w:szCs w:val="20"/>
                <w:color w:val="auto"/>
              </w:rPr>
            </w:pPr>
            <w:r>
              <w:rPr>
                <w:rFonts w:ascii="Arial" w:cs="Arial" w:eastAsia="Arial" w:hAnsi="Arial"/>
                <w:sz w:val="14"/>
                <w:szCs w:val="14"/>
                <w:color w:val="auto"/>
              </w:rPr>
              <w:t>$121,483,439</w:t>
            </w:r>
          </w:p>
        </w:tc>
        <w:tc>
          <w:tcPr>
            <w:tcW w:w="1160" w:type="dxa"/>
            <w:vAlign w:val="bottom"/>
          </w:tcPr>
          <w:p>
            <w:pPr>
              <w:jc w:val="center"/>
              <w:spacing w:after="0"/>
              <w:rPr>
                <w:sz w:val="20"/>
                <w:szCs w:val="20"/>
                <w:color w:val="auto"/>
              </w:rPr>
            </w:pPr>
            <w:r>
              <w:rPr>
                <w:rFonts w:ascii="Arial" w:cs="Arial" w:eastAsia="Arial" w:hAnsi="Arial"/>
                <w:sz w:val="14"/>
                <w:szCs w:val="14"/>
                <w:color w:val="auto"/>
              </w:rPr>
              <w:t>$80,583,515</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2023</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$26,565,732</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$1,439,822</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$491,959</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$18,840,250</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$20,443,264</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$36,659,046</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$56,985,351</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$120,865,280</w:t>
            </w:r>
          </w:p>
        </w:tc>
        <w:tc>
          <w:tcPr>
            <w:tcW w:w="0" w:type="dxa"/>
            <w:vAlign w:val="bottom"/>
          </w:tcPr>
          <w:p>
            <w:pPr>
              <w:spacing w:after="0"/>
              <w:rPr>
                <w:sz w:val="1"/>
                <w:szCs w:val="1"/>
                <w:color w:val="auto"/>
              </w:rPr>
            </w:pPr>
          </w:p>
        </w:tc>
      </w:tr>
      <w:tr>
        <w:trPr>
          <w:trHeight w:val="235"/>
        </w:trPr>
        <w:tc>
          <w:tcPr>
            <w:tcW w:w="440" w:type="dxa"/>
            <w:vAlign w:val="bottom"/>
          </w:tcPr>
          <w:p>
            <w:pPr>
              <w:ind w:left="20"/>
              <w:spacing w:after="0"/>
              <w:rPr>
                <w:sz w:val="20"/>
                <w:szCs w:val="20"/>
                <w:color w:val="auto"/>
              </w:rPr>
            </w:pPr>
            <w:r>
              <w:rPr>
                <w:rFonts w:ascii="Arial" w:cs="Arial" w:eastAsia="Arial" w:hAnsi="Arial"/>
                <w:sz w:val="14"/>
                <w:szCs w:val="14"/>
                <w:color w:val="auto"/>
              </w:rPr>
              <w:t>2022</w:t>
            </w:r>
          </w:p>
        </w:tc>
        <w:tc>
          <w:tcPr>
            <w:tcW w:w="1140" w:type="dxa"/>
            <w:vAlign w:val="bottom"/>
          </w:tcPr>
          <w:p>
            <w:pPr>
              <w:jc w:val="center"/>
              <w:spacing w:after="0"/>
              <w:rPr>
                <w:sz w:val="20"/>
                <w:szCs w:val="20"/>
                <w:color w:val="auto"/>
              </w:rPr>
            </w:pPr>
            <w:r>
              <w:rPr>
                <w:rFonts w:ascii="Arial" w:cs="Arial" w:eastAsia="Arial" w:hAnsi="Arial"/>
                <w:sz w:val="14"/>
                <w:szCs w:val="14"/>
                <w:color w:val="auto"/>
              </w:rPr>
              <w:t>$21,398,135</w:t>
            </w:r>
          </w:p>
        </w:tc>
        <w:tc>
          <w:tcPr>
            <w:tcW w:w="980" w:type="dxa"/>
            <w:vAlign w:val="bottom"/>
          </w:tcPr>
          <w:p>
            <w:pPr>
              <w:jc w:val="center"/>
              <w:spacing w:after="0"/>
              <w:rPr>
                <w:sz w:val="20"/>
                <w:szCs w:val="20"/>
                <w:color w:val="auto"/>
              </w:rPr>
            </w:pPr>
            <w:r>
              <w:rPr>
                <w:rFonts w:ascii="Arial" w:cs="Arial" w:eastAsia="Arial" w:hAnsi="Arial"/>
                <w:sz w:val="14"/>
                <w:szCs w:val="14"/>
                <w:color w:val="auto"/>
              </w:rPr>
              <w:t>$0</w:t>
            </w:r>
          </w:p>
        </w:tc>
        <w:tc>
          <w:tcPr>
            <w:tcW w:w="1000" w:type="dxa"/>
            <w:vAlign w:val="bottom"/>
          </w:tcPr>
          <w:p>
            <w:pPr>
              <w:jc w:val="center"/>
              <w:spacing w:after="0"/>
              <w:rPr>
                <w:sz w:val="20"/>
                <w:szCs w:val="20"/>
                <w:color w:val="auto"/>
              </w:rPr>
            </w:pPr>
            <w:r>
              <w:rPr>
                <w:rFonts w:ascii="Arial" w:cs="Arial" w:eastAsia="Arial" w:hAnsi="Arial"/>
                <w:sz w:val="14"/>
                <w:szCs w:val="14"/>
                <w:color w:val="auto"/>
              </w:rPr>
              <w:t>$623,346</w:t>
            </w:r>
          </w:p>
        </w:tc>
        <w:tc>
          <w:tcPr>
            <w:tcW w:w="980" w:type="dxa"/>
            <w:vAlign w:val="bottom"/>
          </w:tcPr>
          <w:p>
            <w:pPr>
              <w:jc w:val="center"/>
              <w:spacing w:after="0"/>
              <w:rPr>
                <w:sz w:val="20"/>
                <w:szCs w:val="20"/>
                <w:color w:val="auto"/>
              </w:rPr>
            </w:pPr>
            <w:r>
              <w:rPr>
                <w:rFonts w:ascii="Arial" w:cs="Arial" w:eastAsia="Arial" w:hAnsi="Arial"/>
                <w:sz w:val="14"/>
                <w:szCs w:val="14"/>
                <w:color w:val="auto"/>
              </w:rPr>
              <w:t>$16,981,250</w:t>
            </w:r>
          </w:p>
        </w:tc>
        <w:tc>
          <w:tcPr>
            <w:tcW w:w="1080" w:type="dxa"/>
            <w:vAlign w:val="bottom"/>
          </w:tcPr>
          <w:p>
            <w:pPr>
              <w:jc w:val="center"/>
              <w:spacing w:after="0"/>
              <w:rPr>
                <w:sz w:val="20"/>
                <w:szCs w:val="20"/>
                <w:color w:val="auto"/>
              </w:rPr>
            </w:pPr>
            <w:r>
              <w:rPr>
                <w:rFonts w:ascii="Arial" w:cs="Arial" w:eastAsia="Arial" w:hAnsi="Arial"/>
                <w:sz w:val="14"/>
                <w:szCs w:val="14"/>
                <w:color w:val="auto"/>
              </w:rPr>
              <w:t>$10,443,998</w:t>
            </w:r>
          </w:p>
        </w:tc>
        <w:tc>
          <w:tcPr>
            <w:tcW w:w="1080" w:type="dxa"/>
            <w:vAlign w:val="bottom"/>
          </w:tcPr>
          <w:p>
            <w:pPr>
              <w:jc w:val="center"/>
              <w:spacing w:after="0"/>
              <w:rPr>
                <w:sz w:val="20"/>
                <w:szCs w:val="20"/>
                <w:color w:val="auto"/>
              </w:rPr>
            </w:pPr>
            <w:r>
              <w:rPr>
                <w:rFonts w:ascii="Arial" w:cs="Arial" w:eastAsia="Arial" w:hAnsi="Arial"/>
                <w:sz w:val="14"/>
                <w:szCs w:val="14"/>
                <w:color w:val="auto"/>
              </w:rPr>
              <w:t>$(2,718,134)</w:t>
            </w:r>
          </w:p>
        </w:tc>
        <w:tc>
          <w:tcPr>
            <w:tcW w:w="1040" w:type="dxa"/>
            <w:vAlign w:val="bottom"/>
          </w:tcPr>
          <w:p>
            <w:pPr>
              <w:jc w:val="center"/>
              <w:spacing w:after="0"/>
              <w:rPr>
                <w:sz w:val="20"/>
                <w:szCs w:val="20"/>
                <w:color w:val="auto"/>
              </w:rPr>
            </w:pPr>
            <w:r>
              <w:rPr>
                <w:rFonts w:ascii="Arial" w:cs="Arial" w:eastAsia="Arial" w:hAnsi="Arial"/>
                <w:sz w:val="14"/>
                <w:szCs w:val="14"/>
                <w:color w:val="auto"/>
              </w:rPr>
              <w:t>$51,322,610</w:t>
            </w:r>
          </w:p>
        </w:tc>
        <w:tc>
          <w:tcPr>
            <w:tcW w:w="1160" w:type="dxa"/>
            <w:vAlign w:val="bottom"/>
          </w:tcPr>
          <w:p>
            <w:pPr>
              <w:jc w:val="center"/>
              <w:spacing w:after="0"/>
              <w:rPr>
                <w:sz w:val="20"/>
                <w:szCs w:val="20"/>
                <w:color w:val="auto"/>
              </w:rPr>
            </w:pPr>
            <w:r>
              <w:rPr>
                <w:rFonts w:ascii="Arial" w:cs="Arial" w:eastAsia="Arial" w:hAnsi="Arial"/>
                <w:sz w:val="14"/>
                <w:szCs w:val="14"/>
                <w:color w:val="auto"/>
              </w:rPr>
              <w:t>$64,088,705</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$21,509,985</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$2,442,235</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$680,872</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$14,966,000</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$3,627,520</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$17,758,456</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$49,536,518</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$75,705,116</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right="740" w:hanging="172"/>
        <w:spacing w:after="0" w:line="231" w:lineRule="auto"/>
        <w:tabs>
          <w:tab w:leader="none" w:pos="174" w:val="left"/>
        </w:tabs>
        <w:numPr>
          <w:ilvl w:val="0"/>
          <w:numId w:val="168"/>
        </w:numPr>
        <w:rPr>
          <w:rFonts w:ascii="Arial" w:cs="Arial" w:eastAsia="Arial" w:hAnsi="Arial"/>
          <w:sz w:val="19"/>
          <w:szCs w:val="19"/>
          <w:color w:val="auto"/>
          <w:vertAlign w:val="superscript"/>
        </w:rPr>
      </w:pPr>
      <w:r>
        <w:rPr>
          <w:rFonts w:ascii="Arial" w:cs="Arial" w:eastAsia="Arial" w:hAnsi="Arial"/>
          <w:sz w:val="14"/>
          <w:szCs w:val="14"/>
          <w:color w:val="auto"/>
        </w:rPr>
        <w:t>When calculating CAP amounts, the fair value or change in fair value, as applicable, of stock awards was computed in accordance with FASB ASC Topic 718. The assumptions used to calculate fair values did not materially differ from what was used at the time of grant.</w:t>
      </w:r>
    </w:p>
    <w:p>
      <w:pPr>
        <w:spacing w:after="0" w:line="12" w:lineRule="exact"/>
        <w:rPr>
          <w:sz w:val="20"/>
          <w:szCs w:val="20"/>
          <w:color w:val="auto"/>
        </w:rPr>
      </w:pPr>
    </w:p>
    <w:p>
      <w:pPr>
        <w:ind w:left="160" w:hanging="152"/>
        <w:spacing w:after="0"/>
        <w:tabs>
          <w:tab w:leader="none" w:pos="160" w:val="left"/>
        </w:tabs>
        <w:numPr>
          <w:ilvl w:val="0"/>
          <w:numId w:val="169"/>
        </w:numPr>
        <w:rPr>
          <w:rFonts w:ascii="Arial" w:cs="Arial" w:eastAsia="Arial" w:hAnsi="Arial"/>
          <w:sz w:val="19"/>
          <w:szCs w:val="19"/>
          <w:color w:val="auto"/>
          <w:vertAlign w:val="superscript"/>
        </w:rPr>
      </w:pPr>
      <w:r>
        <w:rPr>
          <w:rFonts w:ascii="Arial" w:cs="Arial" w:eastAsia="Arial" w:hAnsi="Arial"/>
          <w:sz w:val="14"/>
          <w:szCs w:val="14"/>
          <w:color w:val="auto"/>
        </w:rPr>
        <w:t>The table below reconciles the Non-PEO NEO SCT totals to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39370</wp:posOffset>
            </wp:positionV>
            <wp:extent cx="5648960"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73"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Average SCT</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 SCT</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SCT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Value: Stock</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Value: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Average Final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for Non-PEO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04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Granted in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Unvested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Value: Vested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 Paid to</w:t>
            </w:r>
          </w:p>
        </w:tc>
        <w:tc>
          <w:tcPr>
            <w:tcW w:w="0" w:type="dxa"/>
            <w:vAlign w:val="bottom"/>
          </w:tcPr>
          <w:p>
            <w:pPr>
              <w:spacing w:after="0"/>
              <w:rPr>
                <w:sz w:val="1"/>
                <w:szCs w:val="1"/>
                <w:color w:val="auto"/>
              </w:rPr>
            </w:pPr>
          </w:p>
        </w:tc>
      </w:tr>
      <w:tr>
        <w:trPr>
          <w:trHeight w:val="211"/>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NEOs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Service Cost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Value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Current Year</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Stock</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Non-PEO NEOs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4"/>
                <w:szCs w:val="14"/>
                <w:i w:val="1"/>
                <w:iCs w:val="1"/>
                <w:color w:val="D52B1E"/>
              </w:rPr>
              <w:t>a</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D52B1E"/>
              </w:rPr>
              <w:t>b</w:t>
            </w:r>
          </w:p>
        </w:tc>
        <w:tc>
          <w:tcPr>
            <w:tcW w:w="980" w:type="dxa"/>
            <w:vAlign w:val="bottom"/>
          </w:tcPr>
          <w:p>
            <w:pPr>
              <w:jc w:val="center"/>
              <w:spacing w:after="0"/>
              <w:rPr>
                <w:sz w:val="20"/>
                <w:szCs w:val="20"/>
                <w:color w:val="auto"/>
              </w:rPr>
            </w:pPr>
            <w:r>
              <w:rPr>
                <w:rFonts w:ascii="Arial" w:cs="Arial" w:eastAsia="Arial" w:hAnsi="Arial"/>
                <w:sz w:val="14"/>
                <w:szCs w:val="14"/>
                <w:i w:val="1"/>
                <w:iCs w:val="1"/>
                <w:color w:val="D52B1E"/>
                <w:w w:val="85"/>
              </w:rPr>
              <w:t>c</w:t>
            </w:r>
          </w:p>
        </w:tc>
        <w:tc>
          <w:tcPr>
            <w:tcW w:w="1040" w:type="dxa"/>
            <w:vAlign w:val="bottom"/>
          </w:tcPr>
          <w:p>
            <w:pPr>
              <w:jc w:val="center"/>
              <w:spacing w:after="0"/>
              <w:rPr>
                <w:sz w:val="20"/>
                <w:szCs w:val="20"/>
                <w:color w:val="auto"/>
              </w:rPr>
            </w:pPr>
            <w:r>
              <w:rPr>
                <w:rFonts w:ascii="Arial" w:cs="Arial" w:eastAsia="Arial" w:hAnsi="Arial"/>
                <w:sz w:val="14"/>
                <w:szCs w:val="14"/>
                <w:i w:val="1"/>
                <w:iCs w:val="1"/>
                <w:color w:val="D52B1E"/>
              </w:rPr>
              <w:t>d</w:t>
            </w:r>
          </w:p>
        </w:tc>
        <w:tc>
          <w:tcPr>
            <w:tcW w:w="1060" w:type="dxa"/>
            <w:vAlign w:val="bottom"/>
          </w:tcPr>
          <w:p>
            <w:pPr>
              <w:jc w:val="center"/>
              <w:spacing w:after="0"/>
              <w:rPr>
                <w:sz w:val="20"/>
                <w:szCs w:val="20"/>
                <w:color w:val="auto"/>
              </w:rPr>
            </w:pPr>
            <w:r>
              <w:rPr>
                <w:rFonts w:ascii="Arial" w:cs="Arial" w:eastAsia="Arial" w:hAnsi="Arial"/>
                <w:sz w:val="14"/>
                <w:szCs w:val="14"/>
                <w:i w:val="1"/>
                <w:iCs w:val="1"/>
                <w:color w:val="D52B1E"/>
              </w:rPr>
              <w:t>e</w:t>
            </w:r>
          </w:p>
        </w:tc>
        <w:tc>
          <w:tcPr>
            <w:tcW w:w="1000" w:type="dxa"/>
            <w:vAlign w:val="bottom"/>
          </w:tcPr>
          <w:p>
            <w:pPr>
              <w:jc w:val="center"/>
              <w:spacing w:after="0"/>
              <w:rPr>
                <w:sz w:val="20"/>
                <w:szCs w:val="20"/>
                <w:color w:val="auto"/>
              </w:rPr>
            </w:pPr>
            <w:r>
              <w:rPr>
                <w:rFonts w:ascii="Arial" w:cs="Arial" w:eastAsia="Arial" w:hAnsi="Arial"/>
                <w:sz w:val="14"/>
                <w:szCs w:val="14"/>
                <w:i w:val="1"/>
                <w:iCs w:val="1"/>
                <w:color w:val="D52B1E"/>
              </w:rPr>
              <w:t>f</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D52B1E"/>
              </w:rPr>
              <w:t>g</w:t>
            </w:r>
          </w:p>
        </w:tc>
        <w:tc>
          <w:tcPr>
            <w:tcW w:w="1160" w:type="dxa"/>
            <w:vAlign w:val="bottom"/>
          </w:tcPr>
          <w:p>
            <w:pPr>
              <w:jc w:val="center"/>
              <w:spacing w:after="0"/>
              <w:rPr>
                <w:sz w:val="20"/>
                <w:szCs w:val="20"/>
                <w:color w:val="auto"/>
              </w:rPr>
            </w:pPr>
            <w:r>
              <w:rPr>
                <w:rFonts w:ascii="Arial" w:cs="Arial" w:eastAsia="Arial" w:hAnsi="Arial"/>
                <w:sz w:val="14"/>
                <w:szCs w:val="14"/>
                <w:i w:val="1"/>
                <w:iCs w:val="1"/>
                <w:color w:val="D52B1E"/>
              </w:rPr>
              <w:t>a-b+c-d+e+f+g</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2025</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$10,925,377</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$430,369</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$182,496</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$6,875,000</w:t>
            </w:r>
          </w:p>
        </w:tc>
        <w:tc>
          <w:tcPr>
            <w:tcW w:w="106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$5,405,638</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$(3,353,746)</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$14,498,508</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$20,352,904</w:t>
            </w:r>
          </w:p>
        </w:tc>
        <w:tc>
          <w:tcPr>
            <w:tcW w:w="0" w:type="dxa"/>
            <w:vAlign w:val="bottom"/>
          </w:tcPr>
          <w:p>
            <w:pPr>
              <w:spacing w:after="0"/>
              <w:rPr>
                <w:sz w:val="1"/>
                <w:szCs w:val="1"/>
                <w:color w:val="auto"/>
              </w:rPr>
            </w:pPr>
          </w:p>
        </w:tc>
      </w:tr>
      <w:tr>
        <w:trPr>
          <w:trHeight w:val="235"/>
        </w:trPr>
        <w:tc>
          <w:tcPr>
            <w:tcW w:w="440" w:type="dxa"/>
            <w:vAlign w:val="bottom"/>
          </w:tcPr>
          <w:p>
            <w:pPr>
              <w:ind w:left="20"/>
              <w:spacing w:after="0"/>
              <w:rPr>
                <w:sz w:val="20"/>
                <w:szCs w:val="20"/>
                <w:color w:val="auto"/>
              </w:rPr>
            </w:pPr>
            <w:r>
              <w:rPr>
                <w:rFonts w:ascii="Arial" w:cs="Arial" w:eastAsia="Arial" w:hAnsi="Arial"/>
                <w:sz w:val="14"/>
                <w:szCs w:val="14"/>
                <w:color w:val="auto"/>
              </w:rPr>
              <w:t>2024</w:t>
            </w:r>
          </w:p>
        </w:tc>
        <w:tc>
          <w:tcPr>
            <w:tcW w:w="1140" w:type="dxa"/>
            <w:vAlign w:val="bottom"/>
          </w:tcPr>
          <w:p>
            <w:pPr>
              <w:jc w:val="center"/>
              <w:spacing w:after="0"/>
              <w:rPr>
                <w:sz w:val="20"/>
                <w:szCs w:val="20"/>
                <w:color w:val="auto"/>
              </w:rPr>
            </w:pPr>
            <w:r>
              <w:rPr>
                <w:rFonts w:ascii="Arial" w:cs="Arial" w:eastAsia="Arial" w:hAnsi="Arial"/>
                <w:sz w:val="14"/>
                <w:szCs w:val="14"/>
                <w:color w:val="auto"/>
              </w:rPr>
              <w:t>$6,090,259</w:t>
            </w:r>
          </w:p>
        </w:tc>
        <w:tc>
          <w:tcPr>
            <w:tcW w:w="1000" w:type="dxa"/>
            <w:vAlign w:val="bottom"/>
          </w:tcPr>
          <w:p>
            <w:pPr>
              <w:jc w:val="center"/>
              <w:spacing w:after="0"/>
              <w:rPr>
                <w:sz w:val="20"/>
                <w:szCs w:val="20"/>
                <w:color w:val="auto"/>
              </w:rPr>
            </w:pPr>
            <w:r>
              <w:rPr>
                <w:rFonts w:ascii="Arial" w:cs="Arial" w:eastAsia="Arial" w:hAnsi="Arial"/>
                <w:sz w:val="14"/>
                <w:szCs w:val="14"/>
                <w:color w:val="auto"/>
              </w:rPr>
              <w:t>$215,381</w:t>
            </w:r>
          </w:p>
        </w:tc>
        <w:tc>
          <w:tcPr>
            <w:tcW w:w="980" w:type="dxa"/>
            <w:vAlign w:val="bottom"/>
          </w:tcPr>
          <w:p>
            <w:pPr>
              <w:jc w:val="center"/>
              <w:spacing w:after="0"/>
              <w:rPr>
                <w:sz w:val="20"/>
                <w:szCs w:val="20"/>
                <w:color w:val="auto"/>
              </w:rPr>
            </w:pPr>
            <w:r>
              <w:rPr>
                <w:rFonts w:ascii="Arial" w:cs="Arial" w:eastAsia="Arial" w:hAnsi="Arial"/>
                <w:sz w:val="14"/>
                <w:szCs w:val="14"/>
                <w:color w:val="auto"/>
              </w:rPr>
              <w:t>$159,259</w:t>
            </w:r>
          </w:p>
        </w:tc>
        <w:tc>
          <w:tcPr>
            <w:tcW w:w="1040" w:type="dxa"/>
            <w:vAlign w:val="bottom"/>
          </w:tcPr>
          <w:p>
            <w:pPr>
              <w:jc w:val="center"/>
              <w:spacing w:after="0"/>
              <w:rPr>
                <w:sz w:val="20"/>
                <w:szCs w:val="20"/>
                <w:color w:val="auto"/>
              </w:rPr>
            </w:pPr>
            <w:r>
              <w:rPr>
                <w:rFonts w:ascii="Arial" w:cs="Arial" w:eastAsia="Arial" w:hAnsi="Arial"/>
                <w:sz w:val="14"/>
                <w:szCs w:val="14"/>
                <w:color w:val="auto"/>
              </w:rPr>
              <w:t>$3,378,006</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$(6,930,869)</w:t>
            </w:r>
          </w:p>
        </w:tc>
        <w:tc>
          <w:tcPr>
            <w:tcW w:w="1000" w:type="dxa"/>
            <w:vAlign w:val="bottom"/>
          </w:tcPr>
          <w:p>
            <w:pPr>
              <w:jc w:val="center"/>
              <w:spacing w:after="0"/>
              <w:rPr>
                <w:sz w:val="20"/>
                <w:szCs w:val="20"/>
                <w:color w:val="auto"/>
              </w:rPr>
            </w:pPr>
            <w:r>
              <w:rPr>
                <w:rFonts w:ascii="Arial" w:cs="Arial" w:eastAsia="Arial" w:hAnsi="Arial"/>
                <w:sz w:val="14"/>
                <w:szCs w:val="14"/>
                <w:color w:val="auto"/>
              </w:rPr>
              <w:t>$(7,775,892)</w:t>
            </w:r>
          </w:p>
        </w:tc>
        <w:tc>
          <w:tcPr>
            <w:tcW w:w="1080" w:type="dxa"/>
            <w:vAlign w:val="bottom"/>
          </w:tcPr>
          <w:p>
            <w:pPr>
              <w:jc w:val="center"/>
              <w:spacing w:after="0"/>
              <w:rPr>
                <w:sz w:val="20"/>
                <w:szCs w:val="20"/>
                <w:color w:val="auto"/>
              </w:rPr>
            </w:pPr>
            <w:r>
              <w:rPr>
                <w:rFonts w:ascii="Arial" w:cs="Arial" w:eastAsia="Arial" w:hAnsi="Arial"/>
                <w:sz w:val="14"/>
                <w:szCs w:val="14"/>
                <w:color w:val="auto"/>
              </w:rPr>
              <w:t>$11,121,538</w:t>
            </w:r>
          </w:p>
        </w:tc>
        <w:tc>
          <w:tcPr>
            <w:tcW w:w="1160" w:type="dxa"/>
            <w:vAlign w:val="bottom"/>
          </w:tcPr>
          <w:p>
            <w:pPr>
              <w:jc w:val="center"/>
              <w:spacing w:after="0"/>
              <w:rPr>
                <w:sz w:val="20"/>
                <w:szCs w:val="20"/>
                <w:color w:val="auto"/>
              </w:rPr>
            </w:pPr>
            <w:r>
              <w:rPr>
                <w:rFonts w:ascii="Arial" w:cs="Arial" w:eastAsia="Arial" w:hAnsi="Arial"/>
                <w:sz w:val="14"/>
                <w:szCs w:val="14"/>
                <w:color w:val="auto"/>
              </w:rPr>
              <w:t>$(929,092)</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2023</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$7,836,611</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$455,154</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$159,626</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$4,387,275</w:t>
            </w:r>
          </w:p>
        </w:tc>
        <w:tc>
          <w:tcPr>
            <w:tcW w:w="106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$5,693,252</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$9,514,261</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$8,888,576</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$27,249,897</w:t>
            </w:r>
          </w:p>
        </w:tc>
        <w:tc>
          <w:tcPr>
            <w:tcW w:w="0" w:type="dxa"/>
            <w:vAlign w:val="bottom"/>
          </w:tcPr>
          <w:p>
            <w:pPr>
              <w:spacing w:after="0"/>
              <w:rPr>
                <w:sz w:val="1"/>
                <w:szCs w:val="1"/>
                <w:color w:val="auto"/>
              </w:rPr>
            </w:pPr>
          </w:p>
        </w:tc>
      </w:tr>
      <w:tr>
        <w:trPr>
          <w:trHeight w:val="235"/>
        </w:trPr>
        <w:tc>
          <w:tcPr>
            <w:tcW w:w="440" w:type="dxa"/>
            <w:vAlign w:val="bottom"/>
          </w:tcPr>
          <w:p>
            <w:pPr>
              <w:ind w:left="20"/>
              <w:spacing w:after="0"/>
              <w:rPr>
                <w:sz w:val="20"/>
                <w:szCs w:val="20"/>
                <w:color w:val="auto"/>
              </w:rPr>
            </w:pPr>
            <w:r>
              <w:rPr>
                <w:rFonts w:ascii="Arial" w:cs="Arial" w:eastAsia="Arial" w:hAnsi="Arial"/>
                <w:sz w:val="14"/>
                <w:szCs w:val="14"/>
                <w:color w:val="auto"/>
              </w:rPr>
              <w:t>2022</w:t>
            </w:r>
          </w:p>
        </w:tc>
        <w:tc>
          <w:tcPr>
            <w:tcW w:w="1140" w:type="dxa"/>
            <w:vAlign w:val="bottom"/>
          </w:tcPr>
          <w:p>
            <w:pPr>
              <w:jc w:val="center"/>
              <w:spacing w:after="0"/>
              <w:rPr>
                <w:sz w:val="20"/>
                <w:szCs w:val="20"/>
                <w:color w:val="auto"/>
              </w:rPr>
            </w:pPr>
            <w:r>
              <w:rPr>
                <w:rFonts w:ascii="Arial" w:cs="Arial" w:eastAsia="Arial" w:hAnsi="Arial"/>
                <w:sz w:val="14"/>
                <w:szCs w:val="14"/>
                <w:color w:val="auto"/>
              </w:rPr>
              <w:t>$5,769,810</w:t>
            </w:r>
          </w:p>
        </w:tc>
        <w:tc>
          <w:tcPr>
            <w:tcW w:w="1000" w:type="dxa"/>
            <w:vAlign w:val="bottom"/>
          </w:tcPr>
          <w:p>
            <w:pPr>
              <w:jc w:val="center"/>
              <w:spacing w:after="0"/>
              <w:rPr>
                <w:sz w:val="20"/>
                <w:szCs w:val="20"/>
                <w:color w:val="auto"/>
              </w:rPr>
            </w:pPr>
            <w:r>
              <w:rPr>
                <w:rFonts w:ascii="Arial" w:cs="Arial" w:eastAsia="Arial" w:hAnsi="Arial"/>
                <w:sz w:val="14"/>
                <w:szCs w:val="14"/>
                <w:color w:val="auto"/>
              </w:rPr>
              <w:t>$93,171</w:t>
            </w:r>
          </w:p>
        </w:tc>
        <w:tc>
          <w:tcPr>
            <w:tcW w:w="980" w:type="dxa"/>
            <w:vAlign w:val="bottom"/>
          </w:tcPr>
          <w:p>
            <w:pPr>
              <w:jc w:val="center"/>
              <w:spacing w:after="0"/>
              <w:rPr>
                <w:sz w:val="20"/>
                <w:szCs w:val="20"/>
                <w:color w:val="auto"/>
              </w:rPr>
            </w:pPr>
            <w:r>
              <w:rPr>
                <w:rFonts w:ascii="Arial" w:cs="Arial" w:eastAsia="Arial" w:hAnsi="Arial"/>
                <w:sz w:val="14"/>
                <w:szCs w:val="14"/>
                <w:color w:val="auto"/>
              </w:rPr>
              <w:t>$185,293</w:t>
            </w:r>
          </w:p>
        </w:tc>
        <w:tc>
          <w:tcPr>
            <w:tcW w:w="1040" w:type="dxa"/>
            <w:vAlign w:val="bottom"/>
          </w:tcPr>
          <w:p>
            <w:pPr>
              <w:jc w:val="center"/>
              <w:spacing w:after="0"/>
              <w:rPr>
                <w:sz w:val="20"/>
                <w:szCs w:val="20"/>
                <w:color w:val="auto"/>
              </w:rPr>
            </w:pPr>
            <w:r>
              <w:rPr>
                <w:rFonts w:ascii="Arial" w:cs="Arial" w:eastAsia="Arial" w:hAnsi="Arial"/>
                <w:sz w:val="14"/>
                <w:szCs w:val="14"/>
                <w:color w:val="auto"/>
              </w:rPr>
              <w:t>$3,553,000</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$2,494,818</w:t>
            </w:r>
          </w:p>
        </w:tc>
        <w:tc>
          <w:tcPr>
            <w:tcW w:w="1000" w:type="dxa"/>
            <w:vAlign w:val="bottom"/>
          </w:tcPr>
          <w:p>
            <w:pPr>
              <w:jc w:val="center"/>
              <w:spacing w:after="0"/>
              <w:rPr>
                <w:sz w:val="20"/>
                <w:szCs w:val="20"/>
                <w:color w:val="auto"/>
              </w:rPr>
            </w:pPr>
            <w:r>
              <w:rPr>
                <w:rFonts w:ascii="Arial" w:cs="Arial" w:eastAsia="Arial" w:hAnsi="Arial"/>
                <w:sz w:val="14"/>
                <w:szCs w:val="14"/>
                <w:color w:val="auto"/>
              </w:rPr>
              <w:t>$1,188,603</w:t>
            </w:r>
          </w:p>
        </w:tc>
        <w:tc>
          <w:tcPr>
            <w:tcW w:w="1080" w:type="dxa"/>
            <w:vAlign w:val="bottom"/>
          </w:tcPr>
          <w:p>
            <w:pPr>
              <w:jc w:val="center"/>
              <w:spacing w:after="0"/>
              <w:rPr>
                <w:sz w:val="20"/>
                <w:szCs w:val="20"/>
                <w:color w:val="auto"/>
              </w:rPr>
            </w:pPr>
            <w:r>
              <w:rPr>
                <w:rFonts w:ascii="Arial" w:cs="Arial" w:eastAsia="Arial" w:hAnsi="Arial"/>
                <w:sz w:val="14"/>
                <w:szCs w:val="14"/>
                <w:color w:val="auto"/>
              </w:rPr>
              <w:t>$7,900,916</w:t>
            </w:r>
          </w:p>
        </w:tc>
        <w:tc>
          <w:tcPr>
            <w:tcW w:w="1160" w:type="dxa"/>
            <w:vAlign w:val="bottom"/>
          </w:tcPr>
          <w:p>
            <w:pPr>
              <w:jc w:val="center"/>
              <w:spacing w:after="0"/>
              <w:rPr>
                <w:sz w:val="20"/>
                <w:szCs w:val="20"/>
                <w:color w:val="auto"/>
              </w:rPr>
            </w:pPr>
            <w:r>
              <w:rPr>
                <w:rFonts w:ascii="Arial" w:cs="Arial" w:eastAsia="Arial" w:hAnsi="Arial"/>
                <w:sz w:val="14"/>
                <w:szCs w:val="14"/>
                <w:color w:val="auto"/>
              </w:rPr>
              <w:t>$13,893,269</w:t>
            </w: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color w:val="auto"/>
              </w:rPr>
              <w:t>2021</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$4,730,690</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$159,911</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$135,445</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$3,115,360</w:t>
            </w:r>
          </w:p>
        </w:tc>
        <w:tc>
          <w:tcPr>
            <w:tcW w:w="1060" w:type="dxa"/>
            <w:vAlign w:val="bottom"/>
            <w:tcBorders>
              <w:bottom w:val="single" w:sz="8" w:color="F2F2F2"/>
            </w:tcBorders>
            <w:shd w:val="clear" w:color="auto" w:fill="F2F2F2"/>
          </w:tcPr>
          <w:p>
            <w:pPr>
              <w:jc w:val="right"/>
              <w:ind w:right="108"/>
              <w:spacing w:after="0"/>
              <w:rPr>
                <w:sz w:val="20"/>
                <w:szCs w:val="20"/>
                <w:color w:val="auto"/>
              </w:rPr>
            </w:pPr>
            <w:r>
              <w:rPr>
                <w:rFonts w:ascii="Arial" w:cs="Arial" w:eastAsia="Arial" w:hAnsi="Arial"/>
                <w:sz w:val="14"/>
                <w:szCs w:val="14"/>
                <w:color w:val="auto"/>
              </w:rPr>
              <w:t>$1,276,786</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$861,413</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$834,482</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$4,563,545</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80" w:hanging="172"/>
        <w:spacing w:after="0" w:line="230" w:lineRule="auto"/>
        <w:tabs>
          <w:tab w:leader="none" w:pos="174" w:val="left"/>
        </w:tabs>
        <w:numPr>
          <w:ilvl w:val="0"/>
          <w:numId w:val="170"/>
        </w:numPr>
        <w:rPr>
          <w:rFonts w:ascii="Arial" w:cs="Arial" w:eastAsia="Arial" w:hAnsi="Arial"/>
          <w:sz w:val="19"/>
          <w:szCs w:val="19"/>
          <w:color w:val="auto"/>
          <w:vertAlign w:val="superscript"/>
        </w:rPr>
      </w:pPr>
      <w:r>
        <w:rPr>
          <w:rFonts w:ascii="Arial" w:cs="Arial" w:eastAsia="Arial" w:hAnsi="Arial"/>
          <w:sz w:val="14"/>
          <w:szCs w:val="14"/>
          <w:color w:val="auto"/>
        </w:rPr>
        <w:t>TSR for the company and peer group is calculated based on a fixed investment of $100 at the applicable measurement point, on the same cumulative basis as is used in Item 201(e) of Regulation S-K.</w:t>
      </w:r>
    </w:p>
    <w:p>
      <w:pPr>
        <w:spacing w:after="0" w:line="1" w:lineRule="exact"/>
        <w:rPr>
          <w:rFonts w:ascii="Arial" w:cs="Arial" w:eastAsia="Arial" w:hAnsi="Arial"/>
          <w:sz w:val="19"/>
          <w:szCs w:val="19"/>
          <w:color w:val="auto"/>
          <w:vertAlign w:val="superscript"/>
        </w:rPr>
      </w:pPr>
    </w:p>
    <w:p>
      <w:pPr>
        <w:ind w:left="180" w:right="60"/>
        <w:spacing w:after="0" w:line="262" w:lineRule="auto"/>
        <w:rPr>
          <w:rFonts w:ascii="Arial" w:cs="Arial" w:eastAsia="Arial" w:hAnsi="Arial"/>
          <w:sz w:val="19"/>
          <w:szCs w:val="19"/>
          <w:color w:val="auto"/>
          <w:vertAlign w:val="superscript"/>
        </w:rPr>
      </w:pPr>
      <w:r>
        <w:rPr>
          <w:rFonts w:ascii="Arial" w:cs="Arial" w:eastAsia="Arial" w:hAnsi="Arial"/>
          <w:sz w:val="14"/>
          <w:szCs w:val="14"/>
          <w:color w:val="auto"/>
        </w:rPr>
        <w:t>In 2025, the company revised the peer group for calculating TSR results. The peer group is comprised of the same companies from our executive compensation peer group (detailed in the Benchmarking Compensation section) as well as Novo Nordisk. Peer TSR amounts in this column reflect the revised peer group for all fiscal years presented. For comparison, under the prior peer group composition, peer group TSR for 2025 would have been $157.61 (compared to $154.11 for the revised peer group).</w:t>
      </w:r>
    </w:p>
    <w:p>
      <w:pPr>
        <w:spacing w:after="0" w:line="12" w:lineRule="exact"/>
        <w:rPr>
          <w:sz w:val="20"/>
          <w:szCs w:val="20"/>
          <w:color w:val="auto"/>
        </w:rPr>
      </w:pPr>
    </w:p>
    <w:p>
      <w:pPr>
        <w:ind w:left="180" w:right="40" w:hanging="172"/>
        <w:spacing w:after="0" w:line="222" w:lineRule="auto"/>
        <w:tabs>
          <w:tab w:leader="none" w:pos="174" w:val="left"/>
        </w:tabs>
        <w:numPr>
          <w:ilvl w:val="0"/>
          <w:numId w:val="171"/>
        </w:numPr>
        <w:rPr>
          <w:rFonts w:ascii="Arial" w:cs="Arial" w:eastAsia="Arial" w:hAnsi="Arial"/>
          <w:sz w:val="19"/>
          <w:szCs w:val="19"/>
          <w:color w:val="auto"/>
          <w:vertAlign w:val="superscript"/>
        </w:rPr>
      </w:pPr>
      <w:r>
        <w:rPr>
          <w:rFonts w:ascii="Arial" w:cs="Arial" w:eastAsia="Arial" w:hAnsi="Arial"/>
          <w:sz w:val="14"/>
          <w:szCs w:val="14"/>
          <w:color w:val="auto"/>
        </w:rPr>
        <w:t xml:space="preserve">The adjusted non-GAAP EPS has been revised across all reported years to reflect outcomes for the corporate bonus plan rather than the performance award program, which has been discontinued. Details of those results and the associated adjustments can be found in </w:t>
      </w:r>
      <w:r>
        <w:rPr>
          <w:rFonts w:ascii="Arial" w:cs="Arial" w:eastAsia="Arial" w:hAnsi="Arial"/>
          <w:sz w:val="14"/>
          <w:szCs w:val="14"/>
          <w:u w:val="single" w:color="auto"/>
          <w:color w:val="0000FF"/>
        </w:rPr>
        <w:t>Appendix A</w:t>
      </w:r>
      <w:r>
        <w:rPr>
          <w:rFonts w:ascii="Arial" w:cs="Arial" w:eastAsia="Arial" w:hAnsi="Arial"/>
          <w:sz w:val="14"/>
          <w:szCs w:val="14"/>
          <w:color w:val="auto"/>
        </w:rPr>
        <w:t xml:space="preserve"> of the proxy statement for each respective year.</w:t>
      </w:r>
    </w:p>
    <w:p>
      <w:pPr>
        <w:spacing w:after="0" w:line="12" w:lineRule="exact"/>
        <w:rPr>
          <w:sz w:val="20"/>
          <w:szCs w:val="20"/>
          <w:color w:val="auto"/>
        </w:rPr>
      </w:pPr>
    </w:p>
    <w:p>
      <w:pPr>
        <w:ind w:left="160" w:hanging="152"/>
        <w:spacing w:after="0"/>
        <w:tabs>
          <w:tab w:leader="none" w:pos="160" w:val="left"/>
        </w:tabs>
        <w:numPr>
          <w:ilvl w:val="0"/>
          <w:numId w:val="172"/>
        </w:numPr>
        <w:rPr>
          <w:rFonts w:ascii="Arial" w:cs="Arial" w:eastAsia="Arial" w:hAnsi="Arial"/>
          <w:sz w:val="19"/>
          <w:szCs w:val="19"/>
          <w:color w:val="auto"/>
          <w:vertAlign w:val="superscript"/>
        </w:rPr>
      </w:pPr>
      <w:r>
        <w:rPr>
          <w:rFonts w:ascii="Arial" w:cs="Arial" w:eastAsia="Arial" w:hAnsi="Arial"/>
          <w:sz w:val="14"/>
          <w:szCs w:val="14"/>
          <w:color w:val="auto"/>
        </w:rPr>
        <w:t>Non-PEO NEO composition varied by year due to CFO transitions and role changes:</w:t>
      </w:r>
    </w:p>
    <w:p>
      <w:pPr>
        <w:spacing w:after="0" w:line="57" w:lineRule="exact"/>
        <w:rPr>
          <w:rFonts w:ascii="Arial" w:cs="Arial" w:eastAsia="Arial" w:hAnsi="Arial"/>
          <w:sz w:val="19"/>
          <w:szCs w:val="19"/>
          <w:color w:val="auto"/>
          <w:vertAlign w:val="superscript"/>
        </w:rPr>
      </w:pPr>
    </w:p>
    <w:p>
      <w:pPr>
        <w:ind w:left="640" w:hanging="308"/>
        <w:spacing w:after="0"/>
        <w:tabs>
          <w:tab w:leader="none" w:pos="640" w:val="left"/>
        </w:tabs>
        <w:numPr>
          <w:ilvl w:val="1"/>
          <w:numId w:val="172"/>
        </w:numPr>
        <w:rPr>
          <w:rFonts w:ascii="Arial" w:cs="Arial" w:eastAsia="Arial" w:hAnsi="Arial"/>
          <w:sz w:val="16"/>
          <w:szCs w:val="16"/>
          <w:color w:val="auto"/>
        </w:rPr>
      </w:pPr>
      <w:r>
        <w:rPr>
          <w:rFonts w:ascii="Arial" w:cs="Arial" w:eastAsia="Arial" w:hAnsi="Arial"/>
          <w:sz w:val="14"/>
          <w:szCs w:val="14"/>
          <w:color w:val="auto"/>
        </w:rPr>
        <w:t>2025: Mr. Montarce; Dr. Skovronsky; Ms. Hakim; and Mr. Van Naarden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1"/>
          <w:numId w:val="172"/>
        </w:numPr>
        <w:rPr>
          <w:rFonts w:ascii="Arial" w:cs="Arial" w:eastAsia="Arial" w:hAnsi="Arial"/>
          <w:sz w:val="16"/>
          <w:szCs w:val="16"/>
          <w:color w:val="auto"/>
        </w:rPr>
      </w:pPr>
      <w:r>
        <w:rPr>
          <w:rFonts w:ascii="Arial" w:cs="Arial" w:eastAsia="Arial" w:hAnsi="Arial"/>
          <w:sz w:val="14"/>
          <w:szCs w:val="14"/>
          <w:color w:val="auto"/>
        </w:rPr>
        <w:t>2024: Mr. Montarce; Dr. Skovronsky; Ms. Hakim; Mr. Van Naarden; Mr. Brooks (interim CFO, July 15-Sept 8); and Ms. Ashkenazi (CFO, departed July 30)</w:t>
      </w:r>
    </w:p>
    <w:p>
      <w:pPr>
        <w:sectPr>
          <w:pgSz w:w="11900" w:h="16838" w:orient="portrait"/>
          <w:cols w:equalWidth="0" w:num="1">
            <w:col w:w="11220"/>
          </w:cols>
          <w:pgMar w:left="320" w:top="769" w:right="35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72" w:name="page73"/>
    <w:bookmarkEnd w:id="72"/>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4"/>
          <w:szCs w:val="14"/>
          <w:color w:val="auto"/>
        </w:rPr>
        <w:t>2023: Ms. Ashkenazi; Dr. Skovronsky; Ms. Hakim; and Mr. Van Naarden</w:t>
      </w:r>
    </w:p>
    <w:p>
      <w:pPr>
        <w:spacing w:after="0" w:line="12"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4"/>
          <w:szCs w:val="14"/>
          <w:color w:val="auto"/>
        </w:rPr>
        <w:t>2022: Ms. Ashkenazi; Dr. Skovronsky; Ms. Hakim; and Mr. Jonsson</w:t>
      </w:r>
    </w:p>
    <w:p>
      <w:pPr>
        <w:spacing w:after="0" w:line="11" w:lineRule="exact"/>
        <w:rPr>
          <w:rFonts w:ascii="Arial" w:cs="Arial" w:eastAsia="Arial" w:hAnsi="Arial"/>
          <w:sz w:val="16"/>
          <w:szCs w:val="16"/>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4"/>
          <w:szCs w:val="14"/>
          <w:color w:val="auto"/>
        </w:rPr>
        <w:t>2021: Ms. Ashkenazi (appointed CFO Feb 9); Dr. Skovronsky; Mr. Van Naarden; Mr. Rau; and Mr. Smiley (CFO, resigned Feb 9)</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Most Important Measures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most important measures used for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230568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19" w:lineRule="exact"/>
        <w:rPr>
          <w:sz w:val="20"/>
          <w:szCs w:val="20"/>
          <w:color w:val="auto"/>
        </w:rPr>
      </w:pPr>
    </w:p>
    <w:p>
      <w:pPr>
        <w:jc w:val="center"/>
        <w:ind w:right="7580"/>
        <w:spacing w:after="0"/>
        <w:rPr>
          <w:sz w:val="20"/>
          <w:szCs w:val="20"/>
          <w:color w:val="auto"/>
        </w:rPr>
      </w:pPr>
      <w:r>
        <w:rPr>
          <w:rFonts w:ascii="Arial" w:cs="Arial" w:eastAsia="Arial" w:hAnsi="Arial"/>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305685" cy="52260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2305685" cy="522605"/>
                    </a:xfrm>
                    <a:prstGeom prst="rect">
                      <a:avLst/>
                    </a:prstGeom>
                    <a:noFill/>
                  </pic:spPr>
                </pic:pic>
              </a:graphicData>
            </a:graphic>
          </wp:anchor>
        </w:drawing>
      </w:r>
    </w:p>
    <w:p>
      <w:pPr>
        <w:spacing w:after="0" w:line="54" w:lineRule="exact"/>
        <w:rPr>
          <w:sz w:val="20"/>
          <w:szCs w:val="20"/>
          <w:color w:val="auto"/>
        </w:rPr>
      </w:pPr>
    </w:p>
    <w:p>
      <w:pPr>
        <w:jc w:val="center"/>
        <w:ind w:right="7580"/>
        <w:spacing w:after="0"/>
        <w:rPr>
          <w:sz w:val="20"/>
          <w:szCs w:val="20"/>
          <w:color w:val="auto"/>
        </w:rPr>
      </w:pPr>
      <w:r>
        <w:rPr>
          <w:rFonts w:ascii="Arial" w:cs="Arial" w:eastAsia="Arial" w:hAnsi="Arial"/>
          <w:sz w:val="18"/>
          <w:szCs w:val="18"/>
          <w:color w:val="auto"/>
        </w:rPr>
        <w:t>Adjusted non-GAAP EPS</w:t>
      </w:r>
      <w:r>
        <w:rPr>
          <w:rFonts w:ascii="Arial" w:cs="Arial" w:eastAsia="Arial" w:hAnsi="Arial"/>
          <w:sz w:val="23"/>
          <w:szCs w:val="23"/>
          <w:color w:val="auto"/>
          <w:vertAlign w:val="superscript"/>
        </w:rPr>
        <w:t>1</w:t>
      </w:r>
    </w:p>
    <w:p>
      <w:pPr>
        <w:spacing w:after="0" w:line="26" w:lineRule="exact"/>
        <w:rPr>
          <w:sz w:val="20"/>
          <w:szCs w:val="20"/>
          <w:color w:val="auto"/>
        </w:rPr>
      </w:pPr>
    </w:p>
    <w:p>
      <w:pPr>
        <w:jc w:val="center"/>
        <w:ind w:right="7580"/>
        <w:spacing w:after="0"/>
        <w:rPr>
          <w:sz w:val="20"/>
          <w:szCs w:val="20"/>
          <w:color w:val="auto"/>
        </w:rPr>
      </w:pPr>
      <w:r>
        <w:rPr>
          <w:rFonts w:ascii="Arial" w:cs="Arial" w:eastAsia="Arial" w:hAnsi="Arial"/>
          <w:sz w:val="18"/>
          <w:szCs w:val="18"/>
          <w:color w:val="auto"/>
        </w:rPr>
        <w:t>Total Shareholder Return</w:t>
      </w:r>
    </w:p>
    <w:p>
      <w:pPr>
        <w:spacing w:after="0" w:line="45" w:lineRule="exact"/>
        <w:rPr>
          <w:sz w:val="20"/>
          <w:szCs w:val="20"/>
          <w:color w:val="auto"/>
        </w:rPr>
      </w:pPr>
    </w:p>
    <w:p>
      <w:pPr>
        <w:jc w:val="center"/>
        <w:ind w:right="758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30568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5" w:lineRule="exact"/>
        <w:rPr>
          <w:sz w:val="20"/>
          <w:szCs w:val="20"/>
          <w:color w:val="auto"/>
        </w:rPr>
      </w:pPr>
    </w:p>
    <w:p>
      <w:pPr>
        <w:ind w:left="180" w:right="20" w:hanging="172"/>
        <w:spacing w:after="0" w:line="231" w:lineRule="auto"/>
        <w:tabs>
          <w:tab w:leader="none" w:pos="245" w:val="left"/>
        </w:tabs>
        <w:numPr>
          <w:ilvl w:val="0"/>
          <w:numId w:val="174"/>
        </w:numPr>
        <w:rPr>
          <w:rFonts w:ascii="Arial" w:cs="Arial" w:eastAsia="Arial" w:hAnsi="Arial"/>
          <w:sz w:val="23"/>
          <w:szCs w:val="23"/>
          <w:color w:val="auto"/>
          <w:vertAlign w:val="superscript"/>
        </w:rPr>
      </w:pPr>
      <w:r>
        <w:rPr>
          <w:rFonts w:ascii="Arial" w:cs="Arial" w:eastAsia="Arial" w:hAnsi="Arial"/>
          <w:sz w:val="18"/>
          <w:szCs w:val="18"/>
          <w:color w:val="auto"/>
        </w:rPr>
        <w:t xml:space="preserve">For pay versus performance analysis, adjusted non-GAAP EPS is consistent with the adjusted non-GAAP EPS values for the annual cash bonus in </w:t>
      </w:r>
      <w:r>
        <w:rPr>
          <w:rFonts w:ascii="Arial" w:cs="Arial" w:eastAsia="Arial" w:hAnsi="Arial"/>
          <w:sz w:val="18"/>
          <w:szCs w:val="18"/>
          <w:u w:val="single" w:color="auto"/>
          <w:color w:val="0000FF"/>
        </w:rPr>
        <w:t>Appendix A</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Pay versus Total Shareholder Return</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 the past five years, the company’s total shareholder return (TSR) has exceeded the peer group’s TSR. The chosen peer group is comprised of the same companies from our executive compensation peer group detailed in the Benchmarking Compensation section, as well as Novo Nordisk. Lilly’s relative TSR outperformance was substantially attributable to strong developments in our product pipeline and launches of new products and indications. As reflected in the chart below, this outperformance contributed to the PEO and non-PEOs’ compensation over the five-year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760720" cy="267462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576072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Pay versus Net Income</w:t>
      </w:r>
    </w:p>
    <w:p>
      <w:pPr>
        <w:spacing w:after="0" w:line="8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Lilly does not utilize GAAP or non-GAAP net income as a metric in any of its incentive programs. Generally, CAP is not heavily correlated with GAAP net income because GAAP net income includes certain items that the Committee believes are not reflective of underlying business performance. By excluding the impact of (i) amortization of intangible assets primarily associated with costs of marketed products acquired or licensed from third parties, (ii) net losses or gains on investments in equity securities, and (iii) other specified items that are not reflective of underlying business performance, the Committee believes non-GAAP net income better represents the company’s operating performance. For comparison purposes, the graph below reflects both GAAP net income and non-GAAP net income against PEO and average non-PEO NEO CAP.</w:t>
      </w:r>
    </w:p>
    <w:p>
      <w:pPr>
        <w:spacing w:after="0" w:line="12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 xml:space="preserve">The GAAP and non-GAAP net income results include significantly higher acquired IPR&amp;D charges. While immediately expensed for accounting purposes, the company views investments in acquired IPR&amp;D as important contributions to its product pipeline, which is a key driver of future company performance. For additional information on financial results, see </w:t>
      </w:r>
      <w:r>
        <w:rPr>
          <w:rFonts w:ascii="Arial" w:cs="Arial" w:eastAsia="Arial" w:hAnsi="Arial"/>
          <w:sz w:val="18"/>
          <w:szCs w:val="18"/>
          <w:u w:val="single" w:color="auto"/>
          <w:color w:val="0000FF"/>
        </w:rPr>
        <w:t>Appendix A</w:t>
      </w:r>
      <w:r>
        <w:rPr>
          <w:rFonts w:ascii="Arial" w:cs="Arial" w:eastAsia="Arial" w:hAnsi="Arial"/>
          <w:sz w:val="18"/>
          <w:szCs w:val="18"/>
          <w:color w:val="auto"/>
        </w:rPr>
        <w:t>.</w:t>
      </w:r>
    </w:p>
    <w:p>
      <w:pPr>
        <w:sectPr>
          <w:pgSz w:w="11900" w:h="16838" w:orient="portrait"/>
          <w:cols w:equalWidth="0" w:num="1">
            <w:col w:w="11220"/>
          </w:cols>
          <w:pgMar w:left="320" w:top="792"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type w:val="continuous"/>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5760720" cy="270891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hanging="172"/>
        <w:spacing w:after="0" w:line="268" w:lineRule="auto"/>
        <w:tabs>
          <w:tab w:leader="none" w:pos="28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GAAP net income and non-GAAP net income are discrete outcomes. GAAP net income and non-GAAP net income figures shown in the graphic above both include acquired IPR&amp;D charges, net of taxes, as follows: $785.5 million in 2021, $813.2 million in 2022, $3.70 billion in 2023, $3.18 billion in 2024, and $2.91 billion in 2025.</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Pay versus Adjusted Non-GAAP EPS</w:t>
      </w:r>
    </w:p>
    <w:p>
      <w:pPr>
        <w:spacing w:after="0" w:line="6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Lilly has chosen adjusted non-GAAP EPS as its most important company selected measure (CSM). Lilly leverages annual non-GAAP EPS derived from the board-approved business plan to set targets for the bonus. Significant sustained profitability growth contributes to higher total CAP as seen in the graphic below. For additional information on non-GAAP financial metrics, see </w:t>
      </w:r>
      <w:r>
        <w:rPr>
          <w:rFonts w:ascii="Arial" w:cs="Arial" w:eastAsia="Arial" w:hAnsi="Arial"/>
          <w:sz w:val="18"/>
          <w:szCs w:val="18"/>
          <w:u w:val="single" w:color="auto"/>
          <w:color w:val="0000FF"/>
        </w:rPr>
        <w:t>Appendix 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760720" cy="241744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576072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hanging="312"/>
        <w:spacing w:after="0"/>
        <w:tabs>
          <w:tab w:leader="none" w:pos="3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Adjusted non-GAAP EPS data points are discrete outcomes.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Pay versus Revenue</w:t>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Lilly strives to make breakthrough medicines available to patients around the globe. Given a growing portfolio of new medicines, we motivate our entire workforce to reach as many patients as possible. The combination of a strong product portfolio and effective patient delivery yields higher sales volume and, generally, higher revenue. As such, revenue is one of our most important measures to ensure we are continuously growing the number of patients we serve. Generally, our revenue over the preceding five-year period aligns with the growth in PEO and average non-PEO CAP.</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500380</wp:posOffset>
            </wp:positionV>
            <wp:extent cx="4852035" cy="254571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clrChange>
                        <a:clrFrom>
                          <a:srgbClr val="FFFFFF"/>
                        </a:clrFrom>
                        <a:clrTo>
                          <a:srgbClr val="FFFFFF">
                            <a:alpha val="0"/>
                          </a:srgbClr>
                        </a:clrTo>
                      </a:clrChange>
                      <a:extLst>
                        <a:ext uri="{28A0092B-C50C-407E-A947-70E740481C1C}"/>
                      </a:extLst>
                    </a:blip>
                    <a:srcRect/>
                    <a:stretch>
                      <a:fillRect/>
                    </a:stretch>
                  </pic:blipFill>
                  <pic:spPr bwMode="auto">
                    <a:xfrm>
                      <a:off x="0" y="0"/>
                      <a:ext cx="485203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0" w:hanging="272"/>
        <w:spacing w:after="0"/>
        <w:tabs>
          <w:tab w:leader="none" w:pos="2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Revenue data points are discrete outcomes.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Pay versus Performance: Conclusions</w:t>
      </w:r>
    </w:p>
    <w:p>
      <w:pPr>
        <w:spacing w:after="0" w:line="6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Committee believes in pay for performance and has structured Lilly compensation programs to reward leaders when the company delivers strong results. Lilly has achieved strong cumulative TSR, EPS and revenue growth over the immediately preceding five-year period. As a result, shareholders have been rewarded with significant total stock returns, and leadership has been rewarded with above-target payouts from their incentive compensation programs.</w:t>
      </w:r>
    </w:p>
    <w:p>
      <w:pPr>
        <w:spacing w:after="0" w:line="317"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Audit Matters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Item 3. Ratification of the Appointment of the Independent Auditor</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Audit Committee Oversight of the Independent Auditor</w:t>
      </w:r>
    </w:p>
    <w:p>
      <w:pPr>
        <w:spacing w:after="0" w:line="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Audit Committee is responsible for the appointment, compensation, retention, and oversight of the independent auditor and oversees the process for reviewing and evaluating the lead audit partner. Further information regarding the Audit Committee’s oversight of the independent auditor can be found in the Audit Committee charter, available online at </w:t>
      </w:r>
      <w:r>
        <w:rPr>
          <w:rFonts w:ascii="Arial" w:cs="Arial" w:eastAsia="Arial" w:hAnsi="Arial"/>
          <w:sz w:val="18"/>
          <w:szCs w:val="18"/>
          <w:color w:val="D52B1E"/>
        </w:rPr>
        <w:t>lilly.com/about/leadership/governance</w:t>
      </w:r>
      <w:r>
        <w:rPr>
          <w:rFonts w:ascii="Arial" w:cs="Arial" w:eastAsia="Arial" w:hAnsi="Arial"/>
          <w:sz w:val="18"/>
          <w:szCs w:val="18"/>
          <w:color w:val="auto"/>
        </w:rPr>
        <w:t>.</w:t>
      </w:r>
    </w:p>
    <w:p>
      <w:pPr>
        <w:spacing w:after="0" w:line="120" w:lineRule="exact"/>
        <w:rPr>
          <w:sz w:val="20"/>
          <w:szCs w:val="20"/>
          <w:color w:val="auto"/>
        </w:rPr>
      </w:pPr>
    </w:p>
    <w:p>
      <w:pPr>
        <w:ind w:right="480"/>
        <w:spacing w:after="0" w:line="233" w:lineRule="auto"/>
        <w:rPr>
          <w:sz w:val="20"/>
          <w:szCs w:val="20"/>
          <w:color w:val="auto"/>
        </w:rPr>
      </w:pPr>
      <w:r>
        <w:rPr>
          <w:rFonts w:ascii="Arial" w:cs="Arial" w:eastAsia="Arial" w:hAnsi="Arial"/>
          <w:sz w:val="22"/>
          <w:szCs w:val="22"/>
          <w:b w:val="1"/>
          <w:bCs w:val="1"/>
          <w:color w:val="auto"/>
        </w:rPr>
        <w:t xml:space="preserve">Evaluation Process: </w:t>
      </w:r>
      <w:r>
        <w:rPr>
          <w:rFonts w:ascii="Arial" w:cs="Arial" w:eastAsia="Arial" w:hAnsi="Arial"/>
          <w:sz w:val="17"/>
          <w:szCs w:val="17"/>
          <w:color w:val="auto"/>
        </w:rPr>
        <w:t>In connection with the decision regarding whether to reappoint the independent auditor each year (subject to</w:t>
      </w:r>
      <w:r>
        <w:rPr>
          <w:rFonts w:ascii="Arial" w:cs="Arial" w:eastAsia="Arial" w:hAnsi="Arial"/>
          <w:sz w:val="22"/>
          <w:szCs w:val="22"/>
          <w:b w:val="1"/>
          <w:bCs w:val="1"/>
          <w:color w:val="auto"/>
        </w:rPr>
        <w:t xml:space="preserve"> </w:t>
      </w:r>
      <w:r>
        <w:rPr>
          <w:rFonts w:ascii="Arial" w:cs="Arial" w:eastAsia="Arial" w:hAnsi="Arial"/>
          <w:sz w:val="17"/>
          <w:szCs w:val="17"/>
          <w:color w:val="auto"/>
        </w:rPr>
        <w:t>shareholder ratification), the Audit Committee assesses the independent auditor’s performance. This assessment includes:</w:t>
      </w:r>
    </w:p>
    <w:p>
      <w:pPr>
        <w:spacing w:after="0" w:line="31" w:lineRule="exact"/>
        <w:rPr>
          <w:sz w:val="20"/>
          <w:szCs w:val="20"/>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independent auditor’s qualifications and experience;</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communication and interactions with the auditor over the course of the year;</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auditor’s independence, objectivity, and professional skepticism;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independent auditor’s tenure.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criteria are assessed against an internal and an external scorecard and are discussed with management during a private session.</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Based on the Audit Committee’s assessment of Ernst &amp; Young LLP’s (EY) performance during 2025, the Audit Committee believes that the continued retention of EY to serve as the company's independent auditor is in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best interests of the company and its shareholders and has therefore reappointed EY as the company’s independent auditor for 2026.</w:t>
      </w:r>
    </w:p>
    <w:p>
      <w:pPr>
        <w:spacing w:after="0" w:line="229" w:lineRule="exact"/>
        <w:rPr>
          <w:sz w:val="20"/>
          <w:szCs w:val="20"/>
          <w:color w:val="auto"/>
        </w:rPr>
      </w:pPr>
    </w:p>
    <w:p>
      <w:pPr>
        <w:ind w:right="400"/>
        <w:spacing w:after="0" w:line="233" w:lineRule="auto"/>
        <w:rPr>
          <w:sz w:val="20"/>
          <w:szCs w:val="20"/>
          <w:color w:val="auto"/>
        </w:rPr>
      </w:pPr>
      <w:r>
        <w:rPr>
          <w:rFonts w:ascii="Arial" w:cs="Arial" w:eastAsia="Arial" w:hAnsi="Arial"/>
          <w:sz w:val="22"/>
          <w:szCs w:val="22"/>
          <w:b w:val="1"/>
          <w:bCs w:val="1"/>
          <w:color w:val="auto"/>
        </w:rPr>
        <w:t xml:space="preserve">Benefits of Longer Tenure: </w:t>
      </w:r>
      <w:r>
        <w:rPr>
          <w:rFonts w:ascii="Arial" w:cs="Arial" w:eastAsia="Arial" w:hAnsi="Arial"/>
          <w:sz w:val="17"/>
          <w:szCs w:val="17"/>
          <w:color w:val="auto"/>
        </w:rPr>
        <w:t>EY has served as the independent auditor for the company since 1940. There are several benefits of</w:t>
      </w:r>
      <w:r>
        <w:rPr>
          <w:rFonts w:ascii="Arial" w:cs="Arial" w:eastAsia="Arial" w:hAnsi="Arial"/>
          <w:sz w:val="22"/>
          <w:szCs w:val="22"/>
          <w:b w:val="1"/>
          <w:bCs w:val="1"/>
          <w:color w:val="auto"/>
        </w:rPr>
        <w:t xml:space="preserve"> </w:t>
      </w:r>
      <w:r>
        <w:rPr>
          <w:rFonts w:ascii="Arial" w:cs="Arial" w:eastAsia="Arial" w:hAnsi="Arial"/>
          <w:sz w:val="17"/>
          <w:szCs w:val="17"/>
          <w:color w:val="auto"/>
        </w:rPr>
        <w:t>retaining a longer-tenured independent auditor, including:</w:t>
      </w:r>
    </w:p>
    <w:p>
      <w:pPr>
        <w:spacing w:after="0" w:line="189" w:lineRule="exact"/>
        <w:rPr>
          <w:sz w:val="20"/>
          <w:szCs w:val="20"/>
          <w:color w:val="auto"/>
        </w:rPr>
      </w:pPr>
    </w:p>
    <w:p>
      <w:pPr>
        <w:ind w:left="500" w:right="420" w:hanging="330"/>
        <w:spacing w:after="0" w:line="267" w:lineRule="auto"/>
        <w:tabs>
          <w:tab w:leader="none" w:pos="489" w:val="left"/>
        </w:tabs>
        <w:numPr>
          <w:ilvl w:val="0"/>
          <w:numId w:val="179"/>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Qualifications and experience </w:t>
      </w:r>
      <w:r>
        <w:rPr>
          <w:rFonts w:ascii="Arial" w:cs="Arial" w:eastAsia="Arial" w:hAnsi="Arial"/>
          <w:sz w:val="17"/>
          <w:szCs w:val="17"/>
          <w:color w:val="000000"/>
        </w:rPr>
        <w:t>- institutional knowledge and expertise regarding the company’s global operations, accounting</w:t>
      </w:r>
      <w:r>
        <w:rPr>
          <w:rFonts w:ascii="Arial" w:cs="Arial" w:eastAsia="Arial" w:hAnsi="Arial"/>
          <w:sz w:val="20"/>
          <w:szCs w:val="20"/>
          <w:b w:val="1"/>
          <w:bCs w:val="1"/>
          <w:color w:val="D52B1E"/>
        </w:rPr>
        <w:t xml:space="preserve"> </w:t>
      </w:r>
      <w:r>
        <w:rPr>
          <w:rFonts w:ascii="Arial" w:cs="Arial" w:eastAsia="Arial" w:hAnsi="Arial"/>
          <w:sz w:val="17"/>
          <w:szCs w:val="17"/>
          <w:color w:val="000000"/>
        </w:rPr>
        <w:t>policies and practices, and internal controls over financial reporting.</w:t>
      </w:r>
    </w:p>
    <w:p>
      <w:pPr>
        <w:spacing w:after="0" w:line="163" w:lineRule="exact"/>
        <w:rPr>
          <w:rFonts w:ascii="Arial" w:cs="Arial" w:eastAsia="Arial" w:hAnsi="Arial"/>
          <w:sz w:val="16"/>
          <w:szCs w:val="16"/>
          <w:b w:val="1"/>
          <w:bCs w:val="1"/>
          <w:color w:val="D52B1E"/>
        </w:rPr>
      </w:pPr>
    </w:p>
    <w:p>
      <w:pPr>
        <w:ind w:left="500" w:right="660" w:hanging="330"/>
        <w:spacing w:after="0" w:line="253" w:lineRule="auto"/>
        <w:tabs>
          <w:tab w:leader="none" w:pos="489" w:val="left"/>
        </w:tabs>
        <w:numPr>
          <w:ilvl w:val="0"/>
          <w:numId w:val="179"/>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Competitive fees </w:t>
      </w:r>
      <w:r>
        <w:rPr>
          <w:rFonts w:ascii="Arial" w:cs="Arial" w:eastAsia="Arial" w:hAnsi="Arial"/>
          <w:sz w:val="17"/>
          <w:szCs w:val="17"/>
          <w:color w:val="000000"/>
        </w:rPr>
        <w:t>- audit and other fees are competitive with peer companies because of familiarity with the company and its</w:t>
      </w:r>
      <w:r>
        <w:rPr>
          <w:rFonts w:ascii="Arial" w:cs="Arial" w:eastAsia="Arial" w:hAnsi="Arial"/>
          <w:sz w:val="20"/>
          <w:szCs w:val="20"/>
          <w:b w:val="1"/>
          <w:bCs w:val="1"/>
          <w:color w:val="D52B1E"/>
        </w:rPr>
        <w:t xml:space="preserve"> </w:t>
      </w:r>
      <w:r>
        <w:rPr>
          <w:rFonts w:ascii="Arial" w:cs="Arial" w:eastAsia="Arial" w:hAnsi="Arial"/>
          <w:sz w:val="17"/>
          <w:szCs w:val="17"/>
          <w:color w:val="000000"/>
        </w:rPr>
        <w:t>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Independence Controls</w:t>
      </w:r>
    </w:p>
    <w:p>
      <w:pPr>
        <w:spacing w:after="0" w:line="224" w:lineRule="exact"/>
        <w:rPr>
          <w:sz w:val="20"/>
          <w:szCs w:val="20"/>
          <w:color w:val="auto"/>
        </w:rPr>
      </w:pPr>
    </w:p>
    <w:p>
      <w:pPr>
        <w:ind w:left="500" w:right="40" w:hanging="330"/>
        <w:spacing w:after="0" w:line="278" w:lineRule="auto"/>
        <w:tabs>
          <w:tab w:leader="none" w:pos="489" w:val="left"/>
        </w:tabs>
        <w:numPr>
          <w:ilvl w:val="0"/>
          <w:numId w:val="18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EY’s internal independence assessment </w:t>
      </w:r>
      <w:r>
        <w:rPr>
          <w:rFonts w:ascii="Arial" w:cs="Arial" w:eastAsia="Arial" w:hAnsi="Arial"/>
          <w:sz w:val="17"/>
          <w:szCs w:val="17"/>
          <w:color w:val="000000"/>
        </w:rPr>
        <w:t>- EY conducts periodic internal reviews of its audit and other work, assesses the</w:t>
      </w:r>
      <w:r>
        <w:rPr>
          <w:rFonts w:ascii="Arial" w:cs="Arial" w:eastAsia="Arial" w:hAnsi="Arial"/>
          <w:sz w:val="20"/>
          <w:szCs w:val="20"/>
          <w:b w:val="1"/>
          <w:bCs w:val="1"/>
          <w:color w:val="D52B1E"/>
        </w:rPr>
        <w:t xml:space="preserve"> </w:t>
      </w:r>
      <w:r>
        <w:rPr>
          <w:rFonts w:ascii="Arial" w:cs="Arial" w:eastAsia="Arial" w:hAnsi="Arial"/>
          <w:sz w:val="17"/>
          <w:szCs w:val="17"/>
          <w:color w:val="000000"/>
        </w:rPr>
        <w:t>adequacy of partners and other personnel working on the company’s account and rotates the lead assurance engagement partner, the global coordinating partner, and other partners on the engagement consistent with independence requirements.</w:t>
      </w:r>
    </w:p>
    <w:p>
      <w:pPr>
        <w:spacing w:after="0" w:line="158" w:lineRule="exact"/>
        <w:rPr>
          <w:rFonts w:ascii="Arial" w:cs="Arial" w:eastAsia="Arial" w:hAnsi="Arial"/>
          <w:sz w:val="16"/>
          <w:szCs w:val="16"/>
          <w:b w:val="1"/>
          <w:bCs w:val="1"/>
          <w:color w:val="D52B1E"/>
        </w:rPr>
      </w:pPr>
    </w:p>
    <w:p>
      <w:pPr>
        <w:ind w:left="500" w:right="360" w:hanging="330"/>
        <w:spacing w:after="0" w:line="267" w:lineRule="auto"/>
        <w:tabs>
          <w:tab w:leader="none" w:pos="489" w:val="left"/>
        </w:tabs>
        <w:numPr>
          <w:ilvl w:val="0"/>
          <w:numId w:val="180"/>
        </w:numPr>
        <w:rPr>
          <w:rFonts w:ascii="Arial" w:cs="Arial" w:eastAsia="Arial" w:hAnsi="Arial"/>
          <w:sz w:val="16"/>
          <w:szCs w:val="16"/>
          <w:b w:val="1"/>
          <w:bCs w:val="1"/>
          <w:color w:val="D52B1E"/>
        </w:rPr>
      </w:pPr>
      <w:r>
        <w:rPr>
          <w:rFonts w:ascii="Arial" w:cs="Arial" w:eastAsia="Arial" w:hAnsi="Arial"/>
          <w:sz w:val="20"/>
          <w:szCs w:val="20"/>
          <w:b w:val="1"/>
          <w:bCs w:val="1"/>
          <w:color w:val="D52B1E"/>
        </w:rPr>
        <w:t xml:space="preserve">Limits on non-audit services </w:t>
      </w:r>
      <w:r>
        <w:rPr>
          <w:rFonts w:ascii="Arial" w:cs="Arial" w:eastAsia="Arial" w:hAnsi="Arial"/>
          <w:sz w:val="17"/>
          <w:szCs w:val="17"/>
          <w:color w:val="000000"/>
        </w:rPr>
        <w:t>- The Audit Committee pre-approves audit and permissible non-audit services provided by EY in</w:t>
      </w:r>
      <w:r>
        <w:rPr>
          <w:rFonts w:ascii="Arial" w:cs="Arial" w:eastAsia="Arial" w:hAnsi="Arial"/>
          <w:sz w:val="20"/>
          <w:szCs w:val="20"/>
          <w:b w:val="1"/>
          <w:bCs w:val="1"/>
          <w:color w:val="D52B1E"/>
        </w:rPr>
        <w:t xml:space="preserve"> </w:t>
      </w:r>
      <w:r>
        <w:rPr>
          <w:rFonts w:ascii="Arial" w:cs="Arial" w:eastAsia="Arial" w:hAnsi="Arial"/>
          <w:sz w:val="17"/>
          <w:szCs w:val="17"/>
          <w:color w:val="000000"/>
        </w:rPr>
        <w:t>accordance with its pre-approval policy (described below).</w:t>
      </w:r>
    </w:p>
    <w:p>
      <w:pPr>
        <w:spacing w:after="0" w:line="172" w:lineRule="exact"/>
        <w:rPr>
          <w:sz w:val="20"/>
          <w:szCs w:val="20"/>
          <w:color w:val="auto"/>
        </w:rPr>
      </w:pPr>
    </w:p>
    <w:p>
      <w:pPr>
        <w:ind w:right="420"/>
        <w:spacing w:after="0" w:line="243" w:lineRule="auto"/>
        <w:rPr>
          <w:sz w:val="20"/>
          <w:szCs w:val="20"/>
          <w:color w:val="auto"/>
        </w:rPr>
      </w:pPr>
      <w:r>
        <w:rPr>
          <w:rFonts w:ascii="Arial" w:cs="Arial" w:eastAsia="Arial" w:hAnsi="Arial"/>
          <w:sz w:val="22"/>
          <w:szCs w:val="22"/>
          <w:b w:val="1"/>
          <w:bCs w:val="1"/>
          <w:color w:val="auto"/>
        </w:rPr>
        <w:t xml:space="preserve">Audit Committee Oversight: </w:t>
      </w:r>
      <w:r>
        <w:rPr>
          <w:rFonts w:ascii="Arial" w:cs="Arial" w:eastAsia="Arial" w:hAnsi="Arial"/>
          <w:sz w:val="17"/>
          <w:szCs w:val="17"/>
          <w:color w:val="auto"/>
        </w:rPr>
        <w:t>Oversight includes regular private sessions with EY, discussions on the scope of audit, an annual</w:t>
      </w:r>
      <w:r>
        <w:rPr>
          <w:rFonts w:ascii="Arial" w:cs="Arial" w:eastAsia="Arial" w:hAnsi="Arial"/>
          <w:sz w:val="22"/>
          <w:szCs w:val="22"/>
          <w:b w:val="1"/>
          <w:bCs w:val="1"/>
          <w:color w:val="auto"/>
        </w:rPr>
        <w:t xml:space="preserve"> </w:t>
      </w:r>
      <w:r>
        <w:rPr>
          <w:rFonts w:ascii="Arial" w:cs="Arial" w:eastAsia="Arial" w:hAnsi="Arial"/>
          <w:sz w:val="17"/>
          <w:szCs w:val="17"/>
          <w:color w:val="auto"/>
        </w:rPr>
        <w:t>evaluation (described above) when determining whether to reengage EY and rotation of lead assurance engagement partner and global coordinating partner.</w:t>
      </w:r>
    </w:p>
    <w:p>
      <w:pPr>
        <w:spacing w:after="0" w:line="13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Representatives of EY are expected to participate in the Annual Meeting and will be available to respond to questions. Those representatives will have the opportunity to make a statement if they wish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760720" cy="59118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5760720" cy="591185"/>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ratifying the appointment of EY as the independent auditor for 2026.</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Audit Committee Report</w:t>
      </w:r>
    </w:p>
    <w:p>
      <w:pPr>
        <w:spacing w:after="0" w:line="6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2025, were prepared in accordance with GAAP, and the Audit Committee has reviewed and discussed the audited financial statements and related disclosures with management and the independent auditor, including a review of the significant management judgments underlying the financial statements and disclosures.</w:t>
      </w:r>
    </w:p>
    <w:p>
      <w:pPr>
        <w:spacing w:after="0" w:line="11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independent auditor reports directly to the Audit Committee, which has sole authority to appoint and to replace the independent auditor (subject to shareholder ratification).</w:t>
      </w:r>
    </w:p>
    <w:p>
      <w:pPr>
        <w:spacing w:after="0" w:line="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 required audit partner rotation.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6" w:name="page77"/>
    <w:bookmarkEnd w:id="76"/>
    <w:p>
      <w:pPr>
        <w:spacing w:after="0" w:line="259"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2025, for filing with the SEC. The Audit Committee has also appointed EY as the company’s independent auditor, subject to shareholder ratification, for 2026.</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Jamere Jackson,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Ralph Alvarez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Moeller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Gabrielle Sulzberger</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Services Performed by the Independent Auditor</w:t>
      </w:r>
    </w:p>
    <w:p>
      <w:pPr>
        <w:spacing w:after="0" w:line="6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Audit Committee pre-approves all services performed by the independent auditor, in part to assess whether the provision of such services might impair the auditor’s independence. The Audit Committee’s policy and procedures are as follows:</w:t>
      </w:r>
    </w:p>
    <w:p>
      <w:pPr>
        <w:spacing w:after="0" w:line="157" w:lineRule="exact"/>
        <w:rPr>
          <w:sz w:val="20"/>
          <w:szCs w:val="20"/>
          <w:color w:val="auto"/>
        </w:rPr>
      </w:pPr>
    </w:p>
    <w:p>
      <w:pPr>
        <w:ind w:left="500" w:hanging="330"/>
        <w:spacing w:after="0" w:line="249" w:lineRule="auto"/>
        <w:tabs>
          <w:tab w:leader="none" w:pos="489" w:val="left"/>
        </w:tabs>
        <w:numPr>
          <w:ilvl w:val="0"/>
          <w:numId w:val="181"/>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Audit services: </w:t>
      </w:r>
      <w:r>
        <w:rPr>
          <w:rFonts w:ascii="Arial" w:cs="Arial" w:eastAsia="Arial" w:hAnsi="Arial"/>
          <w:sz w:val="17"/>
          <w:szCs w:val="17"/>
          <w:color w:val="auto"/>
        </w:rPr>
        <w:t>The Audit Committee approves the annual audit services engagement and, if necessary, any changes in terms,</w:t>
      </w:r>
      <w:r>
        <w:rPr>
          <w:rFonts w:ascii="Arial" w:cs="Arial" w:eastAsia="Arial" w:hAnsi="Arial"/>
          <w:sz w:val="22"/>
          <w:szCs w:val="22"/>
          <w:b w:val="1"/>
          <w:bCs w:val="1"/>
          <w:color w:val="auto"/>
        </w:rPr>
        <w:t xml:space="preserve"> </w:t>
      </w:r>
      <w:r>
        <w:rPr>
          <w:rFonts w:ascii="Arial" w:cs="Arial" w:eastAsia="Arial" w:hAnsi="Arial"/>
          <w:sz w:val="17"/>
          <w:szCs w:val="17"/>
          <w:color w:val="auto"/>
        </w:rPr>
        <w:t>conditions, and fees 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spacing w:after="0" w:line="189" w:lineRule="exact"/>
        <w:rPr>
          <w:rFonts w:ascii="Arial" w:cs="Arial" w:eastAsia="Arial" w:hAnsi="Arial"/>
          <w:sz w:val="16"/>
          <w:szCs w:val="16"/>
          <w:b w:val="1"/>
          <w:bCs w:val="1"/>
          <w:color w:val="auto"/>
        </w:rPr>
      </w:pPr>
    </w:p>
    <w:p>
      <w:pPr>
        <w:ind w:left="500" w:right="40" w:hanging="330"/>
        <w:spacing w:after="0" w:line="281" w:lineRule="auto"/>
        <w:tabs>
          <w:tab w:leader="none" w:pos="489" w:val="left"/>
        </w:tabs>
        <w:numPr>
          <w:ilvl w:val="0"/>
          <w:numId w:val="181"/>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Audit-related services: </w:t>
      </w:r>
      <w:r>
        <w:rPr>
          <w:rFonts w:ascii="Arial" w:cs="Arial" w:eastAsia="Arial" w:hAnsi="Arial"/>
          <w:sz w:val="17"/>
          <w:szCs w:val="17"/>
          <w:color w:val="auto"/>
        </w:rPr>
        <w:t>Audit-related services are assurance and related services that are reasonably related to the performance</w:t>
      </w:r>
      <w:r>
        <w:rPr>
          <w:rFonts w:ascii="Arial" w:cs="Arial" w:eastAsia="Arial" w:hAnsi="Arial"/>
          <w:sz w:val="22"/>
          <w:szCs w:val="22"/>
          <w:b w:val="1"/>
          <w:bCs w:val="1"/>
          <w:color w:val="auto"/>
        </w:rPr>
        <w:t xml:space="preserve"> </w:t>
      </w:r>
      <w:r>
        <w:rPr>
          <w:rFonts w:ascii="Arial" w:cs="Arial" w:eastAsia="Arial" w:hAnsi="Arial"/>
          <w:sz w:val="17"/>
          <w:szCs w:val="17"/>
          <w:color w:val="auto"/>
        </w:rPr>
        <w:t>of the audit or reviews of the financial statements, and that are traditionally performed by the independent auditor. The Audit Committee believes that the provision of these services does not impair the independence of the auditor.</w:t>
      </w:r>
    </w:p>
    <w:p>
      <w:pPr>
        <w:spacing w:after="0" w:line="164" w:lineRule="exact"/>
        <w:rPr>
          <w:rFonts w:ascii="Arial" w:cs="Arial" w:eastAsia="Arial" w:hAnsi="Arial"/>
          <w:sz w:val="16"/>
          <w:szCs w:val="16"/>
          <w:b w:val="1"/>
          <w:bCs w:val="1"/>
          <w:color w:val="auto"/>
        </w:rPr>
      </w:pPr>
    </w:p>
    <w:p>
      <w:pPr>
        <w:ind w:left="500" w:right="660" w:hanging="330"/>
        <w:spacing w:after="0" w:line="233" w:lineRule="auto"/>
        <w:tabs>
          <w:tab w:leader="none" w:pos="489" w:val="left"/>
        </w:tabs>
        <w:numPr>
          <w:ilvl w:val="0"/>
          <w:numId w:val="181"/>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Tax services: </w:t>
      </w:r>
      <w:r>
        <w:rPr>
          <w:rFonts w:ascii="Arial" w:cs="Arial" w:eastAsia="Arial" w:hAnsi="Arial"/>
          <w:sz w:val="17"/>
          <w:szCs w:val="17"/>
          <w:color w:val="auto"/>
        </w:rPr>
        <w:t>The Audit Committee believes that, in appropriate cases, the independent auditor can provide tax compliance</w:t>
      </w:r>
      <w:r>
        <w:rPr>
          <w:rFonts w:ascii="Arial" w:cs="Arial" w:eastAsia="Arial" w:hAnsi="Arial"/>
          <w:sz w:val="22"/>
          <w:szCs w:val="22"/>
          <w:b w:val="1"/>
          <w:bCs w:val="1"/>
          <w:color w:val="auto"/>
        </w:rPr>
        <w:t xml:space="preserve"> </w:t>
      </w:r>
      <w:r>
        <w:rPr>
          <w:rFonts w:ascii="Arial" w:cs="Arial" w:eastAsia="Arial" w:hAnsi="Arial"/>
          <w:sz w:val="17"/>
          <w:szCs w:val="17"/>
          <w:color w:val="auto"/>
        </w:rPr>
        <w:t>services, tax planning, and tax advice without impairing the auditor’s independence.</w:t>
      </w:r>
    </w:p>
    <w:p>
      <w:pPr>
        <w:spacing w:after="0" w:line="197" w:lineRule="exact"/>
        <w:rPr>
          <w:rFonts w:ascii="Arial" w:cs="Arial" w:eastAsia="Arial" w:hAnsi="Arial"/>
          <w:sz w:val="16"/>
          <w:szCs w:val="16"/>
          <w:b w:val="1"/>
          <w:bCs w:val="1"/>
          <w:color w:val="auto"/>
        </w:rPr>
      </w:pPr>
    </w:p>
    <w:p>
      <w:pPr>
        <w:ind w:left="500" w:right="140" w:hanging="330"/>
        <w:spacing w:after="0" w:line="243" w:lineRule="auto"/>
        <w:tabs>
          <w:tab w:leader="none" w:pos="489" w:val="left"/>
        </w:tabs>
        <w:numPr>
          <w:ilvl w:val="0"/>
          <w:numId w:val="181"/>
        </w:numPr>
        <w:rPr>
          <w:rFonts w:ascii="Arial" w:cs="Arial" w:eastAsia="Arial" w:hAnsi="Arial"/>
          <w:sz w:val="16"/>
          <w:szCs w:val="16"/>
          <w:b w:val="1"/>
          <w:bCs w:val="1"/>
          <w:color w:val="auto"/>
        </w:rPr>
      </w:pPr>
      <w:r>
        <w:rPr>
          <w:rFonts w:ascii="Arial" w:cs="Arial" w:eastAsia="Arial" w:hAnsi="Arial"/>
          <w:sz w:val="22"/>
          <w:szCs w:val="22"/>
          <w:b w:val="1"/>
          <w:bCs w:val="1"/>
          <w:color w:val="auto"/>
        </w:rPr>
        <w:t xml:space="preserve">Other services: </w:t>
      </w:r>
      <w:r>
        <w:rPr>
          <w:rFonts w:ascii="Arial" w:cs="Arial" w:eastAsia="Arial" w:hAnsi="Arial"/>
          <w:sz w:val="17"/>
          <w:szCs w:val="17"/>
          <w:color w:val="auto"/>
        </w:rPr>
        <w:t>The Audit Committee may approve other services to be provided by the independent auditor if (i) the services are</w:t>
      </w:r>
      <w:r>
        <w:rPr>
          <w:rFonts w:ascii="Arial" w:cs="Arial" w:eastAsia="Arial" w:hAnsi="Arial"/>
          <w:sz w:val="22"/>
          <w:szCs w:val="22"/>
          <w:b w:val="1"/>
          <w:bCs w:val="1"/>
          <w:color w:val="auto"/>
        </w:rPr>
        <w:t xml:space="preserve"> </w:t>
      </w:r>
      <w:r>
        <w:rPr>
          <w:rFonts w:ascii="Arial" w:cs="Arial" w:eastAsia="Arial" w:hAnsi="Arial"/>
          <w:sz w:val="17"/>
          <w:szCs w:val="17"/>
          <w:color w:val="auto"/>
        </w:rPr>
        <w:t>permissible under SEC and PCAOB rules, (ii) the Audit Committee believes the provision of the services would not impair the independence of the auditor, and (iii) management believes that the auditor is the best choice to provide the services.</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Pre-approval process: </w:t>
      </w:r>
      <w:r>
        <w:rPr>
          <w:rFonts w:ascii="Arial" w:cs="Arial" w:eastAsia="Arial" w:hAnsi="Arial"/>
          <w:sz w:val="17"/>
          <w:szCs w:val="17"/>
          <w:color w:val="auto"/>
        </w:rPr>
        <w:t>At the beginning of each audit year, management requests pre-approval from the Audit Committee of the</w:t>
      </w:r>
      <w:r>
        <w:rPr>
          <w:rFonts w:ascii="Arial" w:cs="Arial" w:eastAsia="Arial" w:hAnsi="Arial"/>
          <w:sz w:val="22"/>
          <w:szCs w:val="22"/>
          <w:b w:val="1"/>
          <w:bCs w:val="1"/>
          <w:color w:val="auto"/>
        </w:rPr>
        <w:t xml:space="preserve"> </w:t>
      </w:r>
      <w:r>
        <w:rPr>
          <w:rFonts w:ascii="Arial" w:cs="Arial" w:eastAsia="Arial" w:hAnsi="Arial"/>
          <w:sz w:val="17"/>
          <w:szCs w:val="17"/>
          <w:color w:val="auto"/>
        </w:rPr>
        <w:t>annual audit, statutory 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spacing w:after="0" w:line="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After the end of the audit year, management provides the committee with a summary of the actual fees incurred for the completed audit year.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Arial" w:cs="Arial" w:eastAsia="Arial" w:hAnsi="Arial"/>
          <w:sz w:val="25"/>
          <w:szCs w:val="25"/>
          <w:b w:val="1"/>
          <w:bCs w:val="1"/>
          <w:color w:val="0F3A85"/>
        </w:rPr>
        <w:t>Independent Auditor Fees</w:t>
      </w:r>
    </w:p>
    <w:p>
      <w:pPr>
        <w:spacing w:after="0" w:line="6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shows the fees incurred for services rendered on a worldwide basis by EY in 2025 and 2024. All such services were pre-approved by the Audit Committee in accordance with the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67499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r>
      <w:tr>
        <w:trPr>
          <w:trHeight w:val="255"/>
        </w:trPr>
        <w:tc>
          <w:tcPr>
            <w:tcW w:w="1300" w:type="dxa"/>
            <w:vAlign w:val="bottom"/>
            <w:tcBorders>
              <w:bottom w:val="single" w:sz="8" w:color="auto"/>
            </w:tcBorders>
          </w:tcPr>
          <w:p>
            <w:pPr>
              <w:spacing w:after="0"/>
              <w:rPr>
                <w:sz w:val="22"/>
                <w:szCs w:val="22"/>
                <w:color w:val="auto"/>
              </w:rPr>
            </w:pPr>
          </w:p>
        </w:tc>
        <w:tc>
          <w:tcPr>
            <w:tcW w:w="5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 millions)*</w:t>
            </w: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 millions)*</w:t>
            </w:r>
          </w:p>
        </w:tc>
      </w:tr>
      <w:tr>
        <w:trPr>
          <w:trHeight w:val="224"/>
        </w:trPr>
        <w:tc>
          <w:tcPr>
            <w:tcW w:w="1300" w:type="dxa"/>
            <w:vAlign w:val="bottom"/>
            <w:shd w:val="clear" w:color="auto" w:fill="F2F2F2"/>
          </w:tcPr>
          <w:p>
            <w:pPr>
              <w:ind w:left="20"/>
              <w:spacing w:after="0"/>
              <w:rPr>
                <w:sz w:val="20"/>
                <w:szCs w:val="20"/>
                <w:color w:val="auto"/>
              </w:rPr>
            </w:pPr>
            <w:r>
              <w:rPr>
                <w:rFonts w:ascii="Arial" w:cs="Arial" w:eastAsia="Arial" w:hAnsi="Arial"/>
                <w:sz w:val="18"/>
                <w:szCs w:val="18"/>
                <w:b w:val="1"/>
                <w:bCs w:val="1"/>
                <w:color w:val="auto"/>
              </w:rPr>
              <w:t>Audit Fees</w:t>
            </w:r>
          </w:p>
        </w:tc>
        <w:tc>
          <w:tcPr>
            <w:tcW w:w="5160" w:type="dxa"/>
            <w:vAlign w:val="bottom"/>
            <w:shd w:val="clear" w:color="auto" w:fill="F2F2F2"/>
          </w:tcPr>
          <w:p>
            <w:pPr>
              <w:ind w:left="100"/>
              <w:spacing w:after="0"/>
              <w:rPr>
                <w:sz w:val="20"/>
                <w:szCs w:val="20"/>
                <w:color w:val="auto"/>
              </w:rPr>
            </w:pPr>
            <w:r>
              <w:rPr>
                <w:rFonts w:ascii="Arial" w:cs="Arial" w:eastAsia="Arial" w:hAnsi="Arial"/>
                <w:sz w:val="18"/>
                <w:szCs w:val="18"/>
                <w:color w:val="auto"/>
              </w:rPr>
              <w:t>Annual audit of consolidated and subsidiary financial</w:t>
            </w:r>
          </w:p>
        </w:tc>
        <w:tc>
          <w:tcPr>
            <w:tcW w:w="122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$17.4</w:t>
            </w:r>
          </w:p>
        </w:tc>
        <w:tc>
          <w:tcPr>
            <w:tcW w:w="126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7"/>
              </w:rPr>
              <w:t>$16.1</w:t>
            </w:r>
          </w:p>
        </w:tc>
      </w:tr>
      <w:tr>
        <w:trPr>
          <w:trHeight w:val="216"/>
        </w:trPr>
        <w:tc>
          <w:tcPr>
            <w:tcW w:w="1300" w:type="dxa"/>
            <w:vAlign w:val="bottom"/>
            <w:shd w:val="clear" w:color="auto" w:fill="F2F2F2"/>
          </w:tcPr>
          <w:p>
            <w:pPr>
              <w:spacing w:after="0"/>
              <w:rPr>
                <w:sz w:val="18"/>
                <w:szCs w:val="18"/>
                <w:color w:val="auto"/>
              </w:rPr>
            </w:pPr>
          </w:p>
        </w:tc>
        <w:tc>
          <w:tcPr>
            <w:tcW w:w="5160" w:type="dxa"/>
            <w:vAlign w:val="bottom"/>
            <w:shd w:val="clear" w:color="auto" w:fill="F2F2F2"/>
          </w:tcPr>
          <w:p>
            <w:pPr>
              <w:ind w:left="100"/>
              <w:spacing w:after="0"/>
              <w:rPr>
                <w:sz w:val="20"/>
                <w:szCs w:val="20"/>
                <w:color w:val="auto"/>
              </w:rPr>
            </w:pPr>
            <w:r>
              <w:rPr>
                <w:rFonts w:ascii="Arial" w:cs="Arial" w:eastAsia="Arial" w:hAnsi="Arial"/>
                <w:sz w:val="18"/>
                <w:szCs w:val="18"/>
                <w:color w:val="auto"/>
              </w:rPr>
              <w:t>statements, including Sarbanes-Oxley 404 attestation, reviews</w:t>
            </w:r>
          </w:p>
        </w:tc>
        <w:tc>
          <w:tcPr>
            <w:tcW w:w="1220" w:type="dxa"/>
            <w:vAlign w:val="bottom"/>
            <w:shd w:val="clear" w:color="auto" w:fill="F2F2F2"/>
          </w:tcPr>
          <w:p>
            <w:pPr>
              <w:spacing w:after="0"/>
              <w:rPr>
                <w:sz w:val="18"/>
                <w:szCs w:val="18"/>
                <w:color w:val="auto"/>
              </w:rPr>
            </w:pPr>
          </w:p>
        </w:tc>
        <w:tc>
          <w:tcPr>
            <w:tcW w:w="1260" w:type="dxa"/>
            <w:vAlign w:val="bottom"/>
            <w:shd w:val="clear" w:color="auto" w:fill="F2F2F2"/>
          </w:tcPr>
          <w:p>
            <w:pPr>
              <w:spacing w:after="0"/>
              <w:rPr>
                <w:sz w:val="18"/>
                <w:szCs w:val="18"/>
                <w:color w:val="auto"/>
              </w:rPr>
            </w:pPr>
          </w:p>
        </w:tc>
      </w:tr>
      <w:tr>
        <w:trPr>
          <w:trHeight w:val="242"/>
        </w:trPr>
        <w:tc>
          <w:tcPr>
            <w:tcW w:w="1300" w:type="dxa"/>
            <w:vAlign w:val="bottom"/>
            <w:tcBorders>
              <w:bottom w:val="single" w:sz="8" w:color="F2F2F2"/>
            </w:tcBorders>
            <w:shd w:val="clear" w:color="auto" w:fill="F2F2F2"/>
          </w:tcPr>
          <w:p>
            <w:pPr>
              <w:spacing w:after="0"/>
              <w:rPr>
                <w:sz w:val="21"/>
                <w:szCs w:val="21"/>
                <w:color w:val="auto"/>
              </w:rPr>
            </w:pPr>
          </w:p>
        </w:tc>
        <w:tc>
          <w:tcPr>
            <w:tcW w:w="51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8"/>
                <w:szCs w:val="18"/>
                <w:color w:val="auto"/>
              </w:rPr>
              <w:t>of quarterly financial statements</w:t>
            </w:r>
          </w:p>
        </w:tc>
        <w:tc>
          <w:tcPr>
            <w:tcW w:w="1220" w:type="dxa"/>
            <w:vAlign w:val="bottom"/>
            <w:tcBorders>
              <w:bottom w:val="single" w:sz="8" w:color="F2F2F2"/>
            </w:tcBorders>
            <w:shd w:val="clear" w:color="auto" w:fill="F2F2F2"/>
          </w:tcPr>
          <w:p>
            <w:pPr>
              <w:spacing w:after="0"/>
              <w:rPr>
                <w:sz w:val="21"/>
                <w:szCs w:val="21"/>
                <w:color w:val="auto"/>
              </w:rPr>
            </w:pPr>
          </w:p>
        </w:tc>
        <w:tc>
          <w:tcPr>
            <w:tcW w:w="1260" w:type="dxa"/>
            <w:vAlign w:val="bottom"/>
            <w:tcBorders>
              <w:bottom w:val="single" w:sz="8" w:color="F2F2F2"/>
            </w:tcBorders>
            <w:shd w:val="clear" w:color="auto" w:fill="F2F2F2"/>
          </w:tcPr>
          <w:p>
            <w:pPr>
              <w:spacing w:after="0"/>
              <w:rPr>
                <w:sz w:val="21"/>
                <w:szCs w:val="21"/>
                <w:color w:val="auto"/>
              </w:rPr>
            </w:pPr>
          </w:p>
        </w:tc>
      </w:tr>
      <w:tr>
        <w:trPr>
          <w:trHeight w:val="224"/>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Audit-Related</w:t>
            </w:r>
          </w:p>
        </w:tc>
        <w:tc>
          <w:tcPr>
            <w:tcW w:w="5160" w:type="dxa"/>
            <w:vAlign w:val="bottom"/>
          </w:tcPr>
          <w:p>
            <w:pPr>
              <w:ind w:left="100"/>
              <w:spacing w:after="0"/>
              <w:rPr>
                <w:sz w:val="20"/>
                <w:szCs w:val="20"/>
                <w:color w:val="auto"/>
              </w:rPr>
            </w:pPr>
            <w:r>
              <w:rPr>
                <w:rFonts w:ascii="Arial" w:cs="Arial" w:eastAsia="Arial" w:hAnsi="Arial"/>
                <w:sz w:val="18"/>
                <w:szCs w:val="18"/>
                <w:color w:val="auto"/>
              </w:rPr>
              <w:t>Primarily related to assurance and related services reasonably</w:t>
            </w: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$0.8</w:t>
            </w:r>
          </w:p>
        </w:tc>
        <w:tc>
          <w:tcPr>
            <w:tcW w:w="1260" w:type="dxa"/>
            <w:vAlign w:val="bottom"/>
          </w:tcPr>
          <w:p>
            <w:pPr>
              <w:jc w:val="center"/>
              <w:spacing w:after="0"/>
              <w:rPr>
                <w:sz w:val="20"/>
                <w:szCs w:val="20"/>
                <w:color w:val="auto"/>
              </w:rPr>
            </w:pPr>
            <w:r>
              <w:rPr>
                <w:rFonts w:ascii="Arial" w:cs="Arial" w:eastAsia="Arial" w:hAnsi="Arial"/>
                <w:sz w:val="18"/>
                <w:szCs w:val="18"/>
                <w:color w:val="auto"/>
              </w:rPr>
              <w:t>$1.3</w:t>
            </w:r>
          </w:p>
        </w:tc>
      </w:tr>
      <w:tr>
        <w:trPr>
          <w:trHeight w:val="216"/>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Fees</w:t>
            </w:r>
          </w:p>
        </w:tc>
        <w:tc>
          <w:tcPr>
            <w:tcW w:w="5160" w:type="dxa"/>
            <w:vAlign w:val="bottom"/>
          </w:tcPr>
          <w:p>
            <w:pPr>
              <w:ind w:left="100"/>
              <w:spacing w:after="0"/>
              <w:rPr>
                <w:sz w:val="20"/>
                <w:szCs w:val="20"/>
                <w:color w:val="auto"/>
              </w:rPr>
            </w:pPr>
            <w:r>
              <w:rPr>
                <w:rFonts w:ascii="Arial" w:cs="Arial" w:eastAsia="Arial" w:hAnsi="Arial"/>
                <w:sz w:val="18"/>
                <w:szCs w:val="18"/>
                <w:color w:val="auto"/>
              </w:rPr>
              <w:t>related to the performance of the audit or reviews of the</w:t>
            </w: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financial statements primarily related to employee benefit plan</w:t>
            </w: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and other ancillary audits, and due diligence services on</w:t>
            </w: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9"/>
        </w:trPr>
        <w:tc>
          <w:tcPr>
            <w:tcW w:w="1300" w:type="dxa"/>
            <w:vAlign w:val="bottom"/>
          </w:tcPr>
          <w:p>
            <w:pPr>
              <w:spacing w:after="0"/>
              <w:rPr>
                <w:sz w:val="20"/>
                <w:szCs w:val="20"/>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potential acquisitions</w:t>
            </w: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
        </w:trPr>
        <w:tc>
          <w:tcPr>
            <w:tcW w:w="13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4"/>
        </w:trPr>
        <w:tc>
          <w:tcPr>
            <w:tcW w:w="1300" w:type="dxa"/>
            <w:vAlign w:val="bottom"/>
            <w:shd w:val="clear" w:color="auto" w:fill="F2F2F2"/>
          </w:tcPr>
          <w:p>
            <w:pPr>
              <w:ind w:left="20"/>
              <w:spacing w:after="0"/>
              <w:rPr>
                <w:sz w:val="20"/>
                <w:szCs w:val="20"/>
                <w:color w:val="auto"/>
              </w:rPr>
            </w:pPr>
            <w:r>
              <w:rPr>
                <w:rFonts w:ascii="Arial" w:cs="Arial" w:eastAsia="Arial" w:hAnsi="Arial"/>
                <w:sz w:val="18"/>
                <w:szCs w:val="18"/>
                <w:b w:val="1"/>
                <w:bCs w:val="1"/>
                <w:color w:val="auto"/>
              </w:rPr>
              <w:t>Tax Fees</w:t>
            </w:r>
          </w:p>
        </w:tc>
        <w:tc>
          <w:tcPr>
            <w:tcW w:w="5160" w:type="dxa"/>
            <w:vAlign w:val="bottom"/>
            <w:shd w:val="clear" w:color="auto" w:fill="F2F2F2"/>
          </w:tcPr>
          <w:p>
            <w:pPr>
              <w:ind w:left="100"/>
              <w:spacing w:after="0"/>
              <w:rPr>
                <w:sz w:val="20"/>
                <w:szCs w:val="20"/>
                <w:color w:val="auto"/>
              </w:rPr>
            </w:pPr>
            <w:r>
              <w:rPr>
                <w:rFonts w:ascii="Arial" w:cs="Arial" w:eastAsia="Arial" w:hAnsi="Arial"/>
                <w:sz w:val="18"/>
                <w:szCs w:val="18"/>
                <w:color w:val="auto"/>
              </w:rPr>
              <w:t>Tax compliance services, tax planning, tax advice</w:t>
            </w:r>
          </w:p>
        </w:tc>
        <w:tc>
          <w:tcPr>
            <w:tcW w:w="12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6"/>
              </w:rPr>
              <w:t>$1.4</w:t>
            </w:r>
          </w:p>
        </w:tc>
        <w:tc>
          <w:tcPr>
            <w:tcW w:w="12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$1.2</w:t>
            </w:r>
          </w:p>
        </w:tc>
      </w:tr>
      <w:tr>
        <w:trPr>
          <w:trHeight w:val="239"/>
        </w:trPr>
        <w:tc>
          <w:tcPr>
            <w:tcW w:w="1300" w:type="dxa"/>
            <w:vAlign w:val="bottom"/>
            <w:shd w:val="clear" w:color="auto" w:fill="F2F2F2"/>
          </w:tcPr>
          <w:p>
            <w:pPr>
              <w:spacing w:after="0"/>
              <w:rPr>
                <w:sz w:val="20"/>
                <w:szCs w:val="20"/>
                <w:color w:val="auto"/>
              </w:rPr>
            </w:pPr>
          </w:p>
        </w:tc>
        <w:tc>
          <w:tcPr>
            <w:tcW w:w="5160" w:type="dxa"/>
            <w:vAlign w:val="bottom"/>
            <w:shd w:val="clear" w:color="auto" w:fill="F2F2F2"/>
          </w:tcPr>
          <w:p>
            <w:pPr>
              <w:ind w:left="100"/>
              <w:spacing w:after="0"/>
              <w:rPr>
                <w:sz w:val="20"/>
                <w:szCs w:val="20"/>
                <w:color w:val="auto"/>
              </w:rPr>
            </w:pPr>
            <w:r>
              <w:rPr>
                <w:rFonts w:ascii="Arial" w:cs="Arial" w:eastAsia="Arial" w:hAnsi="Arial"/>
                <w:sz w:val="18"/>
                <w:szCs w:val="18"/>
                <w:color w:val="auto"/>
              </w:rPr>
              <w:t>Primarily related to consulting and compliance services</w:t>
            </w:r>
          </w:p>
        </w:tc>
        <w:tc>
          <w:tcPr>
            <w:tcW w:w="1220" w:type="dxa"/>
            <w:vAlign w:val="bottom"/>
            <w:shd w:val="clear" w:color="auto" w:fill="F2F2F2"/>
          </w:tcPr>
          <w:p>
            <w:pPr>
              <w:spacing w:after="0"/>
              <w:rPr>
                <w:sz w:val="20"/>
                <w:szCs w:val="20"/>
                <w:color w:val="auto"/>
              </w:rPr>
            </w:pPr>
          </w:p>
        </w:tc>
        <w:tc>
          <w:tcPr>
            <w:tcW w:w="1260" w:type="dxa"/>
            <w:vAlign w:val="bottom"/>
            <w:shd w:val="clear" w:color="auto" w:fill="F2F2F2"/>
          </w:tcPr>
          <w:p>
            <w:pPr>
              <w:spacing w:after="0"/>
              <w:rPr>
                <w:sz w:val="20"/>
                <w:szCs w:val="20"/>
                <w:color w:val="auto"/>
              </w:rPr>
            </w:pPr>
          </w:p>
        </w:tc>
      </w:tr>
      <w:tr>
        <w:trPr>
          <w:trHeight w:val="185"/>
        </w:trPr>
        <w:tc>
          <w:tcPr>
            <w:tcW w:w="1300" w:type="dxa"/>
            <w:vAlign w:val="bottom"/>
            <w:shd w:val="clear" w:color="auto" w:fill="F2F2F2"/>
          </w:tcPr>
          <w:p>
            <w:pPr>
              <w:spacing w:after="0"/>
              <w:rPr>
                <w:sz w:val="16"/>
                <w:szCs w:val="16"/>
                <w:color w:val="auto"/>
              </w:rPr>
            </w:pPr>
          </w:p>
        </w:tc>
        <w:tc>
          <w:tcPr>
            <w:tcW w:w="5160" w:type="dxa"/>
            <w:vAlign w:val="bottom"/>
            <w:shd w:val="clear" w:color="auto" w:fill="F2F2F2"/>
          </w:tcPr>
          <w:p>
            <w:pPr>
              <w:spacing w:after="0"/>
              <w:rPr>
                <w:sz w:val="16"/>
                <w:szCs w:val="16"/>
                <w:color w:val="auto"/>
              </w:rPr>
            </w:pPr>
          </w:p>
        </w:tc>
        <w:tc>
          <w:tcPr>
            <w:tcW w:w="1220" w:type="dxa"/>
            <w:vAlign w:val="bottom"/>
            <w:shd w:val="clear" w:color="auto" w:fill="F2F2F2"/>
          </w:tcPr>
          <w:p>
            <w:pPr>
              <w:spacing w:after="0"/>
              <w:rPr>
                <w:sz w:val="16"/>
                <w:szCs w:val="16"/>
                <w:color w:val="auto"/>
              </w:rPr>
            </w:pPr>
          </w:p>
        </w:tc>
        <w:tc>
          <w:tcPr>
            <w:tcW w:w="1260" w:type="dxa"/>
            <w:vAlign w:val="bottom"/>
            <w:shd w:val="clear" w:color="auto" w:fill="F2F2F2"/>
          </w:tcPr>
          <w:p>
            <w:pPr>
              <w:spacing w:after="0"/>
              <w:rPr>
                <w:sz w:val="16"/>
                <w:szCs w:val="16"/>
                <w:color w:val="auto"/>
              </w:rPr>
            </w:pPr>
          </w:p>
        </w:tc>
      </w:tr>
      <w:tr>
        <w:trPr>
          <w:trHeight w:val="26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w:t>
            </w:r>
          </w:p>
        </w:tc>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Advisory services related to regulatory and contractual matters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$0.2</w:t>
            </w:r>
          </w:p>
        </w:tc>
      </w:tr>
      <w:tr>
        <w:trPr>
          <w:trHeight w:val="263"/>
        </w:trPr>
        <w:tc>
          <w:tcPr>
            <w:tcW w:w="1300" w:type="dxa"/>
            <w:vAlign w:val="bottom"/>
            <w:tcBorders>
              <w:bottom w:val="single" w:sz="8" w:color="auto"/>
            </w:tcBorders>
            <w:shd w:val="clear" w:color="auto" w:fill="F2F2F2"/>
          </w:tcPr>
          <w:p>
            <w:pPr>
              <w:ind w:left="20"/>
              <w:spacing w:after="0"/>
              <w:rPr>
                <w:sz w:val="20"/>
                <w:szCs w:val="20"/>
                <w:color w:val="auto"/>
              </w:rPr>
            </w:pPr>
            <w:r>
              <w:rPr>
                <w:rFonts w:ascii="Arial" w:cs="Arial" w:eastAsia="Arial" w:hAnsi="Arial"/>
                <w:sz w:val="18"/>
                <w:szCs w:val="18"/>
                <w:b w:val="1"/>
                <w:bCs w:val="1"/>
                <w:color w:val="auto"/>
              </w:rPr>
              <w:t>Total</w:t>
            </w:r>
          </w:p>
        </w:tc>
        <w:tc>
          <w:tcPr>
            <w:tcW w:w="5160" w:type="dxa"/>
            <w:vAlign w:val="bottom"/>
            <w:tcBorders>
              <w:bottom w:val="single" w:sz="8" w:color="auto"/>
            </w:tcBorders>
            <w:shd w:val="clear" w:color="auto" w:fill="F2F2F2"/>
          </w:tcPr>
          <w:p>
            <w:pPr>
              <w:spacing w:after="0"/>
              <w:rPr>
                <w:sz w:val="22"/>
                <w:szCs w:val="22"/>
                <w:color w:val="auto"/>
              </w:rPr>
            </w:pPr>
          </w:p>
        </w:tc>
        <w:tc>
          <w:tcPr>
            <w:tcW w:w="122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rPr>
              <w:t>$19.6</w:t>
            </w:r>
          </w:p>
        </w:tc>
        <w:tc>
          <w:tcPr>
            <w:tcW w:w="1260" w:type="dxa"/>
            <w:vAlign w:val="bottom"/>
            <w:tcBorders>
              <w:bottom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7"/>
              </w:rPr>
              <w:t>$18.8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Numbers may not add due to rounding</w:t>
      </w:r>
    </w:p>
    <w:p>
      <w:pPr>
        <w:spacing w:after="0" w:line="366"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Management Proposals</w:t>
      </w:r>
    </w:p>
    <w:p>
      <w:pPr>
        <w:spacing w:after="0" w:line="200" w:lineRule="exact"/>
        <w:rPr>
          <w:sz w:val="20"/>
          <w:szCs w:val="20"/>
          <w:color w:val="auto"/>
        </w:rPr>
      </w:pPr>
    </w:p>
    <w:p>
      <w:pPr>
        <w:spacing w:after="0" w:line="211" w:lineRule="exact"/>
        <w:rPr>
          <w:sz w:val="20"/>
          <w:szCs w:val="20"/>
          <w:color w:val="auto"/>
        </w:rPr>
      </w:pPr>
    </w:p>
    <w:p>
      <w:pPr>
        <w:ind w:right="500"/>
        <w:spacing w:after="0" w:line="276" w:lineRule="auto"/>
        <w:rPr>
          <w:sz w:val="20"/>
          <w:szCs w:val="20"/>
          <w:color w:val="auto"/>
        </w:rPr>
      </w:pPr>
      <w:r>
        <w:rPr>
          <w:rFonts w:ascii="Arial" w:cs="Arial" w:eastAsia="Arial" w:hAnsi="Arial"/>
          <w:sz w:val="32"/>
          <w:szCs w:val="32"/>
          <w:b w:val="1"/>
          <w:bCs w:val="1"/>
          <w:color w:val="D52B1E"/>
        </w:rPr>
        <w:t>Item 4. Proposal to Amend the Company’s Articles of Incorporation to Eliminate the Classified Board Structure</w:t>
      </w:r>
    </w:p>
    <w:p>
      <w:pPr>
        <w:spacing w:after="0" w:line="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2025,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approved, the Declassification Amendments would become effective following the Annual Meeting upon the company making the required filings of the Declassification Amendments with the Secretary of State of Indiana. Directors elected prior to the effectiveness of the Declassification Amendments would serve the remainder of their respective three-year terms and each director elected after the Annual Meeting would serve a one-year term, ending at the next annual meeting of shareholders. Thereafter, the company’s classified board structure would be fully eliminated starting with the 2029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 by appointment by the board of a new director to serve until the end of the term of the director being replaced. This proposal would not change the present number of directors or the board’s authority to change that number and to fill any vacancies or newly created directorships.</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Background of Proposal</w:t>
      </w:r>
    </w:p>
    <w:p>
      <w:pPr>
        <w:spacing w:after="0" w:line="6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part of its ongoing review of corporate governance matters, the board, taking into account the input of the Directors and Corporate Governance Committee, considered the advantages and disadvantages of maintaining the classified board structure. The board considered the view of certain shareholders who believe that classified boards have the effect of reducing the accountability of directors to shareholders because shareholders are</w:t>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78" w:name="page79"/>
    <w:bookmarkEnd w:id="78"/>
    <w:p>
      <w:pPr>
        <w:ind w:right="80"/>
        <w:spacing w:after="0" w:line="287" w:lineRule="auto"/>
        <w:rPr>
          <w:sz w:val="20"/>
          <w:szCs w:val="20"/>
          <w:color w:val="auto"/>
        </w:rPr>
      </w:pPr>
      <w:r>
        <w:rPr>
          <w:rFonts w:ascii="Arial" w:cs="Arial" w:eastAsia="Arial" w:hAnsi="Arial"/>
          <w:sz w:val="18"/>
          <w:szCs w:val="18"/>
          <w:color w:val="auto"/>
        </w:rPr>
        <w:t>unable to evaluate and consider all directors for election on an annual basis. The board gave considerable weight to the favorable votes of a strong majority of the outstanding shares for management’s proposals in prior years.</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board also considered the benefits of retaining the classified board structure. A classified structure may promote shareholder value by providing continuity and stability in the management of the business and affairs of the company, as a majority of the board always has prior experience as directors of the company. In addition, under certain circumstances, classified boards may protect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would have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balancing these interests, the board has decided to resubmit this proposal to eliminate the classified board structure. The affirmative vote of at least 80 percent of the outstanding shares of common stock is needed to approve this proposal. Unless such vote is received, the present classification of the board will continue.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Text of the Amendments</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Article 9(b) of the company’s articles of incorporation contains the provisions that will be affected if this proposal is adopted. This article, set forth in </w:t>
      </w:r>
      <w:r>
        <w:rPr>
          <w:rFonts w:ascii="Arial" w:cs="Arial" w:eastAsia="Arial" w:hAnsi="Arial"/>
          <w:sz w:val="18"/>
          <w:szCs w:val="18"/>
          <w:u w:val="single" w:color="auto"/>
          <w:color w:val="0000FF"/>
        </w:rPr>
        <w:t>Appendix B</w:t>
      </w:r>
      <w:r>
        <w:rPr>
          <w:rFonts w:ascii="Arial" w:cs="Arial" w:eastAsia="Arial" w:hAnsi="Arial"/>
          <w:sz w:val="18"/>
          <w:szCs w:val="18"/>
          <w:color w:val="auto"/>
        </w:rPr>
        <w:t xml:space="preserve"> 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0720" cy="72898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36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amending the company’s articles of incorporation to eliminate the classified board structure.</w:t>
      </w:r>
    </w:p>
    <w:p>
      <w:pPr>
        <w:spacing w:after="0" w:line="200" w:lineRule="exact"/>
        <w:rPr>
          <w:sz w:val="20"/>
          <w:szCs w:val="20"/>
          <w:color w:val="auto"/>
        </w:rPr>
      </w:pPr>
    </w:p>
    <w:p>
      <w:pPr>
        <w:spacing w:after="0" w:line="393" w:lineRule="exact"/>
        <w:rPr>
          <w:sz w:val="20"/>
          <w:szCs w:val="20"/>
          <w:color w:val="auto"/>
        </w:rPr>
      </w:pPr>
    </w:p>
    <w:p>
      <w:pPr>
        <w:ind w:right="480"/>
        <w:spacing w:after="0" w:line="276" w:lineRule="auto"/>
        <w:rPr>
          <w:sz w:val="20"/>
          <w:szCs w:val="20"/>
          <w:color w:val="auto"/>
        </w:rPr>
      </w:pPr>
      <w:r>
        <w:rPr>
          <w:rFonts w:ascii="Arial" w:cs="Arial" w:eastAsia="Arial" w:hAnsi="Arial"/>
          <w:sz w:val="32"/>
          <w:szCs w:val="32"/>
          <w:b w:val="1"/>
          <w:bCs w:val="1"/>
          <w:color w:val="D52B1E"/>
        </w:rPr>
        <w:t>Item 5. Proposal to Amend the Company’s Articles of Incorporation to Eliminate Supermajority Voting Provisions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company’s articles of incorporation provide that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w:t>
      </w:r>
    </w:p>
    <w:p>
      <w:pPr>
        <w:spacing w:after="0" w:line="117" w:lineRule="exact"/>
        <w:rPr>
          <w:sz w:val="20"/>
          <w:szCs w:val="20"/>
          <w:color w:val="auto"/>
        </w:rPr>
      </w:pPr>
    </w:p>
    <w:p>
      <w:pPr>
        <w:ind w:left="480" w:hanging="310"/>
        <w:spacing w:after="0"/>
        <w:tabs>
          <w:tab w:leader="none" w:pos="480" w:val="left"/>
        </w:tabs>
        <w:numPr>
          <w:ilvl w:val="0"/>
          <w:numId w:val="182"/>
        </w:numPr>
        <w:rPr>
          <w:rFonts w:ascii="Arial" w:cs="Arial" w:eastAsia="Arial" w:hAnsi="Arial"/>
          <w:sz w:val="16"/>
          <w:szCs w:val="16"/>
          <w:color w:val="auto"/>
        </w:rPr>
      </w:pPr>
      <w:r>
        <w:rPr>
          <w:rFonts w:ascii="Arial" w:cs="Arial" w:eastAsia="Arial" w:hAnsi="Arial"/>
          <w:sz w:val="18"/>
          <w:szCs w:val="18"/>
          <w:color w:val="auto"/>
        </w:rPr>
        <w:t>amending certain provisions of the articles of incorporation that relate to the number and terms of office of directors:</w:t>
      </w:r>
    </w:p>
    <w:p>
      <w:pPr>
        <w:spacing w:after="0" w:line="17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  the company’s classified board structure (as described under Item 4)</w:t>
      </w:r>
    </w:p>
    <w:p>
      <w:pPr>
        <w:spacing w:after="0" w:line="171"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  a provision that the number of directors shall be specified solely by resolution of the board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82"/>
        </w:numPr>
        <w:rPr>
          <w:rFonts w:ascii="Arial" w:cs="Arial" w:eastAsia="Arial" w:hAnsi="Arial"/>
          <w:sz w:val="16"/>
          <w:szCs w:val="16"/>
          <w:color w:val="auto"/>
        </w:rPr>
      </w:pPr>
      <w:r>
        <w:rPr>
          <w:rFonts w:ascii="Arial" w:cs="Arial" w:eastAsia="Arial" w:hAnsi="Arial"/>
          <w:sz w:val="18"/>
          <w:szCs w:val="18"/>
          <w:color w:val="auto"/>
        </w:rPr>
        <w:t>removing directors prior to the end of their elected term</w:t>
      </w:r>
    </w:p>
    <w:p>
      <w:pPr>
        <w:spacing w:after="0" w:line="171" w:lineRule="exact"/>
        <w:rPr>
          <w:rFonts w:ascii="Arial" w:cs="Arial" w:eastAsia="Arial" w:hAnsi="Arial"/>
          <w:sz w:val="16"/>
          <w:szCs w:val="16"/>
          <w:color w:val="auto"/>
        </w:rPr>
      </w:pPr>
    </w:p>
    <w:p>
      <w:pPr>
        <w:jc w:val="both"/>
        <w:ind w:left="500" w:right="240" w:hanging="330"/>
        <w:spacing w:after="0" w:line="268" w:lineRule="auto"/>
        <w:tabs>
          <w:tab w:leader="none" w:pos="489" w:val="left"/>
        </w:tabs>
        <w:numPr>
          <w:ilvl w:val="0"/>
          <w:numId w:val="182"/>
        </w:numPr>
        <w:rPr>
          <w:rFonts w:ascii="Arial" w:cs="Arial" w:eastAsia="Arial" w:hAnsi="Arial"/>
          <w:sz w:val="16"/>
          <w:szCs w:val="16"/>
          <w:color w:val="auto"/>
        </w:rPr>
      </w:pPr>
      <w:r>
        <w:rPr>
          <w:rFonts w:ascii="Arial" w:cs="Arial" w:eastAsia="Arial" w:hAnsi="Arial"/>
          <w:sz w:val="18"/>
          <w:szCs w:val="18"/>
          <w:color w:val="auto"/>
        </w:rPr>
        <w:t>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w:t>
      </w:r>
    </w:p>
    <w:p>
      <w:pPr>
        <w:spacing w:after="0" w:line="116" w:lineRule="exact"/>
        <w:rPr>
          <w:rFonts w:ascii="Arial" w:cs="Arial" w:eastAsia="Arial" w:hAnsi="Arial"/>
          <w:sz w:val="16"/>
          <w:szCs w:val="16"/>
          <w:color w:val="auto"/>
        </w:rPr>
      </w:pPr>
    </w:p>
    <w:p>
      <w:pPr>
        <w:ind w:left="480" w:hanging="310"/>
        <w:spacing w:after="0"/>
        <w:tabs>
          <w:tab w:leader="none" w:pos="480" w:val="left"/>
        </w:tabs>
        <w:numPr>
          <w:ilvl w:val="0"/>
          <w:numId w:val="182"/>
        </w:numPr>
        <w:rPr>
          <w:rFonts w:ascii="Arial" w:cs="Arial" w:eastAsia="Arial" w:hAnsi="Arial"/>
          <w:sz w:val="16"/>
          <w:szCs w:val="16"/>
          <w:color w:val="auto"/>
        </w:rPr>
      </w:pPr>
      <w:r>
        <w:rPr>
          <w:rFonts w:ascii="Arial" w:cs="Arial" w:eastAsia="Arial" w:hAnsi="Arial"/>
          <w:sz w:val="18"/>
          <w:szCs w:val="18"/>
          <w:color w:val="auto"/>
        </w:rPr>
        <w:t>modifying or eliminating any of the above supermajority voting requirements.</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board, after review by the Directors and Corporate Governance Committee, has approved, and recommends that the shareholders approve, amendments to eliminate the supermajority voting requirements (the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9" w:name="page80"/>
    <w:bookmarkEnd w:id="79"/>
    <w:p>
      <w:pPr>
        <w:ind w:right="240"/>
        <w:spacing w:after="0" w:line="262" w:lineRule="auto"/>
        <w:rPr>
          <w:sz w:val="20"/>
          <w:szCs w:val="20"/>
          <w:color w:val="auto"/>
        </w:rPr>
      </w:pPr>
      <w:r>
        <w:rPr>
          <w:rFonts w:ascii="Arial" w:cs="Arial" w:eastAsia="Arial" w:hAnsi="Arial"/>
          <w:sz w:val="18"/>
          <w:szCs w:val="18"/>
          <w:color w:val="auto"/>
        </w:rPr>
        <w:t>Supermajority Voting Amendments). From 2010 through 2012 and again from 2018 through 2025, the board submitted this management proposal 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Background of Proposal</w:t>
      </w:r>
    </w:p>
    <w:p>
      <w:pPr>
        <w:spacing w:after="0" w:line="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four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spacing w:after="0" w:line="13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board also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After balancing these interests, the board has decided to resubmit this proposal to eliminate the supermajority voting requirements. The affirmative vote of at least 80 percent of the outstanding shares of common stock is needed to approve this proposal. Unless such vote is received, the supermajority voting requirements will continue to be in effect.</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Text of Amendments</w:t>
      </w:r>
    </w:p>
    <w:p>
      <w:pPr>
        <w:spacing w:after="0" w:line="8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 xml:space="preserve">Articles 9(c), 9(d), and 13 of the company’s articles of incorporation contain the provisions that will be affected if this proposal is adopted. These articles, set forth in </w:t>
      </w:r>
      <w:r>
        <w:rPr>
          <w:rFonts w:ascii="Arial" w:cs="Arial" w:eastAsia="Arial" w:hAnsi="Arial"/>
          <w:sz w:val="18"/>
          <w:szCs w:val="18"/>
          <w:u w:val="single" w:color="auto"/>
          <w:color w:val="0000FF"/>
        </w:rPr>
        <w:t>Appendix B</w:t>
      </w:r>
      <w:r>
        <w:rPr>
          <w:rFonts w:ascii="Arial" w:cs="Arial" w:eastAsia="Arial" w:hAnsi="Arial"/>
          <w:sz w:val="18"/>
          <w:szCs w:val="18"/>
          <w:color w:val="auto"/>
        </w:rPr>
        <w:t xml:space="preserve"> to this proxy statement, show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5760720" cy="72898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5760720" cy="728980"/>
                    </a:xfrm>
                    <a:prstGeom prst="rect">
                      <a:avLst/>
                    </a:prstGeom>
                    <a:noFill/>
                  </pic:spPr>
                </pic:pic>
              </a:graphicData>
            </a:graphic>
          </wp:anchor>
        </w:drawing>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D52B1E"/>
        </w:rPr>
        <w:t>RECOMMENDATION FOR</w:t>
      </w:r>
    </w:p>
    <w:p>
      <w:pPr>
        <w:spacing w:after="0" w:line="172" w:lineRule="exact"/>
        <w:rPr>
          <w:sz w:val="20"/>
          <w:szCs w:val="20"/>
          <w:color w:val="auto"/>
        </w:rPr>
      </w:pPr>
    </w:p>
    <w:p>
      <w:pPr>
        <w:ind w:left="200" w:right="2660"/>
        <w:spacing w:after="0" w:line="296" w:lineRule="auto"/>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amending the company’s articles of incorporation to eliminate supermajority voting requirements.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0" w:name="page81"/>
    <w:bookmarkEnd w:id="80"/>
    <w:p>
      <w:pPr>
        <w:spacing w:after="0"/>
        <w:rPr>
          <w:sz w:val="20"/>
          <w:szCs w:val="20"/>
          <w:color w:val="auto"/>
        </w:rPr>
      </w:pPr>
      <w:r>
        <w:rPr>
          <w:rFonts w:ascii="Arial" w:cs="Arial" w:eastAsia="Arial" w:hAnsi="Arial"/>
          <w:sz w:val="52"/>
          <w:szCs w:val="52"/>
          <w:b w:val="1"/>
          <w:bCs w:val="1"/>
          <w:color w:val="auto"/>
        </w:rPr>
        <w:t>Shareholder Proposals</w:t>
      </w:r>
    </w:p>
    <w:p>
      <w:pPr>
        <w:spacing w:after="0" w:line="200" w:lineRule="exact"/>
        <w:rPr>
          <w:sz w:val="20"/>
          <w:szCs w:val="20"/>
          <w:color w:val="auto"/>
        </w:rPr>
      </w:pPr>
    </w:p>
    <w:p>
      <w:pPr>
        <w:spacing w:after="0" w:line="211" w:lineRule="exact"/>
        <w:rPr>
          <w:sz w:val="20"/>
          <w:szCs w:val="20"/>
          <w:color w:val="auto"/>
        </w:rPr>
      </w:pPr>
    </w:p>
    <w:p>
      <w:pPr>
        <w:ind w:right="1160"/>
        <w:spacing w:after="0" w:line="276" w:lineRule="auto"/>
        <w:rPr>
          <w:sz w:val="20"/>
          <w:szCs w:val="20"/>
          <w:color w:val="auto"/>
        </w:rPr>
      </w:pPr>
      <w:r>
        <w:rPr>
          <w:rFonts w:ascii="Arial" w:cs="Arial" w:eastAsia="Arial" w:hAnsi="Arial"/>
          <w:sz w:val="32"/>
          <w:szCs w:val="32"/>
          <w:b w:val="1"/>
          <w:bCs w:val="1"/>
          <w:color w:val="D52B1E"/>
        </w:rPr>
        <w:t>Item 6. Shareholder Proposal to Amend the Bylaws to Require an Independent Board Chair</w:t>
      </w:r>
    </w:p>
    <w:p>
      <w:pPr>
        <w:spacing w:after="0" w:line="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Mercy Investment Services, Inc., as lead filer with several additional co-filers, and beneficial owner of shares of our common stock having a market value in excess of $2,000, has submitted the following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55206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7132320" cy="5520690"/>
                    </a:xfrm>
                    <a:prstGeom prst="rect">
                      <a:avLst/>
                    </a:prstGeom>
                    <a:noFill/>
                  </pic:spPr>
                </pic:pic>
              </a:graphicData>
            </a:graphic>
          </wp:anchor>
        </w:drawing>
      </w:r>
    </w:p>
    <w:p>
      <w:pPr>
        <w:spacing w:after="0" w:line="25" w:lineRule="exact"/>
        <w:rPr>
          <w:sz w:val="20"/>
          <w:szCs w:val="20"/>
          <w:color w:val="auto"/>
        </w:rPr>
      </w:pPr>
    </w:p>
    <w:p>
      <w:pPr>
        <w:ind w:left="20"/>
        <w:spacing w:after="0" w:line="257" w:lineRule="auto"/>
        <w:rPr>
          <w:sz w:val="20"/>
          <w:szCs w:val="20"/>
          <w:color w:val="auto"/>
        </w:rPr>
      </w:pPr>
      <w:r>
        <w:rPr>
          <w:rFonts w:ascii="Arial" w:cs="Arial" w:eastAsia="Arial" w:hAnsi="Arial"/>
          <w:sz w:val="18"/>
          <w:szCs w:val="18"/>
          <w:color w:val="auto"/>
        </w:rPr>
        <w:t>RESOLVED: Shareholders request the Board of Directors adopt as policy, and amend the bylaws as necessary, to require henceforth that the Chair of the Board of Directors, whenever possible, be an independent member of the Board. This independence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chief executive officer (CEO) transition.</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WHEREAS: We believe:</w:t>
      </w:r>
    </w:p>
    <w:p>
      <w:pPr>
        <w:spacing w:after="0" w:line="144" w:lineRule="exact"/>
        <w:rPr>
          <w:sz w:val="20"/>
          <w:szCs w:val="20"/>
          <w:color w:val="auto"/>
        </w:rPr>
      </w:pPr>
    </w:p>
    <w:p>
      <w:pPr>
        <w:ind w:left="500" w:hanging="312"/>
        <w:spacing w:after="0"/>
        <w:tabs>
          <w:tab w:leader="none" w:pos="500" w:val="left"/>
        </w:tabs>
        <w:numPr>
          <w:ilvl w:val="0"/>
          <w:numId w:val="183"/>
        </w:numPr>
        <w:rPr>
          <w:rFonts w:ascii="Arial" w:cs="Arial" w:eastAsia="Arial" w:hAnsi="Arial"/>
          <w:sz w:val="16"/>
          <w:szCs w:val="16"/>
          <w:color w:val="auto"/>
        </w:rPr>
      </w:pPr>
      <w:r>
        <w:rPr>
          <w:rFonts w:ascii="Arial" w:cs="Arial" w:eastAsia="Arial" w:hAnsi="Arial"/>
          <w:sz w:val="18"/>
          <w:szCs w:val="18"/>
          <w:color w:val="auto"/>
        </w:rPr>
        <w:t>The role of the CEO and management is to run the company.</w:t>
      </w:r>
    </w:p>
    <w:p>
      <w:pPr>
        <w:spacing w:after="0" w:line="130" w:lineRule="exact"/>
        <w:rPr>
          <w:rFonts w:ascii="Arial" w:cs="Arial" w:eastAsia="Arial" w:hAnsi="Arial"/>
          <w:sz w:val="16"/>
          <w:szCs w:val="16"/>
          <w:color w:val="auto"/>
        </w:rPr>
      </w:pPr>
    </w:p>
    <w:p>
      <w:pPr>
        <w:ind w:left="500" w:hanging="312"/>
        <w:spacing w:after="0"/>
        <w:tabs>
          <w:tab w:leader="none" w:pos="500" w:val="left"/>
        </w:tabs>
        <w:numPr>
          <w:ilvl w:val="0"/>
          <w:numId w:val="183"/>
        </w:numPr>
        <w:rPr>
          <w:rFonts w:ascii="Arial" w:cs="Arial" w:eastAsia="Arial" w:hAnsi="Arial"/>
          <w:sz w:val="16"/>
          <w:szCs w:val="16"/>
          <w:color w:val="auto"/>
        </w:rPr>
      </w:pPr>
      <w:r>
        <w:rPr>
          <w:rFonts w:ascii="Arial" w:cs="Arial" w:eastAsia="Arial" w:hAnsi="Arial"/>
          <w:sz w:val="18"/>
          <w:szCs w:val="18"/>
          <w:color w:val="auto"/>
        </w:rPr>
        <w:t>The role of the Board of Directors is to provide independent oversight of management and the CEO.</w:t>
      </w:r>
    </w:p>
    <w:p>
      <w:pPr>
        <w:spacing w:after="0" w:line="130" w:lineRule="exact"/>
        <w:rPr>
          <w:rFonts w:ascii="Arial" w:cs="Arial" w:eastAsia="Arial" w:hAnsi="Arial"/>
          <w:sz w:val="16"/>
          <w:szCs w:val="16"/>
          <w:color w:val="auto"/>
        </w:rPr>
      </w:pPr>
    </w:p>
    <w:p>
      <w:pPr>
        <w:ind w:left="500" w:hanging="312"/>
        <w:spacing w:after="0"/>
        <w:tabs>
          <w:tab w:leader="none" w:pos="500" w:val="left"/>
        </w:tabs>
        <w:numPr>
          <w:ilvl w:val="0"/>
          <w:numId w:val="183"/>
        </w:numPr>
        <w:rPr>
          <w:rFonts w:ascii="Arial" w:cs="Arial" w:eastAsia="Arial" w:hAnsi="Arial"/>
          <w:sz w:val="16"/>
          <w:szCs w:val="16"/>
          <w:color w:val="auto"/>
        </w:rPr>
      </w:pPr>
      <w:r>
        <w:rPr>
          <w:rFonts w:ascii="Arial" w:cs="Arial" w:eastAsia="Arial" w:hAnsi="Arial"/>
          <w:sz w:val="18"/>
          <w:szCs w:val="18"/>
          <w:color w:val="auto"/>
        </w:rPr>
        <w:t>There is a potential conflict of interest for a CEO to have a non-independent director act as Chair.</w:t>
      </w:r>
    </w:p>
    <w:p>
      <w:pPr>
        <w:spacing w:after="0" w:line="144" w:lineRule="exact"/>
        <w:rPr>
          <w:sz w:val="20"/>
          <w:szCs w:val="20"/>
          <w:color w:val="auto"/>
        </w:rPr>
      </w:pPr>
    </w:p>
    <w:p>
      <w:pPr>
        <w:ind w:left="20" w:right="280"/>
        <w:spacing w:after="0" w:line="287" w:lineRule="auto"/>
        <w:rPr>
          <w:sz w:val="20"/>
          <w:szCs w:val="20"/>
          <w:color w:val="auto"/>
        </w:rPr>
      </w:pPr>
      <w:r>
        <w:rPr>
          <w:rFonts w:ascii="Arial" w:cs="Arial" w:eastAsia="Arial" w:hAnsi="Arial"/>
          <w:sz w:val="18"/>
          <w:szCs w:val="18"/>
          <w:color w:val="auto"/>
        </w:rPr>
        <w:t>In our view, shareholders are best served by an independent Board Chair who can provide a balance of power between the CEO and the Board. Taking this step is in the long-term interests of shareholders and will promote effective oversight of management.</w:t>
      </w:r>
    </w:p>
    <w:p>
      <w:pPr>
        <w:spacing w:after="0" w:line="56" w:lineRule="exact"/>
        <w:rPr>
          <w:sz w:val="20"/>
          <w:szCs w:val="20"/>
          <w:color w:val="auto"/>
        </w:rPr>
      </w:pPr>
    </w:p>
    <w:p>
      <w:pPr>
        <w:ind w:left="20" w:right="440"/>
        <w:spacing w:after="0" w:line="232" w:lineRule="auto"/>
        <w:rPr>
          <w:sz w:val="20"/>
          <w:szCs w:val="20"/>
          <w:color w:val="auto"/>
        </w:rPr>
      </w:pPr>
      <w:r>
        <w:rPr>
          <w:rFonts w:ascii="Arial" w:cs="Arial" w:eastAsia="Arial" w:hAnsi="Arial"/>
          <w:sz w:val="18"/>
          <w:szCs w:val="18"/>
          <w:color w:val="auto"/>
        </w:rPr>
        <w:t>As of 2024, approximately 40 percent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S&amp;P 500 firms had an independent chair. ISS reported in September 2025 that 81 percent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investors responding to its policy survey indicated that an independent chair is their preferred model.</w:t>
      </w:r>
    </w:p>
    <w:p>
      <w:pPr>
        <w:spacing w:after="0" w:line="100"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Pharmaceutical companies are particularly in need of effective and unconflicted oversight because of the industry's high legal and regulatory risks related to product safety and the industry's commercial practices. Eli Lilly is not immune to litigation and regulatory attention.</w:t>
      </w:r>
    </w:p>
    <w:p>
      <w:pPr>
        <w:spacing w:after="0" w:line="72" w:lineRule="exact"/>
        <w:rPr>
          <w:sz w:val="20"/>
          <w:szCs w:val="20"/>
          <w:color w:val="auto"/>
        </w:rPr>
      </w:pPr>
    </w:p>
    <w:p>
      <w:pPr>
        <w:ind w:left="520" w:right="180" w:hanging="332"/>
        <w:spacing w:after="0" w:line="271" w:lineRule="auto"/>
        <w:tabs>
          <w:tab w:leader="none" w:pos="509" w:val="left"/>
        </w:tabs>
        <w:numPr>
          <w:ilvl w:val="0"/>
          <w:numId w:val="184"/>
        </w:numPr>
        <w:rPr>
          <w:rFonts w:ascii="Arial" w:cs="Arial" w:eastAsia="Arial" w:hAnsi="Arial"/>
          <w:sz w:val="16"/>
          <w:szCs w:val="16"/>
          <w:color w:val="auto"/>
        </w:rPr>
      </w:pPr>
      <w:r>
        <w:rPr>
          <w:rFonts w:ascii="Arial" w:cs="Arial" w:eastAsia="Arial" w:hAnsi="Arial"/>
          <w:sz w:val="18"/>
          <w:szCs w:val="18"/>
          <w:color w:val="auto"/>
        </w:rPr>
        <w:t>In August of 2025, the state of Texas sued for allegedly bribing and inducing medical providers to prescribe its most profitable drugs, including the high-demand GLP-1 medications. These inducements were designed to steer providers toward prescribing Eli Lilly's drugs</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3" w:lineRule="exact"/>
        <w:rPr>
          <w:rFonts w:ascii="Arial" w:cs="Arial" w:eastAsia="Arial" w:hAnsi="Arial"/>
          <w:sz w:val="16"/>
          <w:szCs w:val="16"/>
          <w:color w:val="auto"/>
        </w:rPr>
      </w:pPr>
    </w:p>
    <w:p>
      <w:pPr>
        <w:ind w:left="520" w:right="200" w:hanging="332"/>
        <w:spacing w:after="0" w:line="281" w:lineRule="auto"/>
        <w:tabs>
          <w:tab w:leader="none" w:pos="509" w:val="left"/>
        </w:tabs>
        <w:numPr>
          <w:ilvl w:val="0"/>
          <w:numId w:val="184"/>
        </w:numPr>
        <w:rPr>
          <w:rFonts w:ascii="Arial" w:cs="Arial" w:eastAsia="Arial" w:hAnsi="Arial"/>
          <w:sz w:val="16"/>
          <w:szCs w:val="16"/>
          <w:color w:val="auto"/>
        </w:rPr>
      </w:pPr>
      <w:r>
        <w:rPr>
          <w:rFonts w:ascii="Arial" w:cs="Arial" w:eastAsia="Arial" w:hAnsi="Arial"/>
          <w:sz w:val="18"/>
          <w:szCs w:val="18"/>
          <w:color w:val="auto"/>
        </w:rPr>
        <w:t>An ongoing battle between Michigan and the company continues. The state is trying to investigate Eli Lilly's pricing practices around insulin; these proceedings go back to 2022 and continue to make news even in November of 2025</w:t>
      </w:r>
      <w:r>
        <w:rPr>
          <w:rFonts w:ascii="Arial" w:cs="Arial" w:eastAsia="Arial" w:hAnsi="Arial"/>
          <w:sz w:val="23"/>
          <w:szCs w:val="23"/>
          <w:color w:val="auto"/>
          <w:vertAlign w:val="superscript"/>
        </w:rPr>
        <w:t>4</w:t>
      </w:r>
      <w:r>
        <w:rPr>
          <w:rFonts w:ascii="Arial" w:cs="Arial" w:eastAsia="Arial" w:hAnsi="Arial"/>
          <w:sz w:val="18"/>
          <w:szCs w:val="18"/>
          <w:color w:val="auto"/>
        </w:rPr>
        <w:t>.</w:t>
      </w:r>
    </w:p>
    <w:p>
      <w:pPr>
        <w:spacing w:after="0" w:line="1" w:lineRule="exact"/>
        <w:rPr>
          <w:rFonts w:ascii="Arial" w:cs="Arial" w:eastAsia="Arial" w:hAnsi="Arial"/>
          <w:sz w:val="16"/>
          <w:szCs w:val="16"/>
          <w:color w:val="auto"/>
        </w:rPr>
      </w:pPr>
    </w:p>
    <w:p>
      <w:pPr>
        <w:ind w:left="520" w:hanging="332"/>
        <w:spacing w:after="0" w:line="287" w:lineRule="auto"/>
        <w:tabs>
          <w:tab w:leader="none" w:pos="509" w:val="left"/>
        </w:tabs>
        <w:numPr>
          <w:ilvl w:val="0"/>
          <w:numId w:val="184"/>
        </w:numPr>
        <w:rPr>
          <w:rFonts w:ascii="Arial" w:cs="Arial" w:eastAsia="Arial" w:hAnsi="Arial"/>
          <w:sz w:val="16"/>
          <w:szCs w:val="16"/>
          <w:color w:val="auto"/>
        </w:rPr>
      </w:pPr>
      <w:r>
        <w:rPr>
          <w:rFonts w:ascii="Arial" w:cs="Arial" w:eastAsia="Arial" w:hAnsi="Arial"/>
          <w:sz w:val="18"/>
          <w:szCs w:val="18"/>
          <w:color w:val="auto"/>
        </w:rPr>
        <w:t>Eli Lilly is one of three pharmaceutical companies named as defendants in a lawsuit filed July of this year on behalf of the University of Pennsylvania and its health system. The suit alleges 20 years of price fixing on drugs that treat diabetes, like insulin.</w:t>
      </w:r>
    </w:p>
    <w:p>
      <w:pPr>
        <w:spacing w:after="0" w:line="72" w:lineRule="exact"/>
        <w:rPr>
          <w:sz w:val="20"/>
          <w:szCs w:val="20"/>
          <w:color w:val="auto"/>
        </w:rPr>
      </w:pPr>
    </w:p>
    <w:p>
      <w:pPr>
        <w:ind w:left="20" w:right="500"/>
        <w:spacing w:after="0" w:line="287" w:lineRule="auto"/>
        <w:rPr>
          <w:sz w:val="20"/>
          <w:szCs w:val="20"/>
          <w:color w:val="auto"/>
        </w:rPr>
      </w:pPr>
      <w:r>
        <w:rPr>
          <w:rFonts w:ascii="Arial" w:cs="Arial" w:eastAsia="Arial" w:hAnsi="Arial"/>
          <w:sz w:val="18"/>
          <w:szCs w:val="18"/>
          <w:color w:val="auto"/>
        </w:rPr>
        <w:t>The risk of lawsuits, sustained public controversy and regulatory intervention, whether ultimately found to be justified or not, are strong arguments for the need for continuous, effective and unconflicted board oversight of corporate management.</w:t>
      </w:r>
    </w:p>
    <w:p>
      <w:pPr>
        <w:spacing w:after="0" w:line="58" w:lineRule="exact"/>
        <w:rPr>
          <w:sz w:val="20"/>
          <w:szCs w:val="20"/>
          <w:color w:val="auto"/>
        </w:rPr>
      </w:pPr>
    </w:p>
    <w:p>
      <w:pPr>
        <w:ind w:left="20" w:right="160"/>
        <w:spacing w:after="0" w:line="260" w:lineRule="auto"/>
        <w:rPr>
          <w:sz w:val="20"/>
          <w:szCs w:val="20"/>
          <w:color w:val="auto"/>
        </w:rPr>
      </w:pPr>
      <w:r>
        <w:rPr>
          <w:rFonts w:ascii="Arial" w:cs="Arial" w:eastAsia="Arial" w:hAnsi="Arial"/>
          <w:sz w:val="18"/>
          <w:szCs w:val="18"/>
          <w:color w:val="auto"/>
        </w:rPr>
        <w:t>In order to ensure that our Board can provide rigorous oversight for our Company with greater independence and accountability, we urge a vote FOR this shareholder proposal.</w:t>
      </w:r>
    </w:p>
    <w:p>
      <w:pPr>
        <w:ind w:left="20"/>
        <w:spacing w:after="0"/>
        <w:rPr>
          <w:sz w:val="20"/>
          <w:szCs w:val="20"/>
          <w:color w:val="auto"/>
        </w:rPr>
      </w:pPr>
      <w:r>
        <w:rPr>
          <w:rFonts w:ascii="Arial" w:cs="Arial" w:eastAsia="Arial" w:hAnsi="Arial"/>
          <w:sz w:val="18"/>
          <w:szCs w:val="18"/>
          <w:color w:val="auto"/>
        </w:rPr>
        <w:t>__________________________________</w:t>
      </w:r>
    </w:p>
    <w:p>
      <w:pPr>
        <w:ind w:left="140" w:hanging="114"/>
        <w:spacing w:after="0" w:line="205" w:lineRule="auto"/>
        <w:tabs>
          <w:tab w:leader="none" w:pos="140" w:val="left"/>
        </w:tabs>
        <w:numPr>
          <w:ilvl w:val="0"/>
          <w:numId w:val="185"/>
        </w:numPr>
        <w:rPr>
          <w:rFonts w:ascii="Arial" w:cs="Arial" w:eastAsia="Arial" w:hAnsi="Arial"/>
          <w:sz w:val="23"/>
          <w:szCs w:val="23"/>
          <w:color w:val="auto"/>
          <w:vertAlign w:val="superscript"/>
        </w:rPr>
      </w:pPr>
      <w:r>
        <w:rPr>
          <w:rFonts w:ascii="Arial" w:cs="Arial" w:eastAsia="Arial" w:hAnsi="Arial"/>
          <w:sz w:val="18"/>
          <w:szCs w:val="18"/>
          <w:color w:val="auto"/>
        </w:rPr>
        <w:t>https://www.conference-board.org/publlcations/Board-Practices-and-Composition-2024-Edition</w:t>
      </w:r>
    </w:p>
    <w:p>
      <w:pPr>
        <w:ind w:left="20"/>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https://www.issgovernance.com/file/policy/active/policy-survey-summary-2025.pdf</w:t>
      </w:r>
    </w:p>
    <w:p>
      <w:pPr>
        <w:ind w:left="100" w:right="380" w:hanging="81"/>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https://www.texasattorneygeneral.gov/news/releases/attorney-general-ken-paxton-sues-blg-pharma-drug-manufacturer-eli-lilly-bribing-providers-prescribe</w:t>
      </w:r>
    </w:p>
    <w:p>
      <w:pPr>
        <w:spacing w:after="0" w:line="1" w:lineRule="exact"/>
        <w:rPr>
          <w:rFonts w:ascii="Arial" w:cs="Arial" w:eastAsia="Arial" w:hAnsi="Arial"/>
          <w:sz w:val="23"/>
          <w:szCs w:val="23"/>
          <w:color w:val="auto"/>
          <w:vertAlign w:val="superscript"/>
        </w:rPr>
      </w:pPr>
    </w:p>
    <w:p>
      <w:pPr>
        <w:ind w:left="2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https://www.michIganpublic.org/criminal-justice-legal-system/2025-11-06/michigan-supreme-court-hears-arguments-in-eli-lilly-insulin-case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5" w:right="399" w:bottom="1440" w:gutter="0" w:footer="0" w:header="0"/>
        </w:sectPr>
      </w:pPr>
    </w:p>
    <w:bookmarkStart w:id="81" w:name="page82"/>
    <w:bookmarkEnd w:id="81"/>
    <w:p>
      <w:pPr>
        <w:spacing w:after="0"/>
        <w:rPr>
          <w:sz w:val="20"/>
          <w:szCs w:val="20"/>
          <w:color w:val="auto"/>
        </w:rPr>
      </w:pPr>
      <w:r>
        <w:rPr>
          <w:rFonts w:ascii="Arial" w:cs="Arial" w:eastAsia="Arial" w:hAnsi="Arial"/>
          <w:sz w:val="25"/>
          <w:szCs w:val="25"/>
          <w:b w:val="1"/>
          <w:bCs w:val="1"/>
          <w:color w:val="0F3A85"/>
        </w:rPr>
        <w:t>Lilly’s Opposing Statement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after review by its Directors and Corporate Governance Committee,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40575" cy="142303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7140575" cy="1423035"/>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discussed in more detail below, the change requested by the proposal is unnecessary because:</w:t>
      </w:r>
    </w:p>
    <w:p>
      <w:pPr>
        <w:spacing w:after="0" w:line="171" w:lineRule="exact"/>
        <w:rPr>
          <w:sz w:val="20"/>
          <w:szCs w:val="20"/>
          <w:color w:val="auto"/>
        </w:rPr>
      </w:pPr>
    </w:p>
    <w:p>
      <w:pPr>
        <w:ind w:left="180" w:right="60" w:hanging="157"/>
        <w:spacing w:after="0" w:line="287" w:lineRule="auto"/>
        <w:tabs>
          <w:tab w:leader="none" w:pos="173" w:val="left"/>
        </w:tabs>
        <w:numPr>
          <w:ilvl w:val="0"/>
          <w:numId w:val="186"/>
        </w:numPr>
        <w:rPr>
          <w:rFonts w:ascii="Wingdings" w:cs="Wingdings" w:eastAsia="Wingdings" w:hAnsi="Wingdings"/>
          <w:sz w:val="18"/>
          <w:szCs w:val="18"/>
          <w:b w:val="1"/>
          <w:bCs w:val="1"/>
          <w:color w:val="494949"/>
        </w:rPr>
      </w:pPr>
      <w:r>
        <w:rPr>
          <w:rFonts w:ascii="Arial" w:cs="Arial" w:eastAsia="Arial" w:hAnsi="Arial"/>
          <w:sz w:val="18"/>
          <w:szCs w:val="18"/>
          <w:color w:val="auto"/>
        </w:rPr>
        <w:t>The proposal would lock in a mandatory leadership structure that eliminates the flexibility to evaluate and adopt what the board believes to be the most effective leadership structure under the relevant facts and circumstances at any given point in time.</w:t>
      </w:r>
    </w:p>
    <w:p>
      <w:pPr>
        <w:spacing w:after="0" w:line="98" w:lineRule="exact"/>
        <w:rPr>
          <w:rFonts w:ascii="Wingdings" w:cs="Wingdings" w:eastAsia="Wingdings" w:hAnsi="Wingdings"/>
          <w:sz w:val="18"/>
          <w:szCs w:val="18"/>
          <w:b w:val="1"/>
          <w:bCs w:val="1"/>
          <w:color w:val="494949"/>
        </w:rPr>
      </w:pPr>
    </w:p>
    <w:p>
      <w:pPr>
        <w:jc w:val="both"/>
        <w:ind w:left="180" w:right="380" w:hanging="157"/>
        <w:spacing w:after="0" w:line="268" w:lineRule="auto"/>
        <w:tabs>
          <w:tab w:leader="none" w:pos="173" w:val="left"/>
        </w:tabs>
        <w:numPr>
          <w:ilvl w:val="0"/>
          <w:numId w:val="186"/>
        </w:numPr>
        <w:rPr>
          <w:rFonts w:ascii="Wingdings" w:cs="Wingdings" w:eastAsia="Wingdings" w:hAnsi="Wingdings"/>
          <w:sz w:val="18"/>
          <w:szCs w:val="18"/>
          <w:b w:val="1"/>
          <w:bCs w:val="1"/>
          <w:color w:val="494949"/>
        </w:rPr>
      </w:pPr>
      <w:r>
        <w:rPr>
          <w:rFonts w:ascii="Arial" w:cs="Arial" w:eastAsia="Arial" w:hAnsi="Arial"/>
          <w:sz w:val="18"/>
          <w:szCs w:val="18"/>
          <w:color w:val="auto"/>
        </w:rPr>
        <w:t>Lilly’s leadership structure is the same as all of the U.S.-incorporated companies from our pharma peer group, and Lilly’s shareholders expressly rejected similar proposals seeking to mandate an independent board chair each of the last three times this proposal was put forth for consideration, thus endorsing our flexible approach.</w:t>
      </w:r>
    </w:p>
    <w:p>
      <w:pPr>
        <w:spacing w:after="0" w:line="116" w:lineRule="exact"/>
        <w:rPr>
          <w:rFonts w:ascii="Wingdings" w:cs="Wingdings" w:eastAsia="Wingdings" w:hAnsi="Wingdings"/>
          <w:sz w:val="18"/>
          <w:szCs w:val="18"/>
          <w:b w:val="1"/>
          <w:bCs w:val="1"/>
          <w:color w:val="494949"/>
        </w:rPr>
      </w:pPr>
    </w:p>
    <w:p>
      <w:pPr>
        <w:ind w:left="180" w:hanging="157"/>
        <w:spacing w:after="0"/>
        <w:tabs>
          <w:tab w:leader="none" w:pos="180" w:val="left"/>
        </w:tabs>
        <w:numPr>
          <w:ilvl w:val="0"/>
          <w:numId w:val="186"/>
        </w:numPr>
        <w:rPr>
          <w:rFonts w:ascii="Wingdings" w:cs="Wingdings" w:eastAsia="Wingdings" w:hAnsi="Wingdings"/>
          <w:sz w:val="18"/>
          <w:szCs w:val="18"/>
          <w:b w:val="1"/>
          <w:bCs w:val="1"/>
          <w:color w:val="494949"/>
        </w:rPr>
      </w:pPr>
      <w:r>
        <w:rPr>
          <w:rFonts w:ascii="Arial" w:cs="Arial" w:eastAsia="Arial" w:hAnsi="Arial"/>
          <w:sz w:val="18"/>
          <w:szCs w:val="18"/>
          <w:color w:val="auto"/>
        </w:rPr>
        <w:t>Lilly’s current board leadership structure and corporate governance practices provide effective, independent oversight of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Mandating an Independent Chair Eliminates Flexibility</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Mandating an independent board chair would eliminate the board’s flexibility to adopt the most effective leadership structure for Lilly's needs. The board believes there is no "one-size-fits-all" approach and that the proposal would unnecessarily restrict the board’s ability to exercise its fiduciary duty to determine the appropriate board leadership structure for the company given the specific circumstances and leadership needs at any particular point in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Aligns with our U.S. Pharma Peer Group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and has had Strong Shareholder Support.</w:t>
      </w:r>
    </w:p>
    <w:p>
      <w:pPr>
        <w:spacing w:after="0" w:line="11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Lilly's approach is consistent with market standards and has strong shareholder support. All eight U.S.-incorporated companies from our pharma peer group have a combined board chair and CEO.</w:t>
      </w:r>
      <w:r>
        <w:rPr>
          <w:rFonts w:ascii="Arial" w:cs="Arial" w:eastAsia="Arial" w:hAnsi="Arial"/>
          <w:sz w:val="23"/>
          <w:szCs w:val="23"/>
          <w:color w:val="auto"/>
          <w:vertAlign w:val="superscript"/>
        </w:rPr>
        <w:t>1</w:t>
      </w:r>
    </w:p>
    <w:p>
      <w:pPr>
        <w:spacing w:after="0" w:line="3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 addition, as of April 30, 2025, 58% of companies in the S&amp;P 500 do not have independent board chairs, and among the companies with non-independent chairs, 91% have a lead or presiding independent director.</w:t>
      </w:r>
      <w:r>
        <w:rPr>
          <w:rFonts w:ascii="Arial" w:cs="Arial" w:eastAsia="Arial" w:hAnsi="Arial"/>
          <w:sz w:val="23"/>
          <w:szCs w:val="23"/>
          <w:color w:val="auto"/>
          <w:vertAlign w:val="superscript"/>
        </w:rPr>
        <w:t>2</w:t>
      </w:r>
    </w:p>
    <w:p>
      <w:pPr>
        <w:spacing w:after="0" w:line="3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Notably, Lilly’s shareholders rejected similar proposals in 2020, 2021, and 2022 to mandate a leadership structure, with nearly two-thirds of votes cast on such proposals supporting continued flexibility.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Leadership Structure and Corporate Governance Practices Provide Strong Independent Oversight of Management</w:t>
      </w:r>
    </w:p>
    <w:p>
      <w:pPr>
        <w:spacing w:after="0" w:line="17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Our robust governance framework ensures balanced leadership through a strong lead independent director and sound principles of corporate governance. Eleven of 12 directors are independent, and they collectively bring extensive leadership experience, industry expertise, and other critical skills, and individually have demonstrated the willingness to think and act independently on behalf of shareholders.</w:t>
      </w:r>
    </w:p>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All standing committees consist solely of independent directors and are led by independent committee chairs. Our lead independent director, elected annually by independent directors, has clearly defined responsibilities including:</w:t>
      </w:r>
    </w:p>
    <w:p>
      <w:pPr>
        <w:spacing w:after="0" w:line="99" w:lineRule="exact"/>
        <w:rPr>
          <w:sz w:val="20"/>
          <w:szCs w:val="20"/>
          <w:color w:val="auto"/>
        </w:rPr>
      </w:pPr>
    </w:p>
    <w:p>
      <w:pPr>
        <w:ind w:left="480" w:hanging="310"/>
        <w:spacing w:after="0"/>
        <w:tabs>
          <w:tab w:leader="none" w:pos="480" w:val="left"/>
        </w:tabs>
        <w:numPr>
          <w:ilvl w:val="1"/>
          <w:numId w:val="187"/>
        </w:numPr>
        <w:rPr>
          <w:rFonts w:ascii="Arial" w:cs="Arial" w:eastAsia="Arial" w:hAnsi="Arial"/>
          <w:sz w:val="16"/>
          <w:szCs w:val="16"/>
          <w:color w:val="auto"/>
        </w:rPr>
      </w:pPr>
      <w:r>
        <w:rPr>
          <w:rFonts w:ascii="Arial" w:cs="Arial" w:eastAsia="Arial" w:hAnsi="Arial"/>
          <w:sz w:val="18"/>
          <w:szCs w:val="18"/>
          <w:color w:val="auto"/>
        </w:rPr>
        <w:t>leading CEO selection processes;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1"/>
          <w:numId w:val="187"/>
        </w:numPr>
        <w:rPr>
          <w:rFonts w:ascii="Arial" w:cs="Arial" w:eastAsia="Arial" w:hAnsi="Arial"/>
          <w:sz w:val="16"/>
          <w:szCs w:val="16"/>
          <w:color w:val="auto"/>
        </w:rPr>
      </w:pPr>
      <w:r>
        <w:rPr>
          <w:rFonts w:ascii="Arial" w:cs="Arial" w:eastAsia="Arial" w:hAnsi="Arial"/>
          <w:sz w:val="18"/>
          <w:szCs w:val="18"/>
          <w:color w:val="auto"/>
        </w:rPr>
        <w:t>overseeing annual performance evaluations of the chair/CEO;</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1"/>
          <w:numId w:val="187"/>
        </w:numPr>
        <w:rPr>
          <w:rFonts w:ascii="Arial" w:cs="Arial" w:eastAsia="Arial" w:hAnsi="Arial"/>
          <w:sz w:val="16"/>
          <w:szCs w:val="16"/>
          <w:color w:val="auto"/>
        </w:rPr>
      </w:pPr>
      <w:r>
        <w:rPr>
          <w:rFonts w:ascii="Arial" w:cs="Arial" w:eastAsia="Arial" w:hAnsi="Arial"/>
          <w:sz w:val="18"/>
          <w:szCs w:val="18"/>
          <w:color w:val="auto"/>
        </w:rPr>
        <w:t>serving as liaison between chair and independent directors;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1"/>
          <w:numId w:val="187"/>
        </w:numPr>
        <w:rPr>
          <w:rFonts w:ascii="Arial" w:cs="Arial" w:eastAsia="Arial" w:hAnsi="Arial"/>
          <w:sz w:val="16"/>
          <w:szCs w:val="16"/>
          <w:color w:val="auto"/>
        </w:rPr>
      </w:pPr>
      <w:r>
        <w:rPr>
          <w:rFonts w:ascii="Arial" w:cs="Arial" w:eastAsia="Arial" w:hAnsi="Arial"/>
          <w:sz w:val="18"/>
          <w:szCs w:val="18"/>
          <w:color w:val="auto"/>
        </w:rPr>
        <w:t>presiding at meetings when the chair is absent and at executive sessions;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1"/>
          <w:numId w:val="187"/>
        </w:numPr>
        <w:rPr>
          <w:rFonts w:ascii="Arial" w:cs="Arial" w:eastAsia="Arial" w:hAnsi="Arial"/>
          <w:sz w:val="16"/>
          <w:szCs w:val="16"/>
          <w:color w:val="auto"/>
        </w:rPr>
      </w:pPr>
      <w:r>
        <w:rPr>
          <w:rFonts w:ascii="Arial" w:cs="Arial" w:eastAsia="Arial" w:hAnsi="Arial"/>
          <w:sz w:val="18"/>
          <w:szCs w:val="18"/>
          <w:color w:val="auto"/>
        </w:rPr>
        <w:t>calling independent director meetings as needed;</w:t>
      </w:r>
    </w:p>
    <w:p>
      <w:pPr>
        <w:spacing w:after="0" w:line="317" w:lineRule="exact"/>
        <w:rPr>
          <w:rFonts w:ascii="Arial" w:cs="Arial" w:eastAsia="Arial" w:hAnsi="Arial"/>
          <w:sz w:val="16"/>
          <w:szCs w:val="16"/>
          <w:color w:val="auto"/>
        </w:rPr>
      </w:pPr>
    </w:p>
    <w:p>
      <w:pPr>
        <w:ind w:left="180" w:right="160" w:hanging="162"/>
        <w:spacing w:after="0" w:line="232" w:lineRule="auto"/>
        <w:rPr>
          <w:rFonts w:ascii="Arial" w:cs="Arial" w:eastAsia="Arial" w:hAnsi="Arial"/>
          <w:sz w:val="16"/>
          <w:szCs w:val="16"/>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See the U.S.-incorporated companies that are part of our pharma peer group companies list in “</w:t>
      </w:r>
      <w:r>
        <w:rPr>
          <w:rFonts w:ascii="Arial" w:cs="Arial" w:eastAsia="Arial" w:hAnsi="Arial"/>
          <w:sz w:val="18"/>
          <w:szCs w:val="18"/>
          <w:u w:val="single" w:color="auto"/>
          <w:color w:val="0000FF"/>
        </w:rPr>
        <w:t>Compensation Discussion and Analysis—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Talent and Compensation Committee’s Processes and Analyses—Benchmarking Compensation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171450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67" w:lineRule="exact"/>
        <w:rPr>
          <w:sz w:val="20"/>
          <w:szCs w:val="20"/>
          <w:color w:val="auto"/>
        </w:rPr>
      </w:pPr>
    </w:p>
    <w:p>
      <w:pPr>
        <w:ind w:left="5520" w:right="860" w:hanging="5512"/>
        <w:spacing w:after="0" w:line="817" w:lineRule="auto"/>
        <w:tabs>
          <w:tab w:leader="none" w:pos="124" w:val="left"/>
        </w:tabs>
        <w:numPr>
          <w:ilvl w:val="0"/>
          <w:numId w:val="188"/>
        </w:numPr>
        <w:rPr>
          <w:rFonts w:ascii="Arial" w:cs="Arial" w:eastAsia="Arial" w:hAnsi="Arial"/>
          <w:sz w:val="23"/>
          <w:szCs w:val="23"/>
          <w:color w:val="auto"/>
          <w:vertAlign w:val="superscript"/>
        </w:rPr>
      </w:pPr>
      <w:r>
        <w:rPr>
          <w:rFonts w:ascii="Arial" w:cs="Arial" w:eastAsia="Arial" w:hAnsi="Arial"/>
          <w:sz w:val="18"/>
          <w:szCs w:val="18"/>
          <w:color w:val="auto"/>
        </w:rPr>
        <w:t>Source: 2025 U.S. Spencer Stuart Board Index, available at https://www.spencerstuart.com/research-and-insight/us-board-index.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5" w:right="359" w:bottom="1440" w:gutter="0" w:footer="0" w:header="0"/>
        </w:sectPr>
      </w:pPr>
    </w:p>
    <w:bookmarkStart w:id="82" w:name="page83"/>
    <w:bookmarkEnd w:id="82"/>
    <w:p>
      <w:pPr>
        <w:ind w:left="480" w:hanging="310"/>
        <w:spacing w:after="0"/>
        <w:tabs>
          <w:tab w:leader="none" w:pos="480" w:val="left"/>
        </w:tabs>
        <w:numPr>
          <w:ilvl w:val="0"/>
          <w:numId w:val="189"/>
        </w:numPr>
        <w:rPr>
          <w:rFonts w:ascii="Arial" w:cs="Arial" w:eastAsia="Arial" w:hAnsi="Arial"/>
          <w:sz w:val="16"/>
          <w:szCs w:val="16"/>
          <w:color w:val="auto"/>
        </w:rPr>
      </w:pPr>
      <w:r>
        <w:rPr>
          <w:rFonts w:ascii="Arial" w:cs="Arial" w:eastAsia="Arial" w:hAnsi="Arial"/>
          <w:sz w:val="18"/>
          <w:szCs w:val="18"/>
          <w:color w:val="auto"/>
        </w:rPr>
        <w:t>approving meeting agendas;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89"/>
        </w:numPr>
        <w:rPr>
          <w:rFonts w:ascii="Arial" w:cs="Arial" w:eastAsia="Arial" w:hAnsi="Arial"/>
          <w:sz w:val="16"/>
          <w:szCs w:val="16"/>
          <w:color w:val="auto"/>
        </w:rPr>
      </w:pPr>
      <w:r>
        <w:rPr>
          <w:rFonts w:ascii="Arial" w:cs="Arial" w:eastAsia="Arial" w:hAnsi="Arial"/>
          <w:sz w:val="18"/>
          <w:szCs w:val="18"/>
          <w:color w:val="auto"/>
        </w:rPr>
        <w:t>meeting with shareholders;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89"/>
        </w:numPr>
        <w:rPr>
          <w:rFonts w:ascii="Arial" w:cs="Arial" w:eastAsia="Arial" w:hAnsi="Arial"/>
          <w:sz w:val="16"/>
          <w:szCs w:val="16"/>
          <w:color w:val="auto"/>
        </w:rPr>
      </w:pPr>
      <w:r>
        <w:rPr>
          <w:rFonts w:ascii="Arial" w:cs="Arial" w:eastAsia="Arial" w:hAnsi="Arial"/>
          <w:sz w:val="18"/>
          <w:szCs w:val="18"/>
          <w:color w:val="auto"/>
        </w:rPr>
        <w:t>leading the annual board assessment process and director succession planning; and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89"/>
        </w:numPr>
        <w:rPr>
          <w:rFonts w:ascii="Arial" w:cs="Arial" w:eastAsia="Arial" w:hAnsi="Arial"/>
          <w:sz w:val="16"/>
          <w:szCs w:val="16"/>
          <w:color w:val="auto"/>
        </w:rPr>
      </w:pPr>
      <w:r>
        <w:rPr>
          <w:rFonts w:ascii="Arial" w:cs="Arial" w:eastAsia="Arial" w:hAnsi="Arial"/>
          <w:sz w:val="18"/>
          <w:szCs w:val="18"/>
          <w:color w:val="auto"/>
        </w:rPr>
        <w:t>retaining advisors for independent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has instituted a number of governance best practices to ensure effective independent oversight, including:</w:t>
      </w:r>
    </w:p>
    <w:p>
      <w:pPr>
        <w:spacing w:after="0" w:line="171" w:lineRule="exact"/>
        <w:rPr>
          <w:sz w:val="20"/>
          <w:szCs w:val="20"/>
          <w:color w:val="auto"/>
        </w:rPr>
      </w:pPr>
    </w:p>
    <w:p>
      <w:pPr>
        <w:ind w:left="500" w:right="620" w:hanging="330"/>
        <w:spacing w:after="0" w:line="287" w:lineRule="auto"/>
        <w:tabs>
          <w:tab w:leader="none" w:pos="489" w:val="left"/>
        </w:tabs>
        <w:numPr>
          <w:ilvl w:val="0"/>
          <w:numId w:val="190"/>
        </w:numPr>
        <w:rPr>
          <w:rFonts w:ascii="Arial" w:cs="Arial" w:eastAsia="Arial" w:hAnsi="Arial"/>
          <w:sz w:val="16"/>
          <w:szCs w:val="16"/>
          <w:color w:val="auto"/>
        </w:rPr>
      </w:pPr>
      <w:r>
        <w:rPr>
          <w:rFonts w:ascii="Arial" w:cs="Arial" w:eastAsia="Arial" w:hAnsi="Arial"/>
          <w:sz w:val="18"/>
          <w:szCs w:val="18"/>
          <w:color w:val="auto"/>
        </w:rPr>
        <w:t>executive sessions of the independent directors scheduled after every regular board meeting that are presided over by our lead independent director;</w:t>
      </w:r>
    </w:p>
    <w:p>
      <w:pPr>
        <w:spacing w:after="0" w:line="98" w:lineRule="exact"/>
        <w:rPr>
          <w:rFonts w:ascii="Arial" w:cs="Arial" w:eastAsia="Arial" w:hAnsi="Arial"/>
          <w:sz w:val="16"/>
          <w:szCs w:val="16"/>
          <w:color w:val="auto"/>
        </w:rPr>
      </w:pPr>
    </w:p>
    <w:p>
      <w:pPr>
        <w:ind w:left="500" w:hanging="330"/>
        <w:spacing w:after="0" w:line="268" w:lineRule="auto"/>
        <w:tabs>
          <w:tab w:leader="none" w:pos="489" w:val="left"/>
        </w:tabs>
        <w:numPr>
          <w:ilvl w:val="0"/>
          <w:numId w:val="190"/>
        </w:numPr>
        <w:rPr>
          <w:rFonts w:ascii="Arial" w:cs="Arial" w:eastAsia="Arial" w:hAnsi="Arial"/>
          <w:sz w:val="16"/>
          <w:szCs w:val="16"/>
          <w:color w:val="auto"/>
        </w:rPr>
      </w:pPr>
      <w:r>
        <w:rPr>
          <w:rFonts w:ascii="Arial" w:cs="Arial" w:eastAsia="Arial" w:hAnsi="Arial"/>
          <w:sz w:val="18"/>
          <w:szCs w:val="18"/>
          <w:color w:val="auto"/>
        </w:rPr>
        <w:t>an annual performance evaluation of the chair and CEO conducted by the independent directors, the results of which are reviewed with the CEO and considered by the Talent and Compensation Committee and independent directors in establishing the CEO’s compensation for the next year;</w:t>
      </w:r>
    </w:p>
    <w:p>
      <w:pPr>
        <w:spacing w:after="0" w:line="116" w:lineRule="exact"/>
        <w:rPr>
          <w:rFonts w:ascii="Arial" w:cs="Arial" w:eastAsia="Arial" w:hAnsi="Arial"/>
          <w:sz w:val="16"/>
          <w:szCs w:val="16"/>
          <w:color w:val="auto"/>
        </w:rPr>
      </w:pPr>
    </w:p>
    <w:p>
      <w:pPr>
        <w:ind w:left="480" w:hanging="310"/>
        <w:spacing w:after="0"/>
        <w:tabs>
          <w:tab w:leader="none" w:pos="480" w:val="left"/>
        </w:tabs>
        <w:numPr>
          <w:ilvl w:val="0"/>
          <w:numId w:val="190"/>
        </w:numPr>
        <w:rPr>
          <w:rFonts w:ascii="Arial" w:cs="Arial" w:eastAsia="Arial" w:hAnsi="Arial"/>
          <w:sz w:val="16"/>
          <w:szCs w:val="16"/>
          <w:color w:val="auto"/>
        </w:rPr>
      </w:pPr>
      <w:r>
        <w:rPr>
          <w:rFonts w:ascii="Arial" w:cs="Arial" w:eastAsia="Arial" w:hAnsi="Arial"/>
          <w:sz w:val="18"/>
          <w:szCs w:val="18"/>
          <w:color w:val="auto"/>
        </w:rPr>
        <w:t>an annual performance evaluation of the lead independent director by the board as part of the annual board assessment process;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90"/>
        </w:numPr>
        <w:rPr>
          <w:rFonts w:ascii="Arial" w:cs="Arial" w:eastAsia="Arial" w:hAnsi="Arial"/>
          <w:sz w:val="16"/>
          <w:szCs w:val="16"/>
          <w:color w:val="auto"/>
        </w:rPr>
      </w:pPr>
      <w:r>
        <w:rPr>
          <w:rFonts w:ascii="Arial" w:cs="Arial" w:eastAsia="Arial" w:hAnsi="Arial"/>
          <w:sz w:val="18"/>
          <w:szCs w:val="18"/>
          <w:color w:val="auto"/>
        </w:rPr>
        <w:t>independent director access to management whenever deemed necessary by the independent directors; and</w:t>
      </w:r>
    </w:p>
    <w:p>
      <w:pPr>
        <w:spacing w:after="0" w:line="171" w:lineRule="exact"/>
        <w:rPr>
          <w:rFonts w:ascii="Arial" w:cs="Arial" w:eastAsia="Arial" w:hAnsi="Arial"/>
          <w:sz w:val="16"/>
          <w:szCs w:val="16"/>
          <w:color w:val="auto"/>
        </w:rPr>
      </w:pPr>
    </w:p>
    <w:p>
      <w:pPr>
        <w:ind w:left="500" w:right="140" w:hanging="330"/>
        <w:spacing w:after="0" w:line="287" w:lineRule="auto"/>
        <w:tabs>
          <w:tab w:leader="none" w:pos="489" w:val="left"/>
        </w:tabs>
        <w:numPr>
          <w:ilvl w:val="0"/>
          <w:numId w:val="190"/>
        </w:numPr>
        <w:rPr>
          <w:rFonts w:ascii="Arial" w:cs="Arial" w:eastAsia="Arial" w:hAnsi="Arial"/>
          <w:sz w:val="16"/>
          <w:szCs w:val="16"/>
          <w:color w:val="auto"/>
        </w:rPr>
      </w:pPr>
      <w:r>
        <w:rPr>
          <w:rFonts w:ascii="Arial" w:cs="Arial" w:eastAsia="Arial" w:hAnsi="Arial"/>
          <w:sz w:val="18"/>
          <w:szCs w:val="18"/>
          <w:color w:val="auto"/>
        </w:rPr>
        <w:t>the ability of independent directors and all committees to retain their own independent advisors, at the company’s expense, whenever they deem it desirable to do so.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Our Current Structure Works Best</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combined chair/CEO role provides deep strategic insights and consistent communication vital to our innovative research and development business with prolonged development cycles. Meanwhile, our lead independent director—currently a sitting CEO—provides "outside in" analysis and ensures productive partnership between independent directors and management. A mandatory independent chair policy is unnecessary and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5768975" cy="54864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9"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3" w:name="page84"/>
    <w:bookmarkEnd w:id="83"/>
    <w:p>
      <w:pPr>
        <w:spacing w:after="0"/>
        <w:rPr>
          <w:sz w:val="20"/>
          <w:szCs w:val="20"/>
          <w:color w:val="auto"/>
        </w:rPr>
      </w:pPr>
      <w:r>
        <w:rPr>
          <w:rFonts w:ascii="Arial" w:cs="Arial" w:eastAsia="Arial" w:hAnsi="Arial"/>
          <w:sz w:val="32"/>
          <w:szCs w:val="32"/>
          <w:b w:val="1"/>
          <w:bCs w:val="1"/>
          <w:color w:val="D52B1E"/>
        </w:rPr>
        <w:t>Item 7. Shareholder Proposal to Prepare an Annual Lobbying Report</w:t>
      </w:r>
    </w:p>
    <w:p>
      <w:pPr>
        <w:spacing w:after="0" w:line="8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CommonSpirit Health, a beneficial owner of shares of our common stock having a market value in excess of $2,000, has submitted the following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56057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7132320" cy="4560570"/>
                    </a:xfrm>
                    <a:prstGeom prst="rect">
                      <a:avLst/>
                    </a:prstGeom>
                    <a:noFill/>
                  </pic:spPr>
                </pic:pic>
              </a:graphicData>
            </a:graphic>
          </wp:anchor>
        </w:drawing>
      </w:r>
    </w:p>
    <w:p>
      <w:pPr>
        <w:spacing w:after="0" w:line="133" w:lineRule="exact"/>
        <w:rPr>
          <w:sz w:val="20"/>
          <w:szCs w:val="20"/>
          <w:color w:val="auto"/>
        </w:rPr>
      </w:pPr>
    </w:p>
    <w:p>
      <w:pPr>
        <w:ind w:left="20" w:right="80"/>
        <w:spacing w:after="0" w:line="28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of Eli Lilly (“Lilly”) request the preparation of a report, updated annually, omitting any proprietary data and produced</w:t>
      </w:r>
      <w:r>
        <w:rPr>
          <w:rFonts w:ascii="Arial" w:cs="Arial" w:eastAsia="Arial" w:hAnsi="Arial"/>
          <w:sz w:val="18"/>
          <w:szCs w:val="18"/>
          <w:b w:val="1"/>
          <w:bCs w:val="1"/>
          <w:color w:val="auto"/>
        </w:rPr>
        <w:t xml:space="preserve"> </w:t>
      </w:r>
      <w:r>
        <w:rPr>
          <w:rFonts w:ascii="Arial" w:cs="Arial" w:eastAsia="Arial" w:hAnsi="Arial"/>
          <w:sz w:val="18"/>
          <w:szCs w:val="18"/>
          <w:color w:val="auto"/>
        </w:rPr>
        <w:t>at reasonable cost, disclosing:</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Payments by Lilly used for direct or indirect lobbying, in each indirect case including the amount of the payment and the recipient.</w:t>
      </w:r>
    </w:p>
    <w:p>
      <w:pPr>
        <w:spacing w:after="0" w:line="171" w:lineRule="exact"/>
        <w:rPr>
          <w:sz w:val="20"/>
          <w:szCs w:val="20"/>
          <w:color w:val="auto"/>
        </w:rPr>
      </w:pPr>
    </w:p>
    <w:p>
      <w:pPr>
        <w:jc w:val="both"/>
        <w:ind w:left="20" w:right="100"/>
        <w:spacing w:after="0" w:line="268" w:lineRule="auto"/>
        <w:rPr>
          <w:sz w:val="20"/>
          <w:szCs w:val="20"/>
          <w:color w:val="auto"/>
        </w:rPr>
      </w:pPr>
      <w:r>
        <w:rPr>
          <w:rFonts w:ascii="Arial" w:cs="Arial" w:eastAsia="Arial" w:hAnsi="Arial"/>
          <w:sz w:val="18"/>
          <w:szCs w:val="18"/>
          <w:color w:val="auto"/>
        </w:rPr>
        <w:t>For purposes of this proposal, payments used for direct lobbying are the annual aggregate amounts reported at the federal and state levels, broken out by federal and individual state. Payments used for indirect lobbying are payments to trade associations or social welfare groups that are used for lobbying as defined by tax law. Both direct and indirect lobbying include efforts at the state and federal levels.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report shall be posted on Lilly’s website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Supporting Statement</w:t>
      </w:r>
    </w:p>
    <w:p>
      <w:pPr>
        <w:spacing w:after="0" w:line="171"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As long-term shareholders of Lilly, we support transparency and accountability in corporate lobbying. Companies and investors may benefit if lobbying leads to improved policies, reduced regulation or taxation, or government contracts or subsidies. However, lobbying activities also create costs and can create risks for a corporation – and by extension, shareholders. Currently, shareholders must search the federal and 50 state lobbying databases to assemble a picture of a company’s lobbying. And state disclosure requirements vary widely,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with an analysis of Lilly’s disclosures finding 25 out of 48 states did not disclose amounts spent.</w:t>
      </w:r>
      <w:r>
        <w:rPr>
          <w:rFonts w:ascii="Arial" w:cs="Arial" w:eastAsia="Arial" w:hAnsi="Arial"/>
          <w:sz w:val="23"/>
          <w:szCs w:val="23"/>
          <w:color w:val="auto"/>
          <w:vertAlign w:val="superscript"/>
        </w:rPr>
        <w:t>2</w:t>
      </w:r>
    </w:p>
    <w:p>
      <w:pPr>
        <w:spacing w:after="0" w:line="63" w:lineRule="exact"/>
        <w:rPr>
          <w:sz w:val="20"/>
          <w:szCs w:val="20"/>
          <w:color w:val="auto"/>
        </w:rPr>
      </w:pPr>
    </w:p>
    <w:p>
      <w:pPr>
        <w:jc w:val="both"/>
        <w:ind w:left="20" w:right="300"/>
        <w:spacing w:after="0" w:line="268" w:lineRule="auto"/>
        <w:rPr>
          <w:sz w:val="20"/>
          <w:szCs w:val="20"/>
          <w:color w:val="auto"/>
        </w:rPr>
      </w:pPr>
      <w:r>
        <w:rPr>
          <w:rFonts w:ascii="Arial" w:cs="Arial" w:eastAsia="Arial" w:hAnsi="Arial"/>
          <w:sz w:val="18"/>
          <w:szCs w:val="18"/>
          <w:color w:val="auto"/>
        </w:rPr>
        <w:t>Lilly spent $8,430,000 on federal lobbying for 2024. This does not include state lobbying, where Lilly also lobbies. Lilly lists support of ten trade associations yet fails to disclose the amounts of its payments to those groups used for lobbying. And Lilly’s disclosure leaves out its memberships in and payments to social welfare groups, like the Alliance for Competitive Taxation and the Alliance for Patient Access.</w:t>
      </w:r>
    </w:p>
    <w:p>
      <w:pPr>
        <w:spacing w:after="0" w:line="117" w:lineRule="exact"/>
        <w:rPr>
          <w:sz w:val="20"/>
          <w:szCs w:val="20"/>
          <w:color w:val="auto"/>
        </w:rPr>
      </w:pPr>
    </w:p>
    <w:p>
      <w:pPr>
        <w:ind w:left="20" w:right="40"/>
        <w:spacing w:after="0" w:line="256" w:lineRule="auto"/>
        <w:rPr>
          <w:sz w:val="20"/>
          <w:szCs w:val="20"/>
          <w:color w:val="auto"/>
        </w:rPr>
      </w:pPr>
      <w:r>
        <w:rPr>
          <w:rFonts w:ascii="Arial" w:cs="Arial" w:eastAsia="Arial" w:hAnsi="Arial"/>
          <w:sz w:val="18"/>
          <w:szCs w:val="18"/>
          <w:color w:val="auto"/>
        </w:rPr>
        <w:t>The International Corporate Governance Network policy on lobbying recommends a company commit to public disclosure of its lobbying activities and any direct or indirect expenditure beyond a de minimis level (e.g., a contribution equal to or less than $10,000). Many companies already provide annual lobbying reports to shareholders, including Cardinal Health, Exxon, Procter &amp; Gamble and Xcel Energy, which report on their federal and state lobbying and indirect lobbying through trade associations and social welfare groups, and Amazon and Walmart, which provide full state lobbying reports. Among our company’s peers, Biogen, Gilead Sciences, Merck and Pfizer each provide an annual report of their trade association payments used for lobbying to shareholders. Companies are required to report this information at the federal and state levels, so it is not overly burdensome to provide it to shareholders.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urge Lilly to expand its lobbying disclosure.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_______________________________________</w:t>
      </w:r>
    </w:p>
    <w:p>
      <w:pPr>
        <w:ind w:left="120" w:hanging="94"/>
        <w:spacing w:after="0" w:line="225" w:lineRule="auto"/>
        <w:tabs>
          <w:tab w:leader="none" w:pos="120" w:val="left"/>
        </w:tabs>
        <w:numPr>
          <w:ilvl w:val="0"/>
          <w:numId w:val="191"/>
        </w:numPr>
        <w:rPr>
          <w:rFonts w:ascii="Arial" w:cs="Arial" w:eastAsia="Arial" w:hAnsi="Arial"/>
          <w:sz w:val="23"/>
          <w:szCs w:val="23"/>
          <w:color w:val="auto"/>
          <w:vertAlign w:val="superscript"/>
        </w:rPr>
      </w:pPr>
      <w:r>
        <w:rPr>
          <w:rFonts w:ascii="Arial" w:cs="Arial" w:eastAsia="Arial" w:hAnsi="Arial"/>
          <w:sz w:val="18"/>
          <w:szCs w:val="18"/>
          <w:color w:val="auto"/>
        </w:rPr>
        <w:t>https://www.ncsl.org/ethics/how-states-define-lobbying-and-lobbyist.</w:t>
      </w:r>
    </w:p>
    <w:p>
      <w:pPr>
        <w:ind w:left="140" w:hanging="114"/>
        <w:spacing w:after="0" w:line="210" w:lineRule="auto"/>
        <w:tabs>
          <w:tab w:leader="none" w:pos="140" w:val="left"/>
        </w:tabs>
        <w:numPr>
          <w:ilvl w:val="0"/>
          <w:numId w:val="192"/>
        </w:numPr>
        <w:rPr>
          <w:rFonts w:ascii="Arial" w:cs="Arial" w:eastAsia="Arial" w:hAnsi="Arial"/>
          <w:sz w:val="23"/>
          <w:szCs w:val="23"/>
          <w:color w:val="auto"/>
          <w:vertAlign w:val="superscript"/>
        </w:rPr>
      </w:pPr>
      <w:r>
        <w:rPr>
          <w:rFonts w:ascii="Arial" w:cs="Arial" w:eastAsia="Arial" w:hAnsi="Arial"/>
          <w:sz w:val="18"/>
          <w:szCs w:val="18"/>
          <w:color w:val="auto"/>
        </w:rPr>
        <w:t>https://www.citizen.org/news/despite-company-claims-eli-lilly-fails-to-disclose-its-state-lobbying-spending-for-half-the-country/.</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2" w:lineRule="exact"/>
        <w:rPr>
          <w:rFonts w:ascii="Arial" w:cs="Arial" w:eastAsia="Arial" w:hAnsi="Arial"/>
          <w:sz w:val="23"/>
          <w:szCs w:val="23"/>
          <w:color w:val="auto"/>
          <w:vertAlign w:val="superscript"/>
        </w:rPr>
      </w:pPr>
    </w:p>
    <w:p>
      <w:pPr>
        <w:ind w:left="5520"/>
        <w:spacing w:after="0"/>
        <w:rPr>
          <w:rFonts w:ascii="Arial" w:cs="Arial" w:eastAsia="Arial" w:hAnsi="Arial"/>
          <w:sz w:val="23"/>
          <w:szCs w:val="23"/>
          <w:color w:val="auto"/>
          <w:vertAlign w:val="superscript"/>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5" w:right="359" w:bottom="1440" w:gutter="0" w:footer="0" w:header="0"/>
        </w:sectPr>
      </w:pPr>
    </w:p>
    <w:bookmarkStart w:id="84" w:name="page85"/>
    <w:bookmarkEnd w:id="84"/>
    <w:p>
      <w:pPr>
        <w:spacing w:after="0"/>
        <w:rPr>
          <w:sz w:val="20"/>
          <w:szCs w:val="20"/>
          <w:color w:val="auto"/>
        </w:rPr>
      </w:pPr>
      <w:r>
        <w:rPr>
          <w:rFonts w:ascii="Arial" w:cs="Arial" w:eastAsia="Arial" w:hAnsi="Arial"/>
          <w:sz w:val="25"/>
          <w:szCs w:val="25"/>
          <w:b w:val="1"/>
          <w:bCs w:val="1"/>
          <w:color w:val="0F3A85"/>
        </w:rPr>
        <w:t>Lilly’s Opposing Statement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after review by its Directors and Corporate Governance Committee,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40575" cy="104584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7140575" cy="1045845"/>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discussed in more detail below, the change requested by the proposal is unnecessary because:</w:t>
      </w:r>
    </w:p>
    <w:p>
      <w:pPr>
        <w:spacing w:after="0" w:line="171" w:lineRule="exact"/>
        <w:rPr>
          <w:sz w:val="20"/>
          <w:szCs w:val="20"/>
          <w:color w:val="auto"/>
        </w:rPr>
      </w:pPr>
    </w:p>
    <w:p>
      <w:pPr>
        <w:ind w:left="180" w:right="340" w:hanging="157"/>
        <w:spacing w:after="0" w:line="287" w:lineRule="auto"/>
        <w:tabs>
          <w:tab w:leader="none" w:pos="173" w:val="left"/>
        </w:tabs>
        <w:numPr>
          <w:ilvl w:val="0"/>
          <w:numId w:val="193"/>
        </w:numPr>
        <w:rPr>
          <w:rFonts w:ascii="Wingdings" w:cs="Wingdings" w:eastAsia="Wingdings" w:hAnsi="Wingdings"/>
          <w:sz w:val="18"/>
          <w:szCs w:val="18"/>
          <w:b w:val="1"/>
          <w:bCs w:val="1"/>
          <w:color w:val="494949"/>
        </w:rPr>
      </w:pPr>
      <w:r>
        <w:rPr>
          <w:rFonts w:ascii="Arial" w:cs="Arial" w:eastAsia="Arial" w:hAnsi="Arial"/>
          <w:sz w:val="18"/>
          <w:szCs w:val="18"/>
          <w:color w:val="auto"/>
        </w:rPr>
        <w:t>Lilly publicly discloses a detailed report with information regarding our direct and indirect lobbying expenditures and our membership in trade associations that lobby in the U.S., including the percentage of such payments attributed to lobbying; and</w:t>
      </w:r>
    </w:p>
    <w:p>
      <w:pPr>
        <w:spacing w:after="0" w:line="98" w:lineRule="exact"/>
        <w:rPr>
          <w:rFonts w:ascii="Wingdings" w:cs="Wingdings" w:eastAsia="Wingdings" w:hAnsi="Wingdings"/>
          <w:sz w:val="18"/>
          <w:szCs w:val="18"/>
          <w:b w:val="1"/>
          <w:bCs w:val="1"/>
          <w:color w:val="494949"/>
        </w:rPr>
      </w:pPr>
    </w:p>
    <w:p>
      <w:pPr>
        <w:ind w:left="180" w:right="340" w:hanging="157"/>
        <w:spacing w:after="0" w:line="287" w:lineRule="auto"/>
        <w:tabs>
          <w:tab w:leader="none" w:pos="173" w:val="left"/>
        </w:tabs>
        <w:numPr>
          <w:ilvl w:val="0"/>
          <w:numId w:val="193"/>
        </w:numPr>
        <w:rPr>
          <w:rFonts w:ascii="Wingdings" w:cs="Wingdings" w:eastAsia="Wingdings" w:hAnsi="Wingdings"/>
          <w:sz w:val="18"/>
          <w:szCs w:val="18"/>
          <w:b w:val="1"/>
          <w:bCs w:val="1"/>
          <w:color w:val="494949"/>
        </w:rPr>
      </w:pPr>
      <w:r>
        <w:rPr>
          <w:rFonts w:ascii="Arial" w:cs="Arial" w:eastAsia="Arial" w:hAnsi="Arial"/>
          <w:sz w:val="18"/>
          <w:szCs w:val="18"/>
          <w:color w:val="auto"/>
        </w:rPr>
        <w:t>Requiring Lilly to prepare a separate report with this information would not provide meaningful additional information to shareholders in relation to the resources it would require.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Already Publicly Discloses a Detailed Lobbying Report</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Lilly believes it is important to be a responsible participant in political and public policy debates, including directly and indirectly through membership in trade associations and organizations. Lilly’s engagement in the political arena focuses on three key areas: innovation; health care delivery; and pricing and reimbursement.</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recent years, following feedback from shareholders, Lilly substantially enhanced its disclosures related to its direct and indirect lobbying activities. Lilly’s dedication to transparency is reflected in its ranking as a top performer (Tier 1) in the CPA-Zicklin Index (which benchmarks S&amp;P 500 companies' transparency and governance over their political spending) for the past two consecutive years.</w:t>
      </w:r>
      <w:r>
        <w:rPr>
          <w:rFonts w:ascii="Arial" w:cs="Arial" w:eastAsia="Arial" w:hAnsi="Arial"/>
          <w:sz w:val="23"/>
          <w:szCs w:val="23"/>
          <w:color w:val="auto"/>
          <w:vertAlign w:val="superscript"/>
        </w:rPr>
        <w:t>1</w:t>
      </w:r>
    </w:p>
    <w:p>
      <w:pPr>
        <w:spacing w:after="0" w:line="44"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 xml:space="preserve">Lilly provides disclosure about its lobbying and other political activities on its website at </w:t>
      </w:r>
      <w:r>
        <w:rPr>
          <w:rFonts w:ascii="Arial" w:cs="Arial" w:eastAsia="Arial" w:hAnsi="Arial"/>
          <w:sz w:val="17"/>
          <w:szCs w:val="17"/>
          <w:color w:val="D52B1E"/>
        </w:rPr>
        <w:t xml:space="preserve">lilly.com/about/our-views/public-policy/political-participation </w:t>
      </w:r>
      <w:r>
        <w:rPr>
          <w:rFonts w:ascii="Arial" w:cs="Arial" w:eastAsia="Arial" w:hAnsi="Arial"/>
          <w:sz w:val="17"/>
          <w:szCs w:val="17"/>
          <w:color w:val="000000"/>
        </w:rPr>
        <w:t>(the Public Policy Website). This disclosure is updated at least annually (with certain disclosures updated more frequently) and:</w:t>
      </w:r>
    </w:p>
    <w:p>
      <w:pPr>
        <w:spacing w:after="0" w:line="76" w:lineRule="exact"/>
        <w:rPr>
          <w:sz w:val="20"/>
          <w:szCs w:val="20"/>
          <w:color w:val="auto"/>
        </w:rPr>
      </w:pPr>
    </w:p>
    <w:p>
      <w:pPr>
        <w:ind w:left="480" w:hanging="310"/>
        <w:spacing w:after="0"/>
        <w:tabs>
          <w:tab w:leader="none" w:pos="480" w:val="left"/>
        </w:tabs>
        <w:numPr>
          <w:ilvl w:val="0"/>
          <w:numId w:val="194"/>
        </w:numPr>
        <w:rPr>
          <w:rFonts w:ascii="Arial" w:cs="Arial" w:eastAsia="Arial" w:hAnsi="Arial"/>
          <w:sz w:val="16"/>
          <w:szCs w:val="16"/>
          <w:color w:val="auto"/>
        </w:rPr>
      </w:pPr>
      <w:r>
        <w:rPr>
          <w:rFonts w:ascii="Arial" w:cs="Arial" w:eastAsia="Arial" w:hAnsi="Arial"/>
          <w:sz w:val="18"/>
          <w:szCs w:val="18"/>
          <w:color w:val="auto"/>
        </w:rPr>
        <w:t>describes the board’s oversight of political expenditures and lobbying activities;</w:t>
      </w:r>
    </w:p>
    <w:p>
      <w:pPr>
        <w:spacing w:after="0" w:line="171" w:lineRule="exact"/>
        <w:rPr>
          <w:rFonts w:ascii="Arial" w:cs="Arial" w:eastAsia="Arial" w:hAnsi="Arial"/>
          <w:sz w:val="16"/>
          <w:szCs w:val="16"/>
          <w:color w:val="auto"/>
        </w:rPr>
      </w:pPr>
    </w:p>
    <w:p>
      <w:pPr>
        <w:ind w:left="500" w:right="20" w:hanging="330"/>
        <w:spacing w:after="0" w:line="287" w:lineRule="auto"/>
        <w:tabs>
          <w:tab w:leader="none" w:pos="489" w:val="left"/>
        </w:tabs>
        <w:numPr>
          <w:ilvl w:val="0"/>
          <w:numId w:val="194"/>
        </w:numPr>
        <w:rPr>
          <w:rFonts w:ascii="Arial" w:cs="Arial" w:eastAsia="Arial" w:hAnsi="Arial"/>
          <w:sz w:val="16"/>
          <w:szCs w:val="16"/>
          <w:color w:val="auto"/>
        </w:rPr>
      </w:pPr>
      <w:r>
        <w:rPr>
          <w:rFonts w:ascii="Arial" w:cs="Arial" w:eastAsia="Arial" w:hAnsi="Arial"/>
          <w:sz w:val="18"/>
          <w:szCs w:val="18"/>
          <w:color w:val="auto"/>
        </w:rPr>
        <w:t>includes a report of Lilly’s political contributions to candidates for public office (directly from Lilly and through the company’s exclusively employee-led political action committee (LillyPAC));</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94"/>
        </w:numPr>
        <w:rPr>
          <w:rFonts w:ascii="Arial" w:cs="Arial" w:eastAsia="Arial" w:hAnsi="Arial"/>
          <w:sz w:val="16"/>
          <w:szCs w:val="16"/>
          <w:color w:val="auto"/>
        </w:rPr>
      </w:pPr>
      <w:r>
        <w:rPr>
          <w:rFonts w:ascii="Arial" w:cs="Arial" w:eastAsia="Arial" w:hAnsi="Arial"/>
          <w:sz w:val="18"/>
          <w:szCs w:val="18"/>
          <w:color w:val="auto"/>
        </w:rPr>
        <w:t>provides Lilly’s total federal lobbying spending and links to the website to find its federal lobbying disclosures;</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94"/>
        </w:numPr>
        <w:rPr>
          <w:rFonts w:ascii="Arial" w:cs="Arial" w:eastAsia="Arial" w:hAnsi="Arial"/>
          <w:sz w:val="16"/>
          <w:szCs w:val="16"/>
          <w:color w:val="auto"/>
        </w:rPr>
      </w:pPr>
      <w:r>
        <w:rPr>
          <w:rFonts w:ascii="Arial" w:cs="Arial" w:eastAsia="Arial" w:hAnsi="Arial"/>
          <w:sz w:val="18"/>
          <w:szCs w:val="18"/>
          <w:color w:val="auto"/>
        </w:rPr>
        <w:t>details Lilly’s state lobbying activities, including a chart for locating its state lobbying disclosures on each state’s website;</w:t>
      </w:r>
    </w:p>
    <w:p>
      <w:pPr>
        <w:spacing w:after="0" w:line="171" w:lineRule="exact"/>
        <w:rPr>
          <w:rFonts w:ascii="Arial" w:cs="Arial" w:eastAsia="Arial" w:hAnsi="Arial"/>
          <w:sz w:val="16"/>
          <w:szCs w:val="16"/>
          <w:color w:val="auto"/>
        </w:rPr>
      </w:pPr>
    </w:p>
    <w:p>
      <w:pPr>
        <w:ind w:left="500" w:right="360" w:hanging="330"/>
        <w:spacing w:after="0" w:line="287" w:lineRule="auto"/>
        <w:tabs>
          <w:tab w:leader="none" w:pos="489" w:val="left"/>
        </w:tabs>
        <w:numPr>
          <w:ilvl w:val="0"/>
          <w:numId w:val="194"/>
        </w:numPr>
        <w:rPr>
          <w:rFonts w:ascii="Arial" w:cs="Arial" w:eastAsia="Arial" w:hAnsi="Arial"/>
          <w:sz w:val="16"/>
          <w:szCs w:val="16"/>
          <w:color w:val="auto"/>
        </w:rPr>
      </w:pPr>
      <w:r>
        <w:rPr>
          <w:rFonts w:ascii="Arial" w:cs="Arial" w:eastAsia="Arial" w:hAnsi="Arial"/>
          <w:sz w:val="18"/>
          <w:szCs w:val="18"/>
          <w:color w:val="auto"/>
        </w:rPr>
        <w:t>lists trade associations to which Lilly pays annual membership dues of $50,000 or more (and specifies those trade associations on which Lilly has a board seat) and the portion of Lilly’s payments to each of those groups that is used for lobbying;</w:t>
      </w:r>
    </w:p>
    <w:p>
      <w:pPr>
        <w:spacing w:after="0" w:line="98" w:lineRule="exact"/>
        <w:rPr>
          <w:rFonts w:ascii="Arial" w:cs="Arial" w:eastAsia="Arial" w:hAnsi="Arial"/>
          <w:sz w:val="16"/>
          <w:szCs w:val="16"/>
          <w:color w:val="auto"/>
        </w:rPr>
      </w:pPr>
    </w:p>
    <w:p>
      <w:pPr>
        <w:ind w:left="480" w:hanging="310"/>
        <w:spacing w:after="0"/>
        <w:tabs>
          <w:tab w:leader="none" w:pos="480" w:val="left"/>
        </w:tabs>
        <w:numPr>
          <w:ilvl w:val="0"/>
          <w:numId w:val="194"/>
        </w:numPr>
        <w:rPr>
          <w:rFonts w:ascii="Arial" w:cs="Arial" w:eastAsia="Arial" w:hAnsi="Arial"/>
          <w:sz w:val="16"/>
          <w:szCs w:val="16"/>
          <w:color w:val="auto"/>
        </w:rPr>
      </w:pPr>
      <w:r>
        <w:rPr>
          <w:rFonts w:ascii="Arial" w:cs="Arial" w:eastAsia="Arial" w:hAnsi="Arial"/>
          <w:sz w:val="18"/>
          <w:szCs w:val="18"/>
          <w:color w:val="auto"/>
        </w:rPr>
        <w:t>discusses the public policy positions Lilly supports; and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94"/>
        </w:numPr>
        <w:rPr>
          <w:rFonts w:ascii="Arial" w:cs="Arial" w:eastAsia="Arial" w:hAnsi="Arial"/>
          <w:sz w:val="16"/>
          <w:szCs w:val="16"/>
          <w:color w:val="auto"/>
        </w:rPr>
      </w:pPr>
      <w:r>
        <w:rPr>
          <w:rFonts w:ascii="Arial" w:cs="Arial" w:eastAsia="Arial" w:hAnsi="Arial"/>
          <w:sz w:val="18"/>
          <w:szCs w:val="18"/>
          <w:color w:val="auto"/>
        </w:rPr>
        <w:t>outlines Lilly’s core principles and key areas of public policy effort when advocating for improvements to the U.S. healthcare system.</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Lilly includes corporate political contributions in our Report of Political Financial Contributions posted on our Public Policy Website. Additional details regarding the company’s corporate contributions, LillyPAC’s contributions, contribution data, and the company’s direct lobbying expenses are also already made available to the public from numerous public sources. This extensive disclosure regarding Lilly’s lobbying and political spending reflects Lilly’s commitment to transparency on this topic.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1" w:lineRule="exact"/>
        <w:rPr>
          <w:sz w:val="20"/>
          <w:szCs w:val="20"/>
          <w:color w:val="auto"/>
        </w:rPr>
      </w:pPr>
    </w:p>
    <w:p>
      <w:pPr>
        <w:jc w:val="both"/>
        <w:ind w:left="80" w:right="40" w:hanging="72"/>
        <w:spacing w:after="0" w:line="237" w:lineRule="auto"/>
        <w:tabs>
          <w:tab w:leader="none" w:pos="114" w:val="left"/>
        </w:tabs>
        <w:numPr>
          <w:ilvl w:val="0"/>
          <w:numId w:val="195"/>
        </w:numPr>
        <w:rPr>
          <w:rFonts w:ascii="Arial" w:cs="Arial" w:eastAsia="Arial" w:hAnsi="Arial"/>
          <w:sz w:val="23"/>
          <w:szCs w:val="23"/>
          <w:color w:val="auto"/>
          <w:vertAlign w:val="superscript"/>
        </w:rPr>
      </w:pPr>
      <w:r>
        <w:rPr>
          <w:rFonts w:ascii="Arial" w:cs="Arial" w:eastAsia="Arial" w:hAnsi="Arial"/>
          <w:sz w:val="18"/>
          <w:szCs w:val="18"/>
          <w:color w:val="auto"/>
        </w:rPr>
        <w:t>Source: 2025 CPA-Zicklin Index of Corporate Political Disclosure and Accountability, available at https://www.politicalaccountability.net/wp-content/uploads/2025/11/2025-CPA-Zicklin-Index.pdf; 2024 CPA-Zicklin Index of Corporate Political Disclosure and Accountability, available at https://www.politicalaccountability.net/wp-content/uploads/2025/01/2024-CPA-Zicklin-Index.pdf.</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5"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A Separate Report Would Not Provide Meaningful Additional Information to Shareholders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do not believe that publishing the standalone report requested by the proposal would provide meaningful additional information to shareholders to merit the resources required to provide the requested report. For these reasons, we believe the proposal is not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768975" cy="54864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5768975" cy="548640"/>
                    </a:xfrm>
                    <a:prstGeom prst="rect">
                      <a:avLst/>
                    </a:prstGeom>
                    <a:noFill/>
                  </pic:spPr>
                </pic:pic>
              </a:graphicData>
            </a:graphic>
          </wp:anchor>
        </w:drawing>
      </w:r>
    </w:p>
    <w:p>
      <w:pPr>
        <w:spacing w:after="0" w:line="254"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D52B1E"/>
        </w:rPr>
        <w:t>RECOMMENDATION AGAINST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The board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52"/>
          <w:szCs w:val="52"/>
          <w:b w:val="1"/>
          <w:bCs w:val="1"/>
          <w:color w:val="auto"/>
        </w:rPr>
        <w:t>Other Information</w:t>
      </w:r>
    </w:p>
    <w:p>
      <w:pPr>
        <w:spacing w:after="0" w:line="357"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Meeting and Voting Logistics</w:t>
      </w:r>
    </w:p>
    <w:p>
      <w:pPr>
        <w:spacing w:after="0" w:line="8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The 2026 Annual Meeting will be held virtually via live webcast designed to provide shareholders the opportunity to participate virtually to facilitate shareholder attendance and to provide a consistent experience to all shareholders, regardless of location. You will be able to attend the Annual Meeting, vote, and submit questions virtually via webcast by visiting </w:t>
      </w:r>
      <w:r>
        <w:rPr>
          <w:rFonts w:ascii="Arial" w:cs="Arial" w:eastAsia="Arial" w:hAnsi="Arial"/>
          <w:sz w:val="18"/>
          <w:szCs w:val="18"/>
          <w:color w:val="D52B1E"/>
        </w:rPr>
        <w:t>virtualshareholdermeeting.com/LLY2026</w:t>
      </w:r>
      <w:r>
        <w:rPr>
          <w:rFonts w:ascii="Arial" w:cs="Arial" w:eastAsia="Arial" w:hAnsi="Arial"/>
          <w:sz w:val="18"/>
          <w:szCs w:val="18"/>
          <w:color w:val="auto"/>
        </w:rPr>
        <w:t xml:space="preserve"> and entering the 16-digit control number found on the proxy card, voting instruction form, or notice you received.</w:t>
      </w:r>
    </w:p>
    <w:p>
      <w:pPr>
        <w:spacing w:after="0" w:line="126" w:lineRule="exact"/>
        <w:rPr>
          <w:sz w:val="20"/>
          <w:szCs w:val="20"/>
          <w:color w:val="auto"/>
        </w:rPr>
      </w:pPr>
    </w:p>
    <w:p>
      <w:pPr>
        <w:ind w:right="200"/>
        <w:spacing w:after="0" w:line="292" w:lineRule="auto"/>
        <w:rPr>
          <w:sz w:val="20"/>
          <w:szCs w:val="20"/>
          <w:color w:val="auto"/>
        </w:rPr>
      </w:pPr>
      <w:r>
        <w:rPr>
          <w:rFonts w:ascii="Arial" w:cs="Arial" w:eastAsia="Arial" w:hAnsi="Arial"/>
          <w:sz w:val="22"/>
          <w:szCs w:val="22"/>
          <w:b w:val="1"/>
          <w:bCs w:val="1"/>
          <w:color w:val="auto"/>
        </w:rPr>
        <w:t xml:space="preserve">Vote Early: </w:t>
      </w:r>
      <w:r>
        <w:rPr>
          <w:rFonts w:ascii="Arial" w:cs="Arial" w:eastAsia="Arial" w:hAnsi="Arial"/>
          <w:sz w:val="17"/>
          <w:szCs w:val="17"/>
          <w:color w:val="auto"/>
        </w:rPr>
        <w:t>Even if you plan to attend the Annual Meeting, we encourage you to vote prior to the meeting, either online, by telephone, or</w:t>
      </w:r>
      <w:r>
        <w:rPr>
          <w:rFonts w:ascii="Arial" w:cs="Arial" w:eastAsia="Arial" w:hAnsi="Arial"/>
          <w:sz w:val="22"/>
          <w:szCs w:val="22"/>
          <w:b w:val="1"/>
          <w:bCs w:val="1"/>
          <w:color w:val="auto"/>
        </w:rPr>
        <w:t xml:space="preserve"> </w:t>
      </w:r>
      <w:r>
        <w:rPr>
          <w:rFonts w:ascii="Arial" w:cs="Arial" w:eastAsia="Arial" w:hAnsi="Arial"/>
          <w:sz w:val="17"/>
          <w:szCs w:val="17"/>
          <w:color w:val="auto"/>
        </w:rPr>
        <w:t>by mail.</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22"/>
          <w:szCs w:val="22"/>
          <w:b w:val="1"/>
          <w:bCs w:val="1"/>
          <w:color w:val="auto"/>
        </w:rPr>
        <w:t xml:space="preserve">Beneficial Shareholders: </w:t>
      </w:r>
      <w:r>
        <w:rPr>
          <w:rFonts w:ascii="Arial" w:cs="Arial" w:eastAsia="Arial" w:hAnsi="Arial"/>
          <w:sz w:val="17"/>
          <w:szCs w:val="17"/>
          <w:color w:val="auto"/>
        </w:rPr>
        <w:t>Shareholders who hold their shares beneficially through an institutional holder of record, such as a broker or</w:t>
      </w:r>
      <w:r>
        <w:rPr>
          <w:rFonts w:ascii="Arial" w:cs="Arial" w:eastAsia="Arial" w:hAnsi="Arial"/>
          <w:sz w:val="22"/>
          <w:szCs w:val="22"/>
          <w:b w:val="1"/>
          <w:bCs w:val="1"/>
          <w:color w:val="auto"/>
        </w:rPr>
        <w:t xml:space="preserve"> </w:t>
      </w:r>
      <w:r>
        <w:rPr>
          <w:rFonts w:ascii="Arial" w:cs="Arial" w:eastAsia="Arial" w:hAnsi="Arial"/>
          <w:sz w:val="17"/>
          <w:szCs w:val="17"/>
          <w:color w:val="auto"/>
        </w:rPr>
        <w:t>bank (sometimes referred to as holding shares in street name), will receive voting instructions from that holder of record. If you do not provide voting instructions to the holder of record, your shares will not be voted on any proposal on which the broker does not have discretionary authority to vote. See below for more information.</w:t>
      </w:r>
    </w:p>
    <w:p>
      <w:pPr>
        <w:spacing w:after="0" w:line="105"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b w:val="1"/>
          <w:bCs w:val="1"/>
          <w:color w:val="auto"/>
        </w:rPr>
        <w:t xml:space="preserve">Voting Deadlines: </w:t>
      </w:r>
      <w:r>
        <w:rPr>
          <w:rFonts w:ascii="Arial" w:cs="Arial" w:eastAsia="Arial" w:hAnsi="Arial"/>
          <w:sz w:val="17"/>
          <w:szCs w:val="17"/>
          <w:color w:val="auto"/>
        </w:rPr>
        <w:t>You may vote your shares prior to the Annual Meeting until 11:59 p.m. EDT on May 3, 2026, online, or by telephone.</w:t>
      </w:r>
      <w:r>
        <w:rPr>
          <w:rFonts w:ascii="Arial" w:cs="Arial" w:eastAsia="Arial" w:hAnsi="Arial"/>
          <w:sz w:val="22"/>
          <w:szCs w:val="22"/>
          <w:b w:val="1"/>
          <w:bCs w:val="1"/>
          <w:color w:val="auto"/>
        </w:rPr>
        <w:t xml:space="preserve"> </w:t>
      </w:r>
      <w:r>
        <w:rPr>
          <w:rFonts w:ascii="Arial" w:cs="Arial" w:eastAsia="Arial" w:hAnsi="Arial"/>
          <w:sz w:val="17"/>
          <w:szCs w:val="17"/>
          <w:color w:val="auto"/>
        </w:rPr>
        <w:t>If you are voting by mail, your marked, signed, and dated proxy card must be received by 11:59 p.m. EDT on May 3, 2026. Shareholders who hold their shares in the 401(k) Plan must vote by April 29, 2026, so the plan trustee can vote their shares accordingly. See below for more information.</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Quorum</w:t>
      </w:r>
    </w:p>
    <w:p>
      <w:pPr>
        <w:spacing w:after="0" w:line="61"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A majority of the outstanding shares entitled to vote, present or represented by proxy, constitutes a quorum for the Annual Meeting. As of February 25, 2026, 944,818,881 shares of company common stock were issued and outstanding.</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Who Can Vote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Shareholders as of the close of business on February 25, 2026 (the record date) may vote or have their shares voted at the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You have one vote for each share of common stock you held on the record date, including shares:</w:t>
      </w:r>
    </w:p>
    <w:p>
      <w:pPr>
        <w:spacing w:after="0" w:line="153" w:lineRule="exact"/>
        <w:rPr>
          <w:sz w:val="20"/>
          <w:szCs w:val="20"/>
          <w:color w:val="auto"/>
        </w:rPr>
      </w:pPr>
    </w:p>
    <w:p>
      <w:pPr>
        <w:ind w:left="480" w:hanging="310"/>
        <w:spacing w:after="0"/>
        <w:tabs>
          <w:tab w:leader="none" w:pos="480" w:val="left"/>
        </w:tabs>
        <w:numPr>
          <w:ilvl w:val="0"/>
          <w:numId w:val="196"/>
        </w:numPr>
        <w:rPr>
          <w:rFonts w:ascii="Arial" w:cs="Arial" w:eastAsia="Arial" w:hAnsi="Arial"/>
          <w:sz w:val="16"/>
          <w:szCs w:val="16"/>
          <w:color w:val="auto"/>
        </w:rPr>
      </w:pPr>
      <w:r>
        <w:rPr>
          <w:rFonts w:ascii="Arial" w:cs="Arial" w:eastAsia="Arial" w:hAnsi="Arial"/>
          <w:sz w:val="18"/>
          <w:szCs w:val="18"/>
          <w:color w:val="auto"/>
        </w:rPr>
        <w:t>held directly in your name as the shareholder of record;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96"/>
        </w:numPr>
        <w:rPr>
          <w:rFonts w:ascii="Arial" w:cs="Arial" w:eastAsia="Arial" w:hAnsi="Arial"/>
          <w:sz w:val="16"/>
          <w:szCs w:val="16"/>
          <w:color w:val="auto"/>
        </w:rPr>
      </w:pPr>
      <w:r>
        <w:rPr>
          <w:rFonts w:ascii="Arial" w:cs="Arial" w:eastAsia="Arial" w:hAnsi="Arial"/>
          <w:sz w:val="18"/>
          <w:szCs w:val="18"/>
          <w:color w:val="auto"/>
        </w:rPr>
        <w:t>held for you in an account with a broker, bank, or other nominee; and</w:t>
      </w:r>
    </w:p>
    <w:p>
      <w:pPr>
        <w:spacing w:after="0" w:line="171" w:lineRule="exact"/>
        <w:rPr>
          <w:rFonts w:ascii="Arial" w:cs="Arial" w:eastAsia="Arial" w:hAnsi="Arial"/>
          <w:sz w:val="16"/>
          <w:szCs w:val="16"/>
          <w:color w:val="auto"/>
        </w:rPr>
      </w:pPr>
    </w:p>
    <w:p>
      <w:pPr>
        <w:ind w:left="480" w:hanging="310"/>
        <w:spacing w:after="0"/>
        <w:tabs>
          <w:tab w:leader="none" w:pos="480" w:val="left"/>
        </w:tabs>
        <w:numPr>
          <w:ilvl w:val="0"/>
          <w:numId w:val="196"/>
        </w:numPr>
        <w:rPr>
          <w:rFonts w:ascii="Arial" w:cs="Arial" w:eastAsia="Arial" w:hAnsi="Arial"/>
          <w:sz w:val="16"/>
          <w:szCs w:val="16"/>
          <w:color w:val="auto"/>
        </w:rPr>
      </w:pPr>
      <w:r>
        <w:rPr>
          <w:rFonts w:ascii="Arial" w:cs="Arial" w:eastAsia="Arial" w:hAnsi="Arial"/>
          <w:sz w:val="18"/>
          <w:szCs w:val="18"/>
          <w:color w:val="auto"/>
        </w:rPr>
        <w:t>attributed to your account in the company’s 401(k) Plan.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Why You May Receive Multiple Notices, Proxy Materials, or Emails</w:t>
      </w:r>
    </w:p>
    <w:p>
      <w:pPr>
        <w:spacing w:after="0" w:line="69"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 xml:space="preserve">If you received more than one notice, full set of proxy materials, or email related to proxy materials, you hold shares in more than one account. </w:t>
      </w:r>
      <w:r>
        <w:rPr>
          <w:rFonts w:ascii="Arial" w:cs="Arial" w:eastAsia="Arial" w:hAnsi="Arial"/>
          <w:sz w:val="17"/>
          <w:szCs w:val="17"/>
          <w:b w:val="1"/>
          <w:bCs w:val="1"/>
          <w:color w:val="auto"/>
        </w:rPr>
        <w:t>You will need to cast a vote for each notice, full set of proxy materials, or email you receive.</w:t>
      </w:r>
      <w:r>
        <w:rPr>
          <w:rFonts w:ascii="Arial" w:cs="Arial" w:eastAsia="Arial" w:hAnsi="Arial"/>
          <w:sz w:val="17"/>
          <w:szCs w:val="17"/>
          <w:color w:val="auto"/>
        </w:rPr>
        <w:t xml:space="preserve"> If you do not receive a proxy</w:t>
      </w:r>
    </w:p>
    <w:p>
      <w:pPr>
        <w:ind w:right="80"/>
        <w:spacing w:after="0" w:line="296" w:lineRule="auto"/>
        <w:rPr>
          <w:sz w:val="20"/>
          <w:szCs w:val="20"/>
          <w:color w:val="auto"/>
        </w:rPr>
      </w:pPr>
      <w:r>
        <w:rPr>
          <w:rFonts w:ascii="Arial" w:cs="Arial" w:eastAsia="Arial" w:hAnsi="Arial"/>
          <w:sz w:val="17"/>
          <w:szCs w:val="17"/>
          <w:color w:val="auto"/>
        </w:rPr>
        <w:t>card, you may have elected to receive your proxy statement electronically, in which case you should have received an email with directions on how to access this proxy statement and how to vote your shares. If you wish to request a paper copy of these materials and a proxy card,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color w:val="auto"/>
        </w:rPr>
        <w:t>please call 1-800-579-1639 on or before April 20, 2026, to facilitate timely delivery.</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Voting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5760720"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Effect of</w:t>
            </w:r>
          </w:p>
        </w:tc>
        <w:tc>
          <w:tcPr>
            <w:tcW w:w="0" w:type="dxa"/>
            <w:vAlign w:val="bottom"/>
          </w:tcPr>
          <w:p>
            <w:pPr>
              <w:spacing w:after="0"/>
              <w:rPr>
                <w:sz w:val="1"/>
                <w:szCs w:val="1"/>
                <w:color w:val="auto"/>
              </w:rPr>
            </w:pPr>
          </w:p>
        </w:tc>
      </w:tr>
      <w:tr>
        <w:trPr>
          <w:trHeight w:val="181"/>
        </w:trPr>
        <w:tc>
          <w:tcPr>
            <w:tcW w:w="25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Required</w:t>
            </w:r>
          </w:p>
        </w:tc>
        <w:tc>
          <w:tcPr>
            <w:tcW w:w="170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Effect of</w:t>
            </w:r>
          </w:p>
        </w:tc>
        <w:tc>
          <w:tcPr>
            <w:tcW w:w="12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Discretionary</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Voting Matter</w:t>
            </w:r>
          </w:p>
        </w:tc>
        <w:tc>
          <w:tcPr>
            <w:tcW w:w="1100" w:type="dxa"/>
            <w:vAlign w:val="bottom"/>
            <w:vMerge w:val="continue"/>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Voting Options</w:t>
            </w:r>
          </w:p>
        </w:tc>
        <w:tc>
          <w:tcPr>
            <w:tcW w:w="1320" w:type="dxa"/>
            <w:vAlign w:val="bottom"/>
            <w:vMerge w:val="continue"/>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Voting</w:t>
            </w:r>
          </w:p>
        </w:tc>
        <w:tc>
          <w:tcPr>
            <w:tcW w:w="1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Broker</w:t>
            </w:r>
          </w:p>
        </w:tc>
        <w:tc>
          <w:tcPr>
            <w:tcW w:w="0" w:type="dxa"/>
            <w:vAlign w:val="bottom"/>
          </w:tcPr>
          <w:p>
            <w:pPr>
              <w:spacing w:after="0"/>
              <w:rPr>
                <w:sz w:val="1"/>
                <w:szCs w:val="1"/>
                <w:color w:val="auto"/>
              </w:rPr>
            </w:pPr>
          </w:p>
        </w:tc>
      </w:tr>
      <w:tr>
        <w:trPr>
          <w:trHeight w:val="229"/>
        </w:trPr>
        <w:tc>
          <w:tcPr>
            <w:tcW w:w="2580" w:type="dxa"/>
            <w:vAlign w:val="bottom"/>
            <w:tcBorders>
              <w:bottom w:val="single" w:sz="8" w:color="666666"/>
            </w:tcBorders>
            <w:vMerge w:val="continue"/>
          </w:tcPr>
          <w:p>
            <w:pPr>
              <w:spacing w:after="0"/>
              <w:rPr>
                <w:sz w:val="19"/>
                <w:szCs w:val="19"/>
                <w:color w:val="auto"/>
              </w:rPr>
            </w:pPr>
          </w:p>
        </w:tc>
        <w:tc>
          <w:tcPr>
            <w:tcW w:w="110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2"/>
              </w:rPr>
              <w:t>Vote</w:t>
            </w:r>
          </w:p>
        </w:tc>
        <w:tc>
          <w:tcPr>
            <w:tcW w:w="1700" w:type="dxa"/>
            <w:vAlign w:val="bottom"/>
            <w:tcBorders>
              <w:bottom w:val="single" w:sz="8" w:color="666666"/>
            </w:tcBorders>
            <w:vMerge w:val="continue"/>
          </w:tcPr>
          <w:p>
            <w:pPr>
              <w:spacing w:after="0"/>
              <w:rPr>
                <w:sz w:val="19"/>
                <w:szCs w:val="19"/>
                <w:color w:val="auto"/>
              </w:rPr>
            </w:pPr>
          </w:p>
        </w:tc>
        <w:tc>
          <w:tcPr>
            <w:tcW w:w="132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9"/>
              </w:rPr>
              <w:t>Abstentions</w:t>
            </w:r>
          </w:p>
        </w:tc>
        <w:tc>
          <w:tcPr>
            <w:tcW w:w="128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9"/>
              </w:rPr>
              <w:t>Allowed?</w:t>
            </w:r>
          </w:p>
        </w:tc>
        <w:tc>
          <w:tcPr>
            <w:tcW w:w="1100" w:type="dxa"/>
            <w:vAlign w:val="bottom"/>
            <w:tcBorders>
              <w:bottom w:val="single" w:sz="8" w:color="666666"/>
            </w:tcBorders>
          </w:tcPr>
          <w:p>
            <w:pPr>
              <w:jc w:val="center"/>
              <w:spacing w:after="0"/>
              <w:rPr>
                <w:sz w:val="20"/>
                <w:szCs w:val="20"/>
                <w:color w:val="auto"/>
              </w:rPr>
            </w:pPr>
            <w:r>
              <w:rPr>
                <w:rFonts w:ascii="Arial" w:cs="Arial" w:eastAsia="Arial" w:hAnsi="Arial"/>
                <w:sz w:val="18"/>
                <w:szCs w:val="18"/>
                <w:b w:val="1"/>
                <w:bCs w:val="1"/>
                <w:color w:val="auto"/>
                <w:w w:val="97"/>
              </w:rPr>
              <w:t>Non-Votes</w:t>
            </w:r>
          </w:p>
        </w:tc>
        <w:tc>
          <w:tcPr>
            <w:tcW w:w="0" w:type="dxa"/>
            <w:vAlign w:val="bottom"/>
          </w:tcPr>
          <w:p>
            <w:pPr>
              <w:spacing w:after="0"/>
              <w:rPr>
                <w:sz w:val="1"/>
                <w:szCs w:val="1"/>
                <w:color w:val="auto"/>
              </w:rPr>
            </w:pPr>
          </w:p>
        </w:tc>
      </w:tr>
      <w:tr>
        <w:trPr>
          <w:trHeight w:val="177"/>
        </w:trPr>
        <w:tc>
          <w:tcPr>
            <w:tcW w:w="2580" w:type="dxa"/>
            <w:vAlign w:val="bottom"/>
            <w:shd w:val="clear" w:color="auto" w:fill="F2F2F2"/>
          </w:tcPr>
          <w:p>
            <w:pPr>
              <w:ind w:left="40"/>
              <w:spacing w:after="0" w:line="177" w:lineRule="exact"/>
              <w:rPr>
                <w:sz w:val="20"/>
                <w:szCs w:val="20"/>
                <w:color w:val="auto"/>
              </w:rPr>
            </w:pPr>
            <w:r>
              <w:rPr>
                <w:rFonts w:ascii="Arial" w:cs="Arial" w:eastAsia="Arial" w:hAnsi="Arial"/>
                <w:sz w:val="18"/>
                <w:szCs w:val="18"/>
                <w:color w:val="auto"/>
              </w:rPr>
              <w:t>Election of directors</w:t>
            </w:r>
          </w:p>
        </w:tc>
        <w:tc>
          <w:tcPr>
            <w:tcW w:w="1100" w:type="dxa"/>
            <w:vAlign w:val="bottom"/>
            <w:shd w:val="clear" w:color="auto" w:fill="F2F2F2"/>
          </w:tcPr>
          <w:p>
            <w:pPr>
              <w:jc w:val="center"/>
              <w:spacing w:after="0" w:line="177" w:lineRule="exact"/>
              <w:rPr>
                <w:sz w:val="20"/>
                <w:szCs w:val="20"/>
                <w:color w:val="auto"/>
              </w:rPr>
            </w:pPr>
            <w:r>
              <w:rPr>
                <w:rFonts w:ascii="Arial" w:cs="Arial" w:eastAsia="Arial" w:hAnsi="Arial"/>
                <w:sz w:val="18"/>
                <w:szCs w:val="18"/>
                <w:color w:val="auto"/>
              </w:rPr>
              <w:t>Majority of</w:t>
            </w:r>
          </w:p>
        </w:tc>
        <w:tc>
          <w:tcPr>
            <w:tcW w:w="1700" w:type="dxa"/>
            <w:vAlign w:val="bottom"/>
            <w:shd w:val="clear" w:color="auto" w:fill="F2F2F2"/>
          </w:tcPr>
          <w:p>
            <w:pPr>
              <w:jc w:val="center"/>
              <w:spacing w:after="0" w:line="177" w:lineRule="exact"/>
              <w:rPr>
                <w:sz w:val="20"/>
                <w:szCs w:val="20"/>
                <w:color w:val="auto"/>
              </w:rPr>
            </w:pPr>
            <w:r>
              <w:rPr>
                <w:rFonts w:ascii="Arial" w:cs="Arial" w:eastAsia="Arial" w:hAnsi="Arial"/>
                <w:sz w:val="18"/>
                <w:szCs w:val="18"/>
                <w:color w:val="auto"/>
                <w:w w:val="99"/>
              </w:rPr>
              <w:t>FOR, AGAINST or</w:t>
            </w:r>
          </w:p>
        </w:tc>
        <w:tc>
          <w:tcPr>
            <w:tcW w:w="1320" w:type="dxa"/>
            <w:vAlign w:val="bottom"/>
            <w:shd w:val="clear" w:color="auto" w:fill="F2F2F2"/>
          </w:tcPr>
          <w:p>
            <w:pPr>
              <w:jc w:val="center"/>
              <w:spacing w:after="0" w:line="177" w:lineRule="exact"/>
              <w:rPr>
                <w:sz w:val="20"/>
                <w:szCs w:val="20"/>
                <w:color w:val="auto"/>
              </w:rPr>
            </w:pPr>
            <w:r>
              <w:rPr>
                <w:rFonts w:ascii="Arial" w:cs="Arial" w:eastAsia="Arial" w:hAnsi="Arial"/>
                <w:sz w:val="18"/>
                <w:szCs w:val="18"/>
                <w:color w:val="auto"/>
                <w:w w:val="99"/>
              </w:rPr>
              <w:t>No effect - not</w:t>
            </w:r>
          </w:p>
        </w:tc>
        <w:tc>
          <w:tcPr>
            <w:tcW w:w="1280" w:type="dxa"/>
            <w:vAlign w:val="bottom"/>
            <w:shd w:val="clear" w:color="auto" w:fill="F2F2F2"/>
          </w:tcPr>
          <w:p>
            <w:pPr>
              <w:jc w:val="center"/>
              <w:spacing w:after="0" w:line="177" w:lineRule="exact"/>
              <w:rPr>
                <w:sz w:val="20"/>
                <w:szCs w:val="20"/>
                <w:color w:val="auto"/>
              </w:rPr>
            </w:pPr>
            <w:r>
              <w:rPr>
                <w:rFonts w:ascii="Arial" w:cs="Arial" w:eastAsia="Arial" w:hAnsi="Arial"/>
                <w:sz w:val="18"/>
                <w:szCs w:val="18"/>
                <w:color w:val="auto"/>
                <w:w w:val="95"/>
              </w:rPr>
              <w:t>No</w:t>
            </w:r>
          </w:p>
        </w:tc>
        <w:tc>
          <w:tcPr>
            <w:tcW w:w="1100" w:type="dxa"/>
            <w:vAlign w:val="bottom"/>
            <w:shd w:val="clear" w:color="auto" w:fill="F2F2F2"/>
          </w:tcPr>
          <w:p>
            <w:pPr>
              <w:jc w:val="center"/>
              <w:spacing w:after="0" w:line="177" w:lineRule="exact"/>
              <w:rPr>
                <w:sz w:val="20"/>
                <w:szCs w:val="20"/>
                <w:color w:val="auto"/>
              </w:rPr>
            </w:pPr>
            <w:r>
              <w:rPr>
                <w:rFonts w:ascii="Arial" w:cs="Arial" w:eastAsia="Arial" w:hAnsi="Arial"/>
                <w:sz w:val="18"/>
                <w:szCs w:val="18"/>
                <w:color w:val="auto"/>
                <w:w w:val="99"/>
              </w:rPr>
              <w:t>No effect</w:t>
            </w:r>
          </w:p>
        </w:tc>
        <w:tc>
          <w:tcPr>
            <w:tcW w:w="0" w:type="dxa"/>
            <w:vAlign w:val="bottom"/>
          </w:tcPr>
          <w:p>
            <w:pPr>
              <w:spacing w:after="0"/>
              <w:rPr>
                <w:sz w:val="1"/>
                <w:szCs w:val="1"/>
                <w:color w:val="auto"/>
              </w:rPr>
            </w:pPr>
          </w:p>
        </w:tc>
      </w:tr>
      <w:tr>
        <w:trPr>
          <w:trHeight w:val="181"/>
        </w:trPr>
        <w:tc>
          <w:tcPr>
            <w:tcW w:w="2580" w:type="dxa"/>
            <w:vAlign w:val="bottom"/>
            <w:shd w:val="clear" w:color="auto" w:fill="F2F2F2"/>
          </w:tcPr>
          <w:p>
            <w:pPr>
              <w:spacing w:after="0"/>
              <w:rPr>
                <w:sz w:val="15"/>
                <w:szCs w:val="15"/>
                <w:color w:val="auto"/>
              </w:rPr>
            </w:pPr>
          </w:p>
        </w:tc>
        <w:tc>
          <w:tcPr>
            <w:tcW w:w="110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w w:val="98"/>
              </w:rPr>
              <w:t>votes cast</w:t>
            </w:r>
          </w:p>
        </w:tc>
        <w:tc>
          <w:tcPr>
            <w:tcW w:w="170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w w:val="97"/>
              </w:rPr>
              <w:t>ABSTAIN (for each</w:t>
            </w:r>
          </w:p>
        </w:tc>
        <w:tc>
          <w:tcPr>
            <w:tcW w:w="132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rPr>
              <w:t>counted as a</w:t>
            </w:r>
          </w:p>
        </w:tc>
        <w:tc>
          <w:tcPr>
            <w:tcW w:w="1280" w:type="dxa"/>
            <w:vAlign w:val="bottom"/>
            <w:shd w:val="clear" w:color="auto" w:fill="F2F2F2"/>
          </w:tcPr>
          <w:p>
            <w:pPr>
              <w:spacing w:after="0"/>
              <w:rPr>
                <w:sz w:val="15"/>
                <w:szCs w:val="15"/>
                <w:color w:val="auto"/>
              </w:rPr>
            </w:pPr>
          </w:p>
        </w:tc>
        <w:tc>
          <w:tcPr>
            <w:tcW w:w="11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80" w:type="dxa"/>
            <w:vAlign w:val="bottom"/>
            <w:shd w:val="clear" w:color="auto" w:fill="F2F2F2"/>
          </w:tcPr>
          <w:p>
            <w:pPr>
              <w:spacing w:after="0"/>
              <w:rPr>
                <w:sz w:val="22"/>
                <w:szCs w:val="22"/>
                <w:color w:val="auto"/>
              </w:rPr>
            </w:pPr>
          </w:p>
        </w:tc>
        <w:tc>
          <w:tcPr>
            <w:tcW w:w="1100" w:type="dxa"/>
            <w:vAlign w:val="bottom"/>
            <w:shd w:val="clear" w:color="auto" w:fill="F2F2F2"/>
          </w:tcPr>
          <w:p>
            <w:pPr>
              <w:spacing w:after="0"/>
              <w:rPr>
                <w:sz w:val="22"/>
                <w:szCs w:val="22"/>
                <w:color w:val="auto"/>
              </w:rPr>
            </w:pPr>
          </w:p>
        </w:tc>
        <w:tc>
          <w:tcPr>
            <w:tcW w:w="17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director nominee)</w:t>
            </w:r>
          </w:p>
        </w:tc>
        <w:tc>
          <w:tcPr>
            <w:tcW w:w="132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“vote cast”</w:t>
            </w:r>
          </w:p>
        </w:tc>
        <w:tc>
          <w:tcPr>
            <w:tcW w:w="1280" w:type="dxa"/>
            <w:vAlign w:val="bottom"/>
            <w:shd w:val="clear" w:color="auto" w:fill="F2F2F2"/>
          </w:tcPr>
          <w:p>
            <w:pPr>
              <w:spacing w:after="0"/>
              <w:rPr>
                <w:sz w:val="22"/>
                <w:szCs w:val="22"/>
                <w:color w:val="auto"/>
              </w:rPr>
            </w:pPr>
          </w:p>
        </w:tc>
        <w:tc>
          <w:tcPr>
            <w:tcW w:w="110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580" w:type="dxa"/>
            <w:vAlign w:val="bottom"/>
          </w:tcPr>
          <w:p>
            <w:pPr>
              <w:ind w:left="40"/>
              <w:spacing w:after="0" w:line="183" w:lineRule="exact"/>
              <w:rPr>
                <w:sz w:val="20"/>
                <w:szCs w:val="20"/>
                <w:color w:val="auto"/>
              </w:rPr>
            </w:pPr>
            <w:r>
              <w:rPr>
                <w:rFonts w:ascii="Arial" w:cs="Arial" w:eastAsia="Arial" w:hAnsi="Arial"/>
                <w:sz w:val="18"/>
                <w:szCs w:val="18"/>
                <w:color w:val="auto"/>
              </w:rPr>
              <w:t>Advisory vote on</w:t>
            </w:r>
          </w:p>
        </w:tc>
        <w:tc>
          <w:tcPr>
            <w:tcW w:w="1100" w:type="dxa"/>
            <w:vAlign w:val="bottom"/>
          </w:tcPr>
          <w:p>
            <w:pPr>
              <w:jc w:val="center"/>
              <w:spacing w:after="0" w:line="183" w:lineRule="exact"/>
              <w:rPr>
                <w:sz w:val="20"/>
                <w:szCs w:val="20"/>
                <w:color w:val="auto"/>
              </w:rPr>
            </w:pPr>
            <w:r>
              <w:rPr>
                <w:rFonts w:ascii="Arial" w:cs="Arial" w:eastAsia="Arial" w:hAnsi="Arial"/>
                <w:sz w:val="18"/>
                <w:szCs w:val="18"/>
                <w:color w:val="auto"/>
              </w:rPr>
              <w:t>Majority of</w:t>
            </w:r>
          </w:p>
        </w:tc>
        <w:tc>
          <w:tcPr>
            <w:tcW w:w="1700" w:type="dxa"/>
            <w:vAlign w:val="bottom"/>
          </w:tcPr>
          <w:p>
            <w:pPr>
              <w:jc w:val="center"/>
              <w:spacing w:after="0" w:line="183" w:lineRule="exact"/>
              <w:rPr>
                <w:sz w:val="20"/>
                <w:szCs w:val="20"/>
                <w:color w:val="auto"/>
              </w:rPr>
            </w:pPr>
            <w:r>
              <w:rPr>
                <w:rFonts w:ascii="Arial" w:cs="Arial" w:eastAsia="Arial" w:hAnsi="Arial"/>
                <w:sz w:val="18"/>
                <w:szCs w:val="18"/>
                <w:color w:val="auto"/>
                <w:w w:val="99"/>
              </w:rPr>
              <w:t>FOR, AGAINST or</w:t>
            </w:r>
          </w:p>
        </w:tc>
        <w:tc>
          <w:tcPr>
            <w:tcW w:w="1320" w:type="dxa"/>
            <w:vAlign w:val="bottom"/>
          </w:tcPr>
          <w:p>
            <w:pPr>
              <w:jc w:val="center"/>
              <w:spacing w:after="0" w:line="183" w:lineRule="exact"/>
              <w:rPr>
                <w:sz w:val="20"/>
                <w:szCs w:val="20"/>
                <w:color w:val="auto"/>
              </w:rPr>
            </w:pPr>
            <w:r>
              <w:rPr>
                <w:rFonts w:ascii="Arial" w:cs="Arial" w:eastAsia="Arial" w:hAnsi="Arial"/>
                <w:sz w:val="18"/>
                <w:szCs w:val="18"/>
                <w:color w:val="auto"/>
                <w:w w:val="99"/>
              </w:rPr>
              <w:t>No effect - not</w:t>
            </w:r>
          </w:p>
        </w:tc>
        <w:tc>
          <w:tcPr>
            <w:tcW w:w="1280" w:type="dxa"/>
            <w:vAlign w:val="bottom"/>
          </w:tcPr>
          <w:p>
            <w:pPr>
              <w:jc w:val="center"/>
              <w:spacing w:after="0" w:line="183" w:lineRule="exact"/>
              <w:rPr>
                <w:sz w:val="20"/>
                <w:szCs w:val="20"/>
                <w:color w:val="auto"/>
              </w:rPr>
            </w:pPr>
            <w:r>
              <w:rPr>
                <w:rFonts w:ascii="Arial" w:cs="Arial" w:eastAsia="Arial" w:hAnsi="Arial"/>
                <w:sz w:val="18"/>
                <w:szCs w:val="18"/>
                <w:color w:val="auto"/>
                <w:w w:val="95"/>
              </w:rPr>
              <w:t>No</w:t>
            </w:r>
          </w:p>
        </w:tc>
        <w:tc>
          <w:tcPr>
            <w:tcW w:w="1100" w:type="dxa"/>
            <w:vAlign w:val="bottom"/>
          </w:tcPr>
          <w:p>
            <w:pPr>
              <w:jc w:val="center"/>
              <w:spacing w:after="0" w:line="183" w:lineRule="exact"/>
              <w:rPr>
                <w:sz w:val="20"/>
                <w:szCs w:val="20"/>
                <w:color w:val="auto"/>
              </w:rPr>
            </w:pPr>
            <w:r>
              <w:rPr>
                <w:rFonts w:ascii="Arial" w:cs="Arial" w:eastAsia="Arial" w:hAnsi="Arial"/>
                <w:sz w:val="18"/>
                <w:szCs w:val="18"/>
                <w:color w:val="auto"/>
                <w:w w:val="99"/>
              </w:rPr>
              <w:t>No effect</w:t>
            </w:r>
          </w:p>
        </w:tc>
        <w:tc>
          <w:tcPr>
            <w:tcW w:w="0" w:type="dxa"/>
            <w:vAlign w:val="bottom"/>
          </w:tcPr>
          <w:p>
            <w:pPr>
              <w:spacing w:after="0"/>
              <w:rPr>
                <w:sz w:val="1"/>
                <w:szCs w:val="1"/>
                <w:color w:val="auto"/>
              </w:rPr>
            </w:pPr>
          </w:p>
        </w:tc>
      </w:tr>
      <w:tr>
        <w:trPr>
          <w:trHeight w:val="181"/>
        </w:trPr>
        <w:tc>
          <w:tcPr>
            <w:tcW w:w="2580" w:type="dxa"/>
            <w:vAlign w:val="bottom"/>
          </w:tcPr>
          <w:p>
            <w:pPr>
              <w:ind w:left="40"/>
              <w:spacing w:after="0" w:line="181" w:lineRule="exact"/>
              <w:rPr>
                <w:sz w:val="20"/>
                <w:szCs w:val="20"/>
                <w:color w:val="auto"/>
              </w:rPr>
            </w:pPr>
            <w:r>
              <w:rPr>
                <w:rFonts w:ascii="Arial" w:cs="Arial" w:eastAsia="Arial" w:hAnsi="Arial"/>
                <w:sz w:val="18"/>
                <w:szCs w:val="18"/>
                <w:color w:val="auto"/>
              </w:rPr>
              <w:t>compensation paid to named</w:t>
            </w:r>
          </w:p>
        </w:tc>
        <w:tc>
          <w:tcPr>
            <w:tcW w:w="1100" w:type="dxa"/>
            <w:vAlign w:val="bottom"/>
          </w:tcPr>
          <w:p>
            <w:pPr>
              <w:jc w:val="center"/>
              <w:spacing w:after="0" w:line="181" w:lineRule="exact"/>
              <w:rPr>
                <w:sz w:val="20"/>
                <w:szCs w:val="20"/>
                <w:color w:val="auto"/>
              </w:rPr>
            </w:pPr>
            <w:r>
              <w:rPr>
                <w:rFonts w:ascii="Arial" w:cs="Arial" w:eastAsia="Arial" w:hAnsi="Arial"/>
                <w:sz w:val="18"/>
                <w:szCs w:val="18"/>
                <w:color w:val="auto"/>
                <w:w w:val="98"/>
              </w:rPr>
              <w:t>votes cast</w:t>
            </w:r>
          </w:p>
        </w:tc>
        <w:tc>
          <w:tcPr>
            <w:tcW w:w="1700" w:type="dxa"/>
            <w:vAlign w:val="bottom"/>
          </w:tcPr>
          <w:p>
            <w:pPr>
              <w:jc w:val="center"/>
              <w:spacing w:after="0" w:line="181" w:lineRule="exact"/>
              <w:rPr>
                <w:sz w:val="20"/>
                <w:szCs w:val="20"/>
                <w:color w:val="auto"/>
              </w:rPr>
            </w:pPr>
            <w:r>
              <w:rPr>
                <w:rFonts w:ascii="Arial" w:cs="Arial" w:eastAsia="Arial" w:hAnsi="Arial"/>
                <w:sz w:val="18"/>
                <w:szCs w:val="18"/>
                <w:color w:val="auto"/>
                <w:w w:val="96"/>
              </w:rPr>
              <w:t>ABSTAIN</w:t>
            </w:r>
          </w:p>
        </w:tc>
        <w:tc>
          <w:tcPr>
            <w:tcW w:w="1320" w:type="dxa"/>
            <w:vAlign w:val="bottom"/>
          </w:tcPr>
          <w:p>
            <w:pPr>
              <w:jc w:val="center"/>
              <w:spacing w:after="0" w:line="181" w:lineRule="exact"/>
              <w:rPr>
                <w:sz w:val="20"/>
                <w:szCs w:val="20"/>
                <w:color w:val="auto"/>
              </w:rPr>
            </w:pPr>
            <w:r>
              <w:rPr>
                <w:rFonts w:ascii="Arial" w:cs="Arial" w:eastAsia="Arial" w:hAnsi="Arial"/>
                <w:sz w:val="18"/>
                <w:szCs w:val="18"/>
                <w:color w:val="auto"/>
              </w:rPr>
              <w:t>counted as a</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80" w:type="dxa"/>
            <w:vAlign w:val="bottom"/>
          </w:tcPr>
          <w:p>
            <w:pPr>
              <w:ind w:left="40"/>
              <w:spacing w:after="0"/>
              <w:rPr>
                <w:sz w:val="20"/>
                <w:szCs w:val="20"/>
                <w:color w:val="auto"/>
              </w:rPr>
            </w:pPr>
            <w:r>
              <w:rPr>
                <w:rFonts w:ascii="Arial" w:cs="Arial" w:eastAsia="Arial" w:hAnsi="Arial"/>
                <w:sz w:val="18"/>
                <w:szCs w:val="18"/>
                <w:color w:val="auto"/>
              </w:rPr>
              <w:t>executive officers</w:t>
            </w: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“vote cast”</w:t>
            </w: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580" w:type="dxa"/>
            <w:vAlign w:val="bottom"/>
            <w:shd w:val="clear" w:color="auto" w:fill="F2F2F2"/>
          </w:tcPr>
          <w:p>
            <w:pPr>
              <w:ind w:left="40"/>
              <w:spacing w:after="0" w:line="183" w:lineRule="exact"/>
              <w:rPr>
                <w:sz w:val="20"/>
                <w:szCs w:val="20"/>
                <w:color w:val="auto"/>
              </w:rPr>
            </w:pPr>
            <w:r>
              <w:rPr>
                <w:rFonts w:ascii="Arial" w:cs="Arial" w:eastAsia="Arial" w:hAnsi="Arial"/>
                <w:sz w:val="18"/>
                <w:szCs w:val="18"/>
                <w:color w:val="auto"/>
              </w:rPr>
              <w:t>Ratification of the appointment</w:t>
            </w:r>
          </w:p>
        </w:tc>
        <w:tc>
          <w:tcPr>
            <w:tcW w:w="110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rPr>
              <w:t>Majority of</w:t>
            </w:r>
          </w:p>
        </w:tc>
        <w:tc>
          <w:tcPr>
            <w:tcW w:w="170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9"/>
              </w:rPr>
              <w:t>FOR, AGAINST or</w:t>
            </w:r>
          </w:p>
        </w:tc>
        <w:tc>
          <w:tcPr>
            <w:tcW w:w="132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9"/>
              </w:rPr>
              <w:t>No effect - not</w:t>
            </w:r>
          </w:p>
        </w:tc>
        <w:tc>
          <w:tcPr>
            <w:tcW w:w="128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6"/>
              </w:rPr>
              <w:t>Yes</w:t>
            </w:r>
          </w:p>
        </w:tc>
        <w:tc>
          <w:tcPr>
            <w:tcW w:w="110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9"/>
              </w:rPr>
              <w:t>Not</w:t>
            </w:r>
          </w:p>
        </w:tc>
        <w:tc>
          <w:tcPr>
            <w:tcW w:w="0" w:type="dxa"/>
            <w:vAlign w:val="bottom"/>
          </w:tcPr>
          <w:p>
            <w:pPr>
              <w:spacing w:after="0"/>
              <w:rPr>
                <w:sz w:val="1"/>
                <w:szCs w:val="1"/>
                <w:color w:val="auto"/>
              </w:rPr>
            </w:pPr>
          </w:p>
        </w:tc>
      </w:tr>
      <w:tr>
        <w:trPr>
          <w:trHeight w:val="181"/>
        </w:trPr>
        <w:tc>
          <w:tcPr>
            <w:tcW w:w="2580" w:type="dxa"/>
            <w:vAlign w:val="bottom"/>
            <w:shd w:val="clear" w:color="auto" w:fill="F2F2F2"/>
          </w:tcPr>
          <w:p>
            <w:pPr>
              <w:ind w:left="40"/>
              <w:spacing w:after="0" w:line="181" w:lineRule="exact"/>
              <w:rPr>
                <w:sz w:val="20"/>
                <w:szCs w:val="20"/>
                <w:color w:val="auto"/>
              </w:rPr>
            </w:pPr>
            <w:r>
              <w:rPr>
                <w:rFonts w:ascii="Arial" w:cs="Arial" w:eastAsia="Arial" w:hAnsi="Arial"/>
                <w:sz w:val="18"/>
                <w:szCs w:val="18"/>
                <w:color w:val="auto"/>
              </w:rPr>
              <w:t>of the independent auditor</w:t>
            </w:r>
          </w:p>
        </w:tc>
        <w:tc>
          <w:tcPr>
            <w:tcW w:w="110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w w:val="98"/>
              </w:rPr>
              <w:t>votes cast</w:t>
            </w:r>
          </w:p>
        </w:tc>
        <w:tc>
          <w:tcPr>
            <w:tcW w:w="170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w w:val="96"/>
              </w:rPr>
              <w:t>ABSTAIN</w:t>
            </w:r>
          </w:p>
        </w:tc>
        <w:tc>
          <w:tcPr>
            <w:tcW w:w="132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rPr>
              <w:t>counted as a</w:t>
            </w:r>
          </w:p>
        </w:tc>
        <w:tc>
          <w:tcPr>
            <w:tcW w:w="1280" w:type="dxa"/>
            <w:vAlign w:val="bottom"/>
            <w:shd w:val="clear" w:color="auto" w:fill="F2F2F2"/>
          </w:tcPr>
          <w:p>
            <w:pPr>
              <w:spacing w:after="0"/>
              <w:rPr>
                <w:sz w:val="15"/>
                <w:szCs w:val="15"/>
                <w:color w:val="auto"/>
              </w:rPr>
            </w:pPr>
          </w:p>
        </w:tc>
        <w:tc>
          <w:tcPr>
            <w:tcW w:w="110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rPr>
              <w:t>applicable</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F2F2F2"/>
            </w:tcBorders>
            <w:shd w:val="clear" w:color="auto" w:fill="F2F2F2"/>
          </w:tcPr>
          <w:p>
            <w:pPr>
              <w:spacing w:after="0"/>
              <w:rPr>
                <w:sz w:val="21"/>
                <w:szCs w:val="21"/>
                <w:color w:val="auto"/>
              </w:rPr>
            </w:pPr>
          </w:p>
        </w:tc>
        <w:tc>
          <w:tcPr>
            <w:tcW w:w="1100" w:type="dxa"/>
            <w:vAlign w:val="bottom"/>
            <w:tcBorders>
              <w:bottom w:val="single" w:sz="8" w:color="F2F2F2"/>
            </w:tcBorders>
            <w:shd w:val="clear" w:color="auto" w:fill="F2F2F2"/>
          </w:tcPr>
          <w:p>
            <w:pPr>
              <w:spacing w:after="0"/>
              <w:rPr>
                <w:sz w:val="21"/>
                <w:szCs w:val="21"/>
                <w:color w:val="auto"/>
              </w:rPr>
            </w:pPr>
          </w:p>
        </w:tc>
        <w:tc>
          <w:tcPr>
            <w:tcW w:w="1700" w:type="dxa"/>
            <w:vAlign w:val="bottom"/>
            <w:tcBorders>
              <w:bottom w:val="single" w:sz="8" w:color="F2F2F2"/>
            </w:tcBorders>
            <w:shd w:val="clear" w:color="auto" w:fill="F2F2F2"/>
          </w:tcPr>
          <w:p>
            <w:pPr>
              <w:spacing w:after="0"/>
              <w:rPr>
                <w:sz w:val="21"/>
                <w:szCs w:val="21"/>
                <w:color w:val="auto"/>
              </w:rPr>
            </w:pPr>
          </w:p>
        </w:tc>
        <w:tc>
          <w:tcPr>
            <w:tcW w:w="13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9"/>
              </w:rPr>
              <w:t>“vote cast”</w:t>
            </w:r>
          </w:p>
        </w:tc>
        <w:tc>
          <w:tcPr>
            <w:tcW w:w="1280" w:type="dxa"/>
            <w:vAlign w:val="bottom"/>
            <w:tcBorders>
              <w:bottom w:val="single" w:sz="8" w:color="F2F2F2"/>
            </w:tcBorders>
            <w:shd w:val="clear" w:color="auto" w:fill="F2F2F2"/>
          </w:tcPr>
          <w:p>
            <w:pPr>
              <w:spacing w:after="0"/>
              <w:rPr>
                <w:sz w:val="21"/>
                <w:szCs w:val="21"/>
                <w:color w:val="auto"/>
              </w:rPr>
            </w:pPr>
          </w:p>
        </w:tc>
        <w:tc>
          <w:tcPr>
            <w:tcW w:w="110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580" w:type="dxa"/>
            <w:vAlign w:val="bottom"/>
          </w:tcPr>
          <w:p>
            <w:pPr>
              <w:ind w:left="40"/>
              <w:spacing w:after="0" w:line="183" w:lineRule="exact"/>
              <w:rPr>
                <w:sz w:val="20"/>
                <w:szCs w:val="20"/>
                <w:color w:val="auto"/>
              </w:rPr>
            </w:pPr>
            <w:r>
              <w:rPr>
                <w:rFonts w:ascii="Arial" w:cs="Arial" w:eastAsia="Arial" w:hAnsi="Arial"/>
                <w:sz w:val="18"/>
                <w:szCs w:val="18"/>
                <w:color w:val="auto"/>
              </w:rPr>
              <w:t>Proposal to amend the</w:t>
            </w:r>
          </w:p>
        </w:tc>
        <w:tc>
          <w:tcPr>
            <w:tcW w:w="1100" w:type="dxa"/>
            <w:vAlign w:val="bottom"/>
          </w:tcPr>
          <w:p>
            <w:pPr>
              <w:jc w:val="center"/>
              <w:spacing w:after="0" w:line="183" w:lineRule="exact"/>
              <w:rPr>
                <w:sz w:val="20"/>
                <w:szCs w:val="20"/>
                <w:color w:val="auto"/>
              </w:rPr>
            </w:pPr>
            <w:r>
              <w:rPr>
                <w:rFonts w:ascii="Arial" w:cs="Arial" w:eastAsia="Arial" w:hAnsi="Arial"/>
                <w:sz w:val="18"/>
                <w:szCs w:val="18"/>
                <w:color w:val="auto"/>
                <w:w w:val="99"/>
              </w:rPr>
              <w:t>80% of</w:t>
            </w:r>
          </w:p>
        </w:tc>
        <w:tc>
          <w:tcPr>
            <w:tcW w:w="1700" w:type="dxa"/>
            <w:vAlign w:val="bottom"/>
          </w:tcPr>
          <w:p>
            <w:pPr>
              <w:jc w:val="center"/>
              <w:spacing w:after="0" w:line="183" w:lineRule="exact"/>
              <w:rPr>
                <w:sz w:val="20"/>
                <w:szCs w:val="20"/>
                <w:color w:val="auto"/>
              </w:rPr>
            </w:pPr>
            <w:r>
              <w:rPr>
                <w:rFonts w:ascii="Arial" w:cs="Arial" w:eastAsia="Arial" w:hAnsi="Arial"/>
                <w:sz w:val="18"/>
                <w:szCs w:val="18"/>
                <w:color w:val="auto"/>
                <w:w w:val="99"/>
              </w:rPr>
              <w:t>FOR, AGAINST or</w:t>
            </w:r>
          </w:p>
        </w:tc>
        <w:tc>
          <w:tcPr>
            <w:tcW w:w="1320" w:type="dxa"/>
            <w:vAlign w:val="bottom"/>
          </w:tcPr>
          <w:p>
            <w:pPr>
              <w:jc w:val="center"/>
              <w:spacing w:after="0" w:line="183" w:lineRule="exact"/>
              <w:rPr>
                <w:sz w:val="20"/>
                <w:szCs w:val="20"/>
                <w:color w:val="auto"/>
              </w:rPr>
            </w:pPr>
            <w:r>
              <w:rPr>
                <w:rFonts w:ascii="Arial" w:cs="Arial" w:eastAsia="Arial" w:hAnsi="Arial"/>
                <w:sz w:val="18"/>
                <w:szCs w:val="18"/>
                <w:color w:val="auto"/>
                <w:w w:val="98"/>
              </w:rPr>
              <w:t>Treated as a</w:t>
            </w:r>
          </w:p>
        </w:tc>
        <w:tc>
          <w:tcPr>
            <w:tcW w:w="1280" w:type="dxa"/>
            <w:vAlign w:val="bottom"/>
          </w:tcPr>
          <w:p>
            <w:pPr>
              <w:jc w:val="center"/>
              <w:spacing w:after="0" w:line="183" w:lineRule="exact"/>
              <w:rPr>
                <w:sz w:val="20"/>
                <w:szCs w:val="20"/>
                <w:color w:val="auto"/>
              </w:rPr>
            </w:pPr>
            <w:r>
              <w:rPr>
                <w:rFonts w:ascii="Arial" w:cs="Arial" w:eastAsia="Arial" w:hAnsi="Arial"/>
                <w:sz w:val="18"/>
                <w:szCs w:val="18"/>
                <w:color w:val="auto"/>
                <w:w w:val="95"/>
              </w:rPr>
              <w:t>No</w:t>
            </w:r>
          </w:p>
        </w:tc>
        <w:tc>
          <w:tcPr>
            <w:tcW w:w="1100" w:type="dxa"/>
            <w:vAlign w:val="bottom"/>
          </w:tcPr>
          <w:p>
            <w:pPr>
              <w:jc w:val="center"/>
              <w:spacing w:after="0" w:line="183" w:lineRule="exact"/>
              <w:rPr>
                <w:sz w:val="20"/>
                <w:szCs w:val="20"/>
                <w:color w:val="auto"/>
              </w:rPr>
            </w:pPr>
            <w:r>
              <w:rPr>
                <w:rFonts w:ascii="Arial" w:cs="Arial" w:eastAsia="Arial" w:hAnsi="Arial"/>
                <w:sz w:val="18"/>
                <w:szCs w:val="18"/>
                <w:color w:val="auto"/>
                <w:w w:val="98"/>
              </w:rPr>
              <w:t>Treated as a</w:t>
            </w:r>
          </w:p>
        </w:tc>
        <w:tc>
          <w:tcPr>
            <w:tcW w:w="0" w:type="dxa"/>
            <w:vAlign w:val="bottom"/>
          </w:tcPr>
          <w:p>
            <w:pPr>
              <w:spacing w:after="0"/>
              <w:rPr>
                <w:sz w:val="1"/>
                <w:szCs w:val="1"/>
                <w:color w:val="auto"/>
              </w:rPr>
            </w:pPr>
          </w:p>
        </w:tc>
      </w:tr>
      <w:tr>
        <w:trPr>
          <w:trHeight w:val="181"/>
        </w:trPr>
        <w:tc>
          <w:tcPr>
            <w:tcW w:w="2580" w:type="dxa"/>
            <w:vAlign w:val="bottom"/>
          </w:tcPr>
          <w:p>
            <w:pPr>
              <w:ind w:left="40"/>
              <w:spacing w:after="0" w:line="181" w:lineRule="exact"/>
              <w:rPr>
                <w:sz w:val="20"/>
                <w:szCs w:val="20"/>
                <w:color w:val="auto"/>
              </w:rPr>
            </w:pPr>
            <w:r>
              <w:rPr>
                <w:rFonts w:ascii="Arial" w:cs="Arial" w:eastAsia="Arial" w:hAnsi="Arial"/>
                <w:sz w:val="18"/>
                <w:szCs w:val="18"/>
                <w:color w:val="auto"/>
              </w:rPr>
              <w:t>company's articles of</w:t>
            </w:r>
          </w:p>
        </w:tc>
        <w:tc>
          <w:tcPr>
            <w:tcW w:w="1100" w:type="dxa"/>
            <w:vAlign w:val="bottom"/>
          </w:tcPr>
          <w:p>
            <w:pPr>
              <w:jc w:val="center"/>
              <w:spacing w:after="0" w:line="181" w:lineRule="exact"/>
              <w:rPr>
                <w:sz w:val="20"/>
                <w:szCs w:val="20"/>
                <w:color w:val="auto"/>
              </w:rPr>
            </w:pPr>
            <w:r>
              <w:rPr>
                <w:rFonts w:ascii="Arial" w:cs="Arial" w:eastAsia="Arial" w:hAnsi="Arial"/>
                <w:sz w:val="18"/>
                <w:szCs w:val="18"/>
                <w:color w:val="auto"/>
                <w:w w:val="98"/>
              </w:rPr>
              <w:t>outstanding</w:t>
            </w:r>
          </w:p>
        </w:tc>
        <w:tc>
          <w:tcPr>
            <w:tcW w:w="1700" w:type="dxa"/>
            <w:vAlign w:val="bottom"/>
          </w:tcPr>
          <w:p>
            <w:pPr>
              <w:jc w:val="center"/>
              <w:spacing w:after="0" w:line="181" w:lineRule="exact"/>
              <w:rPr>
                <w:sz w:val="20"/>
                <w:szCs w:val="20"/>
                <w:color w:val="auto"/>
              </w:rPr>
            </w:pPr>
            <w:r>
              <w:rPr>
                <w:rFonts w:ascii="Arial" w:cs="Arial" w:eastAsia="Arial" w:hAnsi="Arial"/>
                <w:sz w:val="18"/>
                <w:szCs w:val="18"/>
                <w:color w:val="auto"/>
                <w:w w:val="96"/>
              </w:rPr>
              <w:t>ABSTAIN</w:t>
            </w:r>
          </w:p>
        </w:tc>
        <w:tc>
          <w:tcPr>
            <w:tcW w:w="1320" w:type="dxa"/>
            <w:vAlign w:val="bottom"/>
          </w:tcPr>
          <w:p>
            <w:pPr>
              <w:jc w:val="center"/>
              <w:spacing w:after="0" w:line="181" w:lineRule="exact"/>
              <w:rPr>
                <w:sz w:val="20"/>
                <w:szCs w:val="20"/>
                <w:color w:val="auto"/>
              </w:rPr>
            </w:pPr>
            <w:r>
              <w:rPr>
                <w:rFonts w:ascii="Arial" w:cs="Arial" w:eastAsia="Arial" w:hAnsi="Arial"/>
                <w:sz w:val="18"/>
                <w:szCs w:val="18"/>
                <w:color w:val="auto"/>
                <w:w w:val="99"/>
              </w:rPr>
              <w:t>vote AGAINST</w:t>
            </w:r>
          </w:p>
        </w:tc>
        <w:tc>
          <w:tcPr>
            <w:tcW w:w="128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8"/>
                <w:szCs w:val="18"/>
                <w:color w:val="auto"/>
                <w:w w:val="99"/>
              </w:rPr>
              <w:t>vote</w:t>
            </w:r>
          </w:p>
        </w:tc>
        <w:tc>
          <w:tcPr>
            <w:tcW w:w="0" w:type="dxa"/>
            <w:vAlign w:val="bottom"/>
          </w:tcPr>
          <w:p>
            <w:pPr>
              <w:spacing w:after="0"/>
              <w:rPr>
                <w:sz w:val="1"/>
                <w:szCs w:val="1"/>
                <w:color w:val="auto"/>
              </w:rPr>
            </w:pPr>
          </w:p>
        </w:tc>
      </w:tr>
      <w:tr>
        <w:trPr>
          <w:trHeight w:val="175"/>
        </w:trPr>
        <w:tc>
          <w:tcPr>
            <w:tcW w:w="2580" w:type="dxa"/>
            <w:vAlign w:val="bottom"/>
          </w:tcPr>
          <w:p>
            <w:pPr>
              <w:ind w:left="40"/>
              <w:spacing w:after="0" w:line="176" w:lineRule="exact"/>
              <w:rPr>
                <w:sz w:val="20"/>
                <w:szCs w:val="20"/>
                <w:color w:val="auto"/>
              </w:rPr>
            </w:pPr>
            <w:r>
              <w:rPr>
                <w:rFonts w:ascii="Arial" w:cs="Arial" w:eastAsia="Arial" w:hAnsi="Arial"/>
                <w:sz w:val="18"/>
                <w:szCs w:val="18"/>
                <w:color w:val="auto"/>
              </w:rPr>
              <w:t>incorporation to eliminate the</w:t>
            </w: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9"/>
              </w:rPr>
              <w:t>shares</w:t>
            </w:r>
          </w:p>
        </w:tc>
        <w:tc>
          <w:tcPr>
            <w:tcW w:w="170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rPr>
              <w:t>the proposal</w:t>
            </w:r>
          </w:p>
        </w:tc>
        <w:tc>
          <w:tcPr>
            <w:tcW w:w="12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8"/>
              </w:rPr>
              <w:t>AGAINST</w:t>
            </w:r>
          </w:p>
        </w:tc>
        <w:tc>
          <w:tcPr>
            <w:tcW w:w="0" w:type="dxa"/>
            <w:vAlign w:val="bottom"/>
          </w:tcPr>
          <w:p>
            <w:pPr>
              <w:spacing w:after="0"/>
              <w:rPr>
                <w:sz w:val="1"/>
                <w:szCs w:val="1"/>
                <w:color w:val="auto"/>
              </w:rPr>
            </w:pPr>
          </w:p>
        </w:tc>
      </w:tr>
      <w:tr>
        <w:trPr>
          <w:trHeight w:val="239"/>
        </w:trPr>
        <w:tc>
          <w:tcPr>
            <w:tcW w:w="2580" w:type="dxa"/>
            <w:vAlign w:val="bottom"/>
          </w:tcPr>
          <w:p>
            <w:pPr>
              <w:ind w:left="40"/>
              <w:spacing w:after="0"/>
              <w:rPr>
                <w:sz w:val="20"/>
                <w:szCs w:val="20"/>
                <w:color w:val="auto"/>
              </w:rPr>
            </w:pPr>
            <w:r>
              <w:rPr>
                <w:rFonts w:ascii="Arial" w:cs="Arial" w:eastAsia="Arial" w:hAnsi="Arial"/>
                <w:sz w:val="18"/>
                <w:szCs w:val="18"/>
                <w:color w:val="auto"/>
              </w:rPr>
              <w:t>classified board structure</w:t>
            </w: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the proposal</w:t>
            </w:r>
          </w:p>
        </w:tc>
        <w:tc>
          <w:tcPr>
            <w:tcW w:w="0" w:type="dxa"/>
            <w:vAlign w:val="bottom"/>
          </w:tcPr>
          <w:p>
            <w:pPr>
              <w:spacing w:after="0"/>
              <w:rPr>
                <w:sz w:val="1"/>
                <w:szCs w:val="1"/>
                <w:color w:val="auto"/>
              </w:rPr>
            </w:pPr>
          </w:p>
        </w:tc>
      </w:tr>
      <w:tr>
        <w:trPr>
          <w:trHeight w:val="193"/>
        </w:trPr>
        <w:tc>
          <w:tcPr>
            <w:tcW w:w="2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80" w:type="dxa"/>
            <w:vAlign w:val="bottom"/>
            <w:shd w:val="clear" w:color="auto" w:fill="F2F2F2"/>
          </w:tcPr>
          <w:p>
            <w:pPr>
              <w:ind w:left="40"/>
              <w:spacing w:after="0" w:line="183" w:lineRule="exact"/>
              <w:rPr>
                <w:sz w:val="20"/>
                <w:szCs w:val="20"/>
                <w:color w:val="auto"/>
              </w:rPr>
            </w:pPr>
            <w:r>
              <w:rPr>
                <w:rFonts w:ascii="Arial" w:cs="Arial" w:eastAsia="Arial" w:hAnsi="Arial"/>
                <w:sz w:val="18"/>
                <w:szCs w:val="18"/>
                <w:color w:val="auto"/>
              </w:rPr>
              <w:t>Proposal to amend the</w:t>
            </w:r>
          </w:p>
        </w:tc>
        <w:tc>
          <w:tcPr>
            <w:tcW w:w="110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9"/>
              </w:rPr>
              <w:t>80% of</w:t>
            </w:r>
          </w:p>
        </w:tc>
        <w:tc>
          <w:tcPr>
            <w:tcW w:w="170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9"/>
              </w:rPr>
              <w:t>FOR, AGAINST or</w:t>
            </w:r>
          </w:p>
        </w:tc>
        <w:tc>
          <w:tcPr>
            <w:tcW w:w="132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8"/>
              </w:rPr>
              <w:t>Treated as a</w:t>
            </w:r>
          </w:p>
        </w:tc>
        <w:tc>
          <w:tcPr>
            <w:tcW w:w="128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5"/>
              </w:rPr>
              <w:t>No</w:t>
            </w:r>
          </w:p>
        </w:tc>
        <w:tc>
          <w:tcPr>
            <w:tcW w:w="1100" w:type="dxa"/>
            <w:vAlign w:val="bottom"/>
            <w:shd w:val="clear" w:color="auto" w:fill="F2F2F2"/>
          </w:tcPr>
          <w:p>
            <w:pPr>
              <w:jc w:val="center"/>
              <w:spacing w:after="0" w:line="183" w:lineRule="exact"/>
              <w:rPr>
                <w:sz w:val="20"/>
                <w:szCs w:val="20"/>
                <w:color w:val="auto"/>
              </w:rPr>
            </w:pPr>
            <w:r>
              <w:rPr>
                <w:rFonts w:ascii="Arial" w:cs="Arial" w:eastAsia="Arial" w:hAnsi="Arial"/>
                <w:sz w:val="18"/>
                <w:szCs w:val="18"/>
                <w:color w:val="auto"/>
                <w:w w:val="98"/>
              </w:rPr>
              <w:t>Treated as a</w:t>
            </w:r>
          </w:p>
        </w:tc>
        <w:tc>
          <w:tcPr>
            <w:tcW w:w="0" w:type="dxa"/>
            <w:vAlign w:val="bottom"/>
          </w:tcPr>
          <w:p>
            <w:pPr>
              <w:spacing w:after="0"/>
              <w:rPr>
                <w:sz w:val="1"/>
                <w:szCs w:val="1"/>
                <w:color w:val="auto"/>
              </w:rPr>
            </w:pPr>
          </w:p>
        </w:tc>
      </w:tr>
      <w:tr>
        <w:trPr>
          <w:trHeight w:val="181"/>
        </w:trPr>
        <w:tc>
          <w:tcPr>
            <w:tcW w:w="2580" w:type="dxa"/>
            <w:vAlign w:val="bottom"/>
            <w:shd w:val="clear" w:color="auto" w:fill="F2F2F2"/>
          </w:tcPr>
          <w:p>
            <w:pPr>
              <w:ind w:left="40"/>
              <w:spacing w:after="0" w:line="181" w:lineRule="exact"/>
              <w:rPr>
                <w:sz w:val="20"/>
                <w:szCs w:val="20"/>
                <w:color w:val="auto"/>
              </w:rPr>
            </w:pPr>
            <w:r>
              <w:rPr>
                <w:rFonts w:ascii="Arial" w:cs="Arial" w:eastAsia="Arial" w:hAnsi="Arial"/>
                <w:sz w:val="18"/>
                <w:szCs w:val="18"/>
                <w:color w:val="auto"/>
              </w:rPr>
              <w:t>company's articles of</w:t>
            </w:r>
          </w:p>
        </w:tc>
        <w:tc>
          <w:tcPr>
            <w:tcW w:w="110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w w:val="98"/>
              </w:rPr>
              <w:t>outstanding</w:t>
            </w:r>
          </w:p>
        </w:tc>
        <w:tc>
          <w:tcPr>
            <w:tcW w:w="170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w w:val="96"/>
              </w:rPr>
              <w:t>ABSTAIN</w:t>
            </w:r>
          </w:p>
        </w:tc>
        <w:tc>
          <w:tcPr>
            <w:tcW w:w="132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w w:val="99"/>
              </w:rPr>
              <w:t>vote AGAINST</w:t>
            </w:r>
          </w:p>
        </w:tc>
        <w:tc>
          <w:tcPr>
            <w:tcW w:w="1280" w:type="dxa"/>
            <w:vAlign w:val="bottom"/>
            <w:shd w:val="clear" w:color="auto" w:fill="F2F2F2"/>
          </w:tcPr>
          <w:p>
            <w:pPr>
              <w:spacing w:after="0"/>
              <w:rPr>
                <w:sz w:val="15"/>
                <w:szCs w:val="15"/>
                <w:color w:val="auto"/>
              </w:rPr>
            </w:pPr>
          </w:p>
        </w:tc>
        <w:tc>
          <w:tcPr>
            <w:tcW w:w="1100" w:type="dxa"/>
            <w:vAlign w:val="bottom"/>
            <w:shd w:val="clear" w:color="auto" w:fill="F2F2F2"/>
          </w:tcPr>
          <w:p>
            <w:pPr>
              <w:jc w:val="center"/>
              <w:spacing w:after="0" w:line="181" w:lineRule="exact"/>
              <w:rPr>
                <w:sz w:val="20"/>
                <w:szCs w:val="20"/>
                <w:color w:val="auto"/>
              </w:rPr>
            </w:pPr>
            <w:r>
              <w:rPr>
                <w:rFonts w:ascii="Arial" w:cs="Arial" w:eastAsia="Arial" w:hAnsi="Arial"/>
                <w:sz w:val="18"/>
                <w:szCs w:val="18"/>
                <w:color w:val="auto"/>
                <w:w w:val="99"/>
              </w:rPr>
              <w:t>vote</w:t>
            </w:r>
          </w:p>
        </w:tc>
        <w:tc>
          <w:tcPr>
            <w:tcW w:w="0" w:type="dxa"/>
            <w:vAlign w:val="bottom"/>
          </w:tcPr>
          <w:p>
            <w:pPr>
              <w:spacing w:after="0"/>
              <w:rPr>
                <w:sz w:val="1"/>
                <w:szCs w:val="1"/>
                <w:color w:val="auto"/>
              </w:rPr>
            </w:pPr>
          </w:p>
        </w:tc>
      </w:tr>
      <w:tr>
        <w:trPr>
          <w:trHeight w:val="175"/>
        </w:trPr>
        <w:tc>
          <w:tcPr>
            <w:tcW w:w="2580" w:type="dxa"/>
            <w:vAlign w:val="bottom"/>
            <w:shd w:val="clear" w:color="auto" w:fill="F2F2F2"/>
          </w:tcPr>
          <w:p>
            <w:pPr>
              <w:ind w:left="40"/>
              <w:spacing w:after="0" w:line="176" w:lineRule="exact"/>
              <w:rPr>
                <w:sz w:val="20"/>
                <w:szCs w:val="20"/>
                <w:color w:val="auto"/>
              </w:rPr>
            </w:pPr>
            <w:r>
              <w:rPr>
                <w:rFonts w:ascii="Arial" w:cs="Arial" w:eastAsia="Arial" w:hAnsi="Arial"/>
                <w:sz w:val="18"/>
                <w:szCs w:val="18"/>
                <w:color w:val="auto"/>
              </w:rPr>
              <w:t>incorporation to eliminate</w:t>
            </w:r>
          </w:p>
        </w:tc>
        <w:tc>
          <w:tcPr>
            <w:tcW w:w="1100" w:type="dxa"/>
            <w:vAlign w:val="bottom"/>
            <w:shd w:val="clear" w:color="auto" w:fill="F2F2F2"/>
          </w:tcPr>
          <w:p>
            <w:pPr>
              <w:jc w:val="center"/>
              <w:spacing w:after="0" w:line="176" w:lineRule="exact"/>
              <w:rPr>
                <w:sz w:val="20"/>
                <w:szCs w:val="20"/>
                <w:color w:val="auto"/>
              </w:rPr>
            </w:pPr>
            <w:r>
              <w:rPr>
                <w:rFonts w:ascii="Arial" w:cs="Arial" w:eastAsia="Arial" w:hAnsi="Arial"/>
                <w:sz w:val="18"/>
                <w:szCs w:val="18"/>
                <w:color w:val="auto"/>
                <w:w w:val="99"/>
              </w:rPr>
              <w:t>shares</w:t>
            </w:r>
          </w:p>
        </w:tc>
        <w:tc>
          <w:tcPr>
            <w:tcW w:w="1700" w:type="dxa"/>
            <w:vAlign w:val="bottom"/>
            <w:shd w:val="clear" w:color="auto" w:fill="F2F2F2"/>
          </w:tcPr>
          <w:p>
            <w:pPr>
              <w:spacing w:after="0"/>
              <w:rPr>
                <w:sz w:val="15"/>
                <w:szCs w:val="15"/>
                <w:color w:val="auto"/>
              </w:rPr>
            </w:pPr>
          </w:p>
        </w:tc>
        <w:tc>
          <w:tcPr>
            <w:tcW w:w="1320" w:type="dxa"/>
            <w:vAlign w:val="bottom"/>
            <w:shd w:val="clear" w:color="auto" w:fill="F2F2F2"/>
          </w:tcPr>
          <w:p>
            <w:pPr>
              <w:jc w:val="center"/>
              <w:spacing w:after="0" w:line="176" w:lineRule="exact"/>
              <w:rPr>
                <w:sz w:val="20"/>
                <w:szCs w:val="20"/>
                <w:color w:val="auto"/>
              </w:rPr>
            </w:pPr>
            <w:r>
              <w:rPr>
                <w:rFonts w:ascii="Arial" w:cs="Arial" w:eastAsia="Arial" w:hAnsi="Arial"/>
                <w:sz w:val="18"/>
                <w:szCs w:val="18"/>
                <w:color w:val="auto"/>
              </w:rPr>
              <w:t>the proposal</w:t>
            </w:r>
          </w:p>
        </w:tc>
        <w:tc>
          <w:tcPr>
            <w:tcW w:w="1280" w:type="dxa"/>
            <w:vAlign w:val="bottom"/>
            <w:shd w:val="clear" w:color="auto" w:fill="F2F2F2"/>
          </w:tcPr>
          <w:p>
            <w:pPr>
              <w:spacing w:after="0"/>
              <w:rPr>
                <w:sz w:val="15"/>
                <w:szCs w:val="15"/>
                <w:color w:val="auto"/>
              </w:rPr>
            </w:pPr>
          </w:p>
        </w:tc>
        <w:tc>
          <w:tcPr>
            <w:tcW w:w="1100" w:type="dxa"/>
            <w:vAlign w:val="bottom"/>
            <w:shd w:val="clear" w:color="auto" w:fill="F2F2F2"/>
          </w:tcPr>
          <w:p>
            <w:pPr>
              <w:jc w:val="center"/>
              <w:spacing w:after="0" w:line="176" w:lineRule="exact"/>
              <w:rPr>
                <w:sz w:val="20"/>
                <w:szCs w:val="20"/>
                <w:color w:val="auto"/>
              </w:rPr>
            </w:pPr>
            <w:r>
              <w:rPr>
                <w:rFonts w:ascii="Arial" w:cs="Arial" w:eastAsia="Arial" w:hAnsi="Arial"/>
                <w:sz w:val="18"/>
                <w:szCs w:val="18"/>
                <w:color w:val="auto"/>
                <w:w w:val="98"/>
              </w:rPr>
              <w:t>AGAINST</w:t>
            </w:r>
          </w:p>
        </w:tc>
        <w:tc>
          <w:tcPr>
            <w:tcW w:w="0" w:type="dxa"/>
            <w:vAlign w:val="bottom"/>
          </w:tcPr>
          <w:p>
            <w:pPr>
              <w:spacing w:after="0"/>
              <w:rPr>
                <w:sz w:val="1"/>
                <w:szCs w:val="1"/>
                <w:color w:val="auto"/>
              </w:rPr>
            </w:pPr>
          </w:p>
        </w:tc>
      </w:tr>
      <w:tr>
        <w:trPr>
          <w:trHeight w:val="239"/>
        </w:trPr>
        <w:tc>
          <w:tcPr>
            <w:tcW w:w="2580" w:type="dxa"/>
            <w:vAlign w:val="bottom"/>
            <w:shd w:val="clear" w:color="auto" w:fill="F2F2F2"/>
          </w:tcPr>
          <w:p>
            <w:pPr>
              <w:ind w:left="40"/>
              <w:spacing w:after="0"/>
              <w:rPr>
                <w:sz w:val="20"/>
                <w:szCs w:val="20"/>
                <w:color w:val="auto"/>
              </w:rPr>
            </w:pPr>
            <w:r>
              <w:rPr>
                <w:rFonts w:ascii="Arial" w:cs="Arial" w:eastAsia="Arial" w:hAnsi="Arial"/>
                <w:sz w:val="18"/>
                <w:szCs w:val="18"/>
                <w:color w:val="auto"/>
              </w:rPr>
              <w:t>supermajority voting provisions</w:t>
            </w:r>
          </w:p>
        </w:tc>
        <w:tc>
          <w:tcPr>
            <w:tcW w:w="1100" w:type="dxa"/>
            <w:vAlign w:val="bottom"/>
            <w:shd w:val="clear" w:color="auto" w:fill="F2F2F2"/>
          </w:tcPr>
          <w:p>
            <w:pPr>
              <w:spacing w:after="0"/>
              <w:rPr>
                <w:sz w:val="20"/>
                <w:szCs w:val="20"/>
                <w:color w:val="auto"/>
              </w:rPr>
            </w:pPr>
          </w:p>
        </w:tc>
        <w:tc>
          <w:tcPr>
            <w:tcW w:w="1700" w:type="dxa"/>
            <w:vAlign w:val="bottom"/>
            <w:shd w:val="clear" w:color="auto" w:fill="F2F2F2"/>
          </w:tcPr>
          <w:p>
            <w:pPr>
              <w:spacing w:after="0"/>
              <w:rPr>
                <w:sz w:val="20"/>
                <w:szCs w:val="20"/>
                <w:color w:val="auto"/>
              </w:rPr>
            </w:pPr>
          </w:p>
        </w:tc>
        <w:tc>
          <w:tcPr>
            <w:tcW w:w="1320" w:type="dxa"/>
            <w:vAlign w:val="bottom"/>
            <w:shd w:val="clear" w:color="auto" w:fill="F2F2F2"/>
          </w:tcPr>
          <w:p>
            <w:pPr>
              <w:spacing w:after="0"/>
              <w:rPr>
                <w:sz w:val="20"/>
                <w:szCs w:val="20"/>
                <w:color w:val="auto"/>
              </w:rPr>
            </w:pPr>
          </w:p>
        </w:tc>
        <w:tc>
          <w:tcPr>
            <w:tcW w:w="1280" w:type="dxa"/>
            <w:vAlign w:val="bottom"/>
            <w:shd w:val="clear" w:color="auto" w:fill="F2F2F2"/>
          </w:tcPr>
          <w:p>
            <w:pPr>
              <w:spacing w:after="0"/>
              <w:rPr>
                <w:sz w:val="20"/>
                <w:szCs w:val="20"/>
                <w:color w:val="auto"/>
              </w:rPr>
            </w:pPr>
          </w:p>
        </w:tc>
        <w:tc>
          <w:tcPr>
            <w:tcW w:w="11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8"/>
              </w:rPr>
              <w:t>the proposal</w:t>
            </w:r>
          </w:p>
        </w:tc>
        <w:tc>
          <w:tcPr>
            <w:tcW w:w="0" w:type="dxa"/>
            <w:vAlign w:val="bottom"/>
          </w:tcPr>
          <w:p>
            <w:pPr>
              <w:spacing w:after="0"/>
              <w:rPr>
                <w:sz w:val="1"/>
                <w:szCs w:val="1"/>
                <w:color w:val="auto"/>
              </w:rPr>
            </w:pPr>
          </w:p>
        </w:tc>
      </w:tr>
      <w:tr>
        <w:trPr>
          <w:trHeight w:val="193"/>
        </w:trPr>
        <w:tc>
          <w:tcPr>
            <w:tcW w:w="2580" w:type="dxa"/>
            <w:vAlign w:val="bottom"/>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1700" w:type="dxa"/>
            <w:vAlign w:val="bottom"/>
            <w:shd w:val="clear" w:color="auto" w:fill="F2F2F2"/>
          </w:tcPr>
          <w:p>
            <w:pPr>
              <w:spacing w:after="0"/>
              <w:rPr>
                <w:sz w:val="16"/>
                <w:szCs w:val="16"/>
                <w:color w:val="auto"/>
              </w:rPr>
            </w:pPr>
          </w:p>
        </w:tc>
        <w:tc>
          <w:tcPr>
            <w:tcW w:w="1320" w:type="dxa"/>
            <w:vAlign w:val="bottom"/>
            <w:shd w:val="clear" w:color="auto" w:fill="F2F2F2"/>
          </w:tcPr>
          <w:p>
            <w:pPr>
              <w:spacing w:after="0"/>
              <w:rPr>
                <w:sz w:val="16"/>
                <w:szCs w:val="16"/>
                <w:color w:val="auto"/>
              </w:rPr>
            </w:pPr>
          </w:p>
        </w:tc>
        <w:tc>
          <w:tcPr>
            <w:tcW w:w="1280" w:type="dxa"/>
            <w:vAlign w:val="bottom"/>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80" w:type="dxa"/>
            <w:vAlign w:val="bottom"/>
          </w:tcPr>
          <w:p>
            <w:pPr>
              <w:ind w:left="40"/>
              <w:spacing w:after="0" w:line="183" w:lineRule="exact"/>
              <w:rPr>
                <w:sz w:val="20"/>
                <w:szCs w:val="20"/>
                <w:color w:val="auto"/>
              </w:rPr>
            </w:pPr>
            <w:r>
              <w:rPr>
                <w:rFonts w:ascii="Arial" w:cs="Arial" w:eastAsia="Arial" w:hAnsi="Arial"/>
                <w:sz w:val="18"/>
                <w:szCs w:val="18"/>
                <w:color w:val="auto"/>
              </w:rPr>
              <w:t>Shareholder Proposals</w:t>
            </w:r>
          </w:p>
        </w:tc>
        <w:tc>
          <w:tcPr>
            <w:tcW w:w="1100" w:type="dxa"/>
            <w:vAlign w:val="bottom"/>
          </w:tcPr>
          <w:p>
            <w:pPr>
              <w:jc w:val="center"/>
              <w:spacing w:after="0" w:line="183" w:lineRule="exact"/>
              <w:rPr>
                <w:sz w:val="20"/>
                <w:szCs w:val="20"/>
                <w:color w:val="auto"/>
              </w:rPr>
            </w:pPr>
            <w:r>
              <w:rPr>
                <w:rFonts w:ascii="Arial" w:cs="Arial" w:eastAsia="Arial" w:hAnsi="Arial"/>
                <w:sz w:val="18"/>
                <w:szCs w:val="18"/>
                <w:color w:val="auto"/>
              </w:rPr>
              <w:t>Majority of</w:t>
            </w:r>
          </w:p>
        </w:tc>
        <w:tc>
          <w:tcPr>
            <w:tcW w:w="1700" w:type="dxa"/>
            <w:vAlign w:val="bottom"/>
          </w:tcPr>
          <w:p>
            <w:pPr>
              <w:jc w:val="center"/>
              <w:spacing w:after="0" w:line="183" w:lineRule="exact"/>
              <w:rPr>
                <w:sz w:val="20"/>
                <w:szCs w:val="20"/>
                <w:color w:val="auto"/>
              </w:rPr>
            </w:pPr>
            <w:r>
              <w:rPr>
                <w:rFonts w:ascii="Arial" w:cs="Arial" w:eastAsia="Arial" w:hAnsi="Arial"/>
                <w:sz w:val="18"/>
                <w:szCs w:val="18"/>
                <w:color w:val="auto"/>
                <w:w w:val="99"/>
              </w:rPr>
              <w:t>FOR, AGAINST or</w:t>
            </w:r>
          </w:p>
        </w:tc>
        <w:tc>
          <w:tcPr>
            <w:tcW w:w="1320" w:type="dxa"/>
            <w:vAlign w:val="bottom"/>
          </w:tcPr>
          <w:p>
            <w:pPr>
              <w:jc w:val="center"/>
              <w:spacing w:after="0" w:line="183" w:lineRule="exact"/>
              <w:rPr>
                <w:sz w:val="20"/>
                <w:szCs w:val="20"/>
                <w:color w:val="auto"/>
              </w:rPr>
            </w:pPr>
            <w:r>
              <w:rPr>
                <w:rFonts w:ascii="Arial" w:cs="Arial" w:eastAsia="Arial" w:hAnsi="Arial"/>
                <w:sz w:val="18"/>
                <w:szCs w:val="18"/>
                <w:color w:val="auto"/>
                <w:w w:val="99"/>
              </w:rPr>
              <w:t>No effect - not</w:t>
            </w:r>
          </w:p>
        </w:tc>
        <w:tc>
          <w:tcPr>
            <w:tcW w:w="1280" w:type="dxa"/>
            <w:vAlign w:val="bottom"/>
          </w:tcPr>
          <w:p>
            <w:pPr>
              <w:jc w:val="center"/>
              <w:spacing w:after="0" w:line="183" w:lineRule="exact"/>
              <w:rPr>
                <w:sz w:val="20"/>
                <w:szCs w:val="20"/>
                <w:color w:val="auto"/>
              </w:rPr>
            </w:pPr>
            <w:r>
              <w:rPr>
                <w:rFonts w:ascii="Arial" w:cs="Arial" w:eastAsia="Arial" w:hAnsi="Arial"/>
                <w:sz w:val="18"/>
                <w:szCs w:val="18"/>
                <w:color w:val="auto"/>
                <w:w w:val="95"/>
              </w:rPr>
              <w:t>No</w:t>
            </w:r>
          </w:p>
        </w:tc>
        <w:tc>
          <w:tcPr>
            <w:tcW w:w="1100" w:type="dxa"/>
            <w:vAlign w:val="bottom"/>
          </w:tcPr>
          <w:p>
            <w:pPr>
              <w:jc w:val="center"/>
              <w:spacing w:after="0" w:line="183" w:lineRule="exact"/>
              <w:rPr>
                <w:sz w:val="20"/>
                <w:szCs w:val="20"/>
                <w:color w:val="auto"/>
              </w:rPr>
            </w:pPr>
            <w:r>
              <w:rPr>
                <w:rFonts w:ascii="Arial" w:cs="Arial" w:eastAsia="Arial" w:hAnsi="Arial"/>
                <w:sz w:val="18"/>
                <w:szCs w:val="18"/>
                <w:color w:val="auto"/>
                <w:w w:val="99"/>
              </w:rPr>
              <w:t>No effect</w:t>
            </w:r>
          </w:p>
        </w:tc>
        <w:tc>
          <w:tcPr>
            <w:tcW w:w="0" w:type="dxa"/>
            <w:vAlign w:val="bottom"/>
          </w:tcPr>
          <w:p>
            <w:pPr>
              <w:spacing w:after="0"/>
              <w:rPr>
                <w:sz w:val="1"/>
                <w:szCs w:val="1"/>
                <w:color w:val="auto"/>
              </w:rPr>
            </w:pPr>
          </w:p>
        </w:tc>
      </w:tr>
      <w:tr>
        <w:trPr>
          <w:trHeight w:val="181"/>
        </w:trPr>
        <w:tc>
          <w:tcPr>
            <w:tcW w:w="258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8"/>
                <w:szCs w:val="18"/>
                <w:color w:val="auto"/>
                <w:w w:val="98"/>
              </w:rPr>
              <w:t>votes cast</w:t>
            </w:r>
          </w:p>
        </w:tc>
        <w:tc>
          <w:tcPr>
            <w:tcW w:w="1700" w:type="dxa"/>
            <w:vAlign w:val="bottom"/>
          </w:tcPr>
          <w:p>
            <w:pPr>
              <w:jc w:val="center"/>
              <w:spacing w:after="0" w:line="181" w:lineRule="exact"/>
              <w:rPr>
                <w:sz w:val="20"/>
                <w:szCs w:val="20"/>
                <w:color w:val="auto"/>
              </w:rPr>
            </w:pPr>
            <w:r>
              <w:rPr>
                <w:rFonts w:ascii="Arial" w:cs="Arial" w:eastAsia="Arial" w:hAnsi="Arial"/>
                <w:sz w:val="18"/>
                <w:szCs w:val="18"/>
                <w:color w:val="auto"/>
                <w:w w:val="97"/>
              </w:rPr>
              <w:t>ABSTAIN (for each</w:t>
            </w:r>
          </w:p>
        </w:tc>
        <w:tc>
          <w:tcPr>
            <w:tcW w:w="1320" w:type="dxa"/>
            <w:vAlign w:val="bottom"/>
          </w:tcPr>
          <w:p>
            <w:pPr>
              <w:jc w:val="center"/>
              <w:spacing w:after="0" w:line="181" w:lineRule="exact"/>
              <w:rPr>
                <w:sz w:val="20"/>
                <w:szCs w:val="20"/>
                <w:color w:val="auto"/>
              </w:rPr>
            </w:pPr>
            <w:r>
              <w:rPr>
                <w:rFonts w:ascii="Arial" w:cs="Arial" w:eastAsia="Arial" w:hAnsi="Arial"/>
                <w:sz w:val="18"/>
                <w:szCs w:val="18"/>
                <w:color w:val="auto"/>
              </w:rPr>
              <w:t>counted as a</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98"/>
              </w:rPr>
              <w:t>shareholder</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9"/>
              </w:rPr>
              <w:t>“vote cast”</w:t>
            </w: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8"/>
              </w:rPr>
              <w:t>proposal)</w:t>
            </w: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Additional Items of Business</w:t>
      </w:r>
    </w:p>
    <w:p>
      <w:pPr>
        <w:spacing w:after="0" w:line="69"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We do not expect any items of business to be submitted to shareholders at the Annual Meeting other than the 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Vote Tabulation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Votes are tabulated by an independent inspector of election, Broadridge Financial Solutions, Inc.</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List of Shareholders of Record</w:t>
      </w:r>
    </w:p>
    <w:p>
      <w:pPr>
        <w:spacing w:after="0" w:line="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 w:cs="Arial" w:eastAsia="Arial" w:hAnsi="Arial"/>
          <w:sz w:val="18"/>
          <w:szCs w:val="18"/>
          <w:color w:val="D52B1E"/>
        </w:rPr>
        <w:t>shareholderproposals@lilly.com</w:t>
      </w:r>
      <w:r>
        <w:rPr>
          <w:rFonts w:ascii="Arial" w:cs="Arial" w:eastAsia="Arial" w:hAnsi="Arial"/>
          <w:sz w:val="18"/>
          <w:szCs w:val="18"/>
          <w:color w:val="auto"/>
        </w:rPr>
        <w:t xml:space="preserve"> if you wish to examine the list prior to the Annual Meeting. The shareholder list will also be available during the virtual Annual Meeting for examination by shareholders who access the Annual Meeting using their 16-digit control number at </w:t>
      </w:r>
      <w:r>
        <w:rPr>
          <w:rFonts w:ascii="Arial" w:cs="Arial" w:eastAsia="Arial" w:hAnsi="Arial"/>
          <w:sz w:val="18"/>
          <w:szCs w:val="18"/>
          <w:color w:val="D52B1E"/>
        </w:rPr>
        <w:t>virtualshareholdermeeting.com/LLY2026</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The 2027 Annual Meeting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2027 annual meeting of shareholders is currently scheduled for May 3, 2027.</w:t>
      </w: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87" w:name="page88"/>
    <w:bookmarkEnd w:id="87"/>
    <w:p>
      <w:pPr>
        <w:spacing w:after="0"/>
        <w:rPr>
          <w:sz w:val="20"/>
          <w:szCs w:val="20"/>
          <w:color w:val="auto"/>
        </w:rPr>
      </w:pPr>
      <w:r>
        <w:rPr>
          <w:rFonts w:ascii="Arial" w:cs="Arial" w:eastAsia="Arial" w:hAnsi="Arial"/>
          <w:sz w:val="25"/>
          <w:szCs w:val="25"/>
          <w:b w:val="1"/>
          <w:bCs w:val="1"/>
          <w:color w:val="0F3A85"/>
        </w:rPr>
        <w:t>How to Vote</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You may vote by any one of the following methods: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Borders>
              <w:top w:val="single" w:sz="8" w:color="auto"/>
            </w:tcBorders>
            <w:vMerge w:val="restart"/>
          </w:tcPr>
          <w:p>
            <w:pPr>
              <w:ind w:left="1660"/>
              <w:spacing w:after="0"/>
              <w:rPr>
                <w:sz w:val="20"/>
                <w:szCs w:val="20"/>
                <w:color w:val="auto"/>
              </w:rPr>
            </w:pPr>
            <w:r>
              <w:rPr>
                <w:rFonts w:ascii="Arial" w:cs="Arial" w:eastAsia="Arial" w:hAnsi="Arial"/>
                <w:sz w:val="18"/>
                <w:szCs w:val="18"/>
                <w:b w:val="1"/>
                <w:bCs w:val="1"/>
                <w:color w:val="auto"/>
              </w:rPr>
              <w:t>Shareholders of Record</w:t>
            </w:r>
          </w:p>
        </w:tc>
        <w:tc>
          <w:tcPr>
            <w:tcW w:w="2680" w:type="dxa"/>
            <w:vAlign w:val="bottom"/>
            <w:tcBorders>
              <w:top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Shares Held by a Broker</w:t>
            </w:r>
          </w:p>
        </w:tc>
        <w:tc>
          <w:tcPr>
            <w:tcW w:w="2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Shares Held in the</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vMerge w:val="continue"/>
          </w:tcPr>
          <w:p>
            <w:pPr>
              <w:spacing w:after="0"/>
              <w:rPr>
                <w:sz w:val="21"/>
                <w:szCs w:val="21"/>
                <w:color w:val="auto"/>
              </w:rPr>
            </w:pPr>
          </w:p>
        </w:tc>
        <w:tc>
          <w:tcPr>
            <w:tcW w:w="2680" w:type="dxa"/>
            <w:vAlign w:val="bottom"/>
            <w:tcBorders>
              <w:bottom w:val="single" w:sz="8" w:color="auto"/>
            </w:tcBorders>
            <w:vMerge w:val="continue"/>
          </w:tcPr>
          <w:p>
            <w:pPr>
              <w:spacing w:after="0"/>
              <w:rPr>
                <w:sz w:val="21"/>
                <w:szCs w:val="21"/>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 401(k)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60720" cy="382333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5760720" cy="382333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69215</wp:posOffset>
            </wp:positionV>
            <wp:extent cx="514350" cy="51435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clrChange>
                        <a:clrFrom>
                          <a:srgbClr val="000000"/>
                        </a:clrFrom>
                        <a:clrTo>
                          <a:srgbClr val="000000">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69215</wp:posOffset>
            </wp:positionV>
            <wp:extent cx="514350" cy="51435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86360</wp:posOffset>
            </wp:positionV>
            <wp:extent cx="514350" cy="51435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clrChange>
                        <a:clrFrom>
                          <a:srgbClr val="000000"/>
                        </a:clrFrom>
                        <a:clrTo>
                          <a:srgbClr val="000000">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86360</wp:posOffset>
            </wp:positionV>
            <wp:extent cx="514350" cy="51435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clrChange>
                        <a:clrFrom>
                          <a:srgbClr val="FFFFFF"/>
                        </a:clrFrom>
                        <a:clrTo>
                          <a:srgbClr val="FFFFFF">
                            <a:alpha val="0"/>
                          </a:srgbClr>
                        </a:clrTo>
                      </a:clrChange>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At the</w:t>
      </w:r>
    </w:p>
    <w:p>
      <w:pPr>
        <w:spacing w:after="0" w:line="27"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Meeting</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20" w:type="dxa"/>
            <w:vAlign w:val="bottom"/>
            <w:vMerge w:val="restart"/>
          </w:tcPr>
          <w:p>
            <w:pPr>
              <w:spacing w:after="0"/>
              <w:rPr>
                <w:sz w:val="20"/>
                <w:szCs w:val="20"/>
                <w:color w:val="auto"/>
              </w:rPr>
            </w:pPr>
            <w:r>
              <w:rPr>
                <w:rFonts w:ascii="Arial" w:cs="Arial" w:eastAsia="Arial" w:hAnsi="Arial"/>
                <w:sz w:val="18"/>
                <w:szCs w:val="18"/>
                <w:color w:val="auto"/>
              </w:rPr>
              <w:t xml:space="preserve">Vote online at </w:t>
            </w:r>
            <w:r>
              <w:rPr>
                <w:rFonts w:ascii="Arial" w:cs="Arial" w:eastAsia="Arial" w:hAnsi="Arial"/>
                <w:sz w:val="18"/>
                <w:szCs w:val="18"/>
                <w:color w:val="D52B1E"/>
              </w:rPr>
              <w:t>ProxyVote.com</w:t>
            </w:r>
            <w:r>
              <w:rPr>
                <w:rFonts w:ascii="Arial" w:cs="Arial" w:eastAsia="Arial" w:hAnsi="Arial"/>
                <w:sz w:val="18"/>
                <w:szCs w:val="18"/>
                <w:color w:val="auto"/>
              </w:rPr>
              <w:t>.</w:t>
            </w:r>
          </w:p>
        </w:tc>
        <w:tc>
          <w:tcPr>
            <w:tcW w:w="2780" w:type="dxa"/>
            <w:vAlign w:val="bottom"/>
          </w:tcPr>
          <w:p>
            <w:pPr>
              <w:ind w:left="440"/>
              <w:spacing w:after="0"/>
              <w:rPr>
                <w:sz w:val="20"/>
                <w:szCs w:val="20"/>
                <w:color w:val="auto"/>
              </w:rPr>
            </w:pPr>
            <w:r>
              <w:rPr>
                <w:rFonts w:ascii="Arial" w:cs="Arial" w:eastAsia="Arial" w:hAnsi="Arial"/>
                <w:sz w:val="18"/>
                <w:szCs w:val="18"/>
                <w:color w:val="auto"/>
              </w:rPr>
              <w:t>The broker will ask you how</w:t>
            </w:r>
          </w:p>
        </w:tc>
        <w:tc>
          <w:tcPr>
            <w:tcW w:w="1280" w:type="dxa"/>
            <w:vAlign w:val="bottom"/>
          </w:tcPr>
          <w:p>
            <w:pPr>
              <w:ind w:left="20"/>
              <w:spacing w:after="0"/>
              <w:rPr>
                <w:sz w:val="20"/>
                <w:szCs w:val="20"/>
                <w:color w:val="auto"/>
              </w:rPr>
            </w:pPr>
            <w:r>
              <w:rPr>
                <w:rFonts w:ascii="Arial" w:cs="Arial" w:eastAsia="Arial" w:hAnsi="Arial"/>
                <w:sz w:val="18"/>
                <w:szCs w:val="18"/>
                <w:color w:val="auto"/>
              </w:rPr>
              <w:t>Vote online at</w:t>
            </w:r>
          </w:p>
        </w:tc>
        <w:tc>
          <w:tcPr>
            <w:tcW w:w="0" w:type="dxa"/>
            <w:vAlign w:val="bottom"/>
          </w:tcPr>
          <w:p>
            <w:pPr>
              <w:spacing w:after="0"/>
              <w:rPr>
                <w:sz w:val="1"/>
                <w:szCs w:val="1"/>
                <w:color w:val="auto"/>
              </w:rPr>
            </w:pPr>
          </w:p>
        </w:tc>
      </w:tr>
      <w:tr>
        <w:trPr>
          <w:trHeight w:val="131"/>
        </w:trPr>
        <w:tc>
          <w:tcPr>
            <w:tcW w:w="2820" w:type="dxa"/>
            <w:vAlign w:val="bottom"/>
            <w:vMerge w:val="continue"/>
          </w:tcPr>
          <w:p>
            <w:pPr>
              <w:spacing w:after="0"/>
              <w:rPr>
                <w:sz w:val="11"/>
                <w:szCs w:val="11"/>
                <w:color w:val="auto"/>
              </w:rPr>
            </w:pPr>
          </w:p>
        </w:tc>
        <w:tc>
          <w:tcPr>
            <w:tcW w:w="2780" w:type="dxa"/>
            <w:vAlign w:val="bottom"/>
            <w:vMerge w:val="restart"/>
          </w:tcPr>
          <w:p>
            <w:pPr>
              <w:ind w:left="440"/>
              <w:spacing w:after="0"/>
              <w:rPr>
                <w:sz w:val="20"/>
                <w:szCs w:val="20"/>
                <w:color w:val="auto"/>
              </w:rPr>
            </w:pPr>
            <w:r>
              <w:rPr>
                <w:rFonts w:ascii="Arial" w:cs="Arial" w:eastAsia="Arial" w:hAnsi="Arial"/>
                <w:sz w:val="18"/>
                <w:szCs w:val="18"/>
                <w:color w:val="auto"/>
              </w:rPr>
              <w:t>you want your shares to be</w:t>
            </w:r>
          </w:p>
        </w:tc>
        <w:tc>
          <w:tcPr>
            <w:tcW w:w="1280" w:type="dxa"/>
            <w:vAlign w:val="bottom"/>
            <w:vMerge w:val="restart"/>
          </w:tcPr>
          <w:p>
            <w:pPr>
              <w:ind w:left="20"/>
              <w:spacing w:after="0"/>
              <w:rPr>
                <w:sz w:val="20"/>
                <w:szCs w:val="20"/>
                <w:color w:val="auto"/>
              </w:rPr>
            </w:pPr>
            <w:r>
              <w:rPr>
                <w:rFonts w:ascii="Arial" w:cs="Arial" w:eastAsia="Arial" w:hAnsi="Arial"/>
                <w:sz w:val="18"/>
                <w:szCs w:val="18"/>
                <w:color w:val="D52B1E"/>
                <w:w w:val="97"/>
              </w:rPr>
              <w:t>ProxyVote.com</w:t>
            </w:r>
            <w:r>
              <w:rPr>
                <w:rFonts w:ascii="Arial" w:cs="Arial" w:eastAsia="Arial" w:hAnsi="Arial"/>
                <w:sz w:val="18"/>
                <w:szCs w:val="18"/>
                <w:color w:val="000000"/>
                <w:w w:val="97"/>
              </w:rPr>
              <w:t>.</w:t>
            </w:r>
          </w:p>
        </w:tc>
        <w:tc>
          <w:tcPr>
            <w:tcW w:w="0" w:type="dxa"/>
            <w:vAlign w:val="bottom"/>
          </w:tcPr>
          <w:p>
            <w:pPr>
              <w:spacing w:after="0"/>
              <w:rPr>
                <w:sz w:val="1"/>
                <w:szCs w:val="1"/>
                <w:color w:val="auto"/>
              </w:rPr>
            </w:pPr>
          </w:p>
        </w:tc>
      </w:tr>
      <w:tr>
        <w:trPr>
          <w:trHeight w:val="99"/>
        </w:trPr>
        <w:tc>
          <w:tcPr>
            <w:tcW w:w="2820" w:type="dxa"/>
            <w:vAlign w:val="bottom"/>
          </w:tcPr>
          <w:p>
            <w:pPr>
              <w:spacing w:after="0"/>
              <w:rPr>
                <w:sz w:val="8"/>
                <w:szCs w:val="8"/>
                <w:color w:val="auto"/>
              </w:rPr>
            </w:pPr>
          </w:p>
        </w:tc>
        <w:tc>
          <w:tcPr>
            <w:tcW w:w="27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voted. You may instruct your</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broker or other nominee to</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w w:val="99"/>
              </w:rPr>
              <w:t>vote your shares by following</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220" w:type="dxa"/>
            <w:vAlign w:val="bottom"/>
          </w:tcPr>
          <w:p>
            <w:pPr>
              <w:spacing w:after="0" w:line="198" w:lineRule="exact"/>
              <w:rPr>
                <w:sz w:val="20"/>
                <w:szCs w:val="20"/>
                <w:color w:val="auto"/>
              </w:rPr>
            </w:pPr>
            <w:r>
              <w:rPr>
                <w:rFonts w:ascii="Arial" w:cs="Arial" w:eastAsia="Arial" w:hAnsi="Arial"/>
                <w:sz w:val="18"/>
                <w:szCs w:val="18"/>
                <w:color w:val="auto"/>
              </w:rPr>
              <w:t>Call 1-800-690-6903 using a touch-tone</w:t>
            </w:r>
          </w:p>
        </w:tc>
        <w:tc>
          <w:tcPr>
            <w:tcW w:w="2400" w:type="dxa"/>
            <w:vAlign w:val="bottom"/>
          </w:tcPr>
          <w:p>
            <w:pPr>
              <w:ind w:left="40"/>
              <w:spacing w:after="0" w:line="198" w:lineRule="exact"/>
              <w:rPr>
                <w:sz w:val="20"/>
                <w:szCs w:val="20"/>
                <w:color w:val="auto"/>
              </w:rPr>
            </w:pPr>
            <w:r>
              <w:rPr>
                <w:rFonts w:ascii="Arial" w:cs="Arial" w:eastAsia="Arial" w:hAnsi="Arial"/>
                <w:sz w:val="18"/>
                <w:szCs w:val="18"/>
                <w:color w:val="auto"/>
              </w:rPr>
              <w:t>instructions that the broker or</w:t>
            </w:r>
          </w:p>
        </w:tc>
        <w:tc>
          <w:tcPr>
            <w:tcW w:w="2380" w:type="dxa"/>
            <w:vAlign w:val="bottom"/>
          </w:tcPr>
          <w:p>
            <w:pPr>
              <w:spacing w:after="0" w:line="198" w:lineRule="exact"/>
              <w:rPr>
                <w:sz w:val="20"/>
                <w:szCs w:val="20"/>
                <w:color w:val="auto"/>
              </w:rPr>
            </w:pPr>
            <w:r>
              <w:rPr>
                <w:rFonts w:ascii="Arial" w:cs="Arial" w:eastAsia="Arial" w:hAnsi="Arial"/>
                <w:sz w:val="18"/>
                <w:szCs w:val="18"/>
                <w:color w:val="auto"/>
              </w:rPr>
              <w:t>Call 1-800-690-6903 using 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phone and follow the instructions</w:t>
            </w:r>
          </w:p>
        </w:tc>
        <w:tc>
          <w:tcPr>
            <w:tcW w:w="2400" w:type="dxa"/>
            <w:vAlign w:val="bottom"/>
          </w:tcPr>
          <w:p>
            <w:pPr>
              <w:ind w:left="40"/>
              <w:spacing w:after="0"/>
              <w:rPr>
                <w:sz w:val="20"/>
                <w:szCs w:val="20"/>
                <w:color w:val="auto"/>
              </w:rPr>
            </w:pPr>
            <w:r>
              <w:rPr>
                <w:rFonts w:ascii="Arial" w:cs="Arial" w:eastAsia="Arial" w:hAnsi="Arial"/>
                <w:sz w:val="18"/>
                <w:szCs w:val="18"/>
                <w:color w:val="auto"/>
              </w:rPr>
              <w:t>nominee provides to you.</w:t>
            </w:r>
          </w:p>
        </w:tc>
        <w:tc>
          <w:tcPr>
            <w:tcW w:w="2380" w:type="dxa"/>
            <w:vAlign w:val="bottom"/>
          </w:tcPr>
          <w:p>
            <w:pPr>
              <w:spacing w:after="0"/>
              <w:rPr>
                <w:sz w:val="20"/>
                <w:szCs w:val="20"/>
                <w:color w:val="auto"/>
              </w:rPr>
            </w:pPr>
            <w:r>
              <w:rPr>
                <w:rFonts w:ascii="Arial" w:cs="Arial" w:eastAsia="Arial" w:hAnsi="Arial"/>
                <w:sz w:val="18"/>
                <w:szCs w:val="18"/>
                <w:color w:val="auto"/>
              </w:rPr>
              <w:t>touch-tone phone and follow</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provided.</w:t>
            </w:r>
          </w:p>
        </w:tc>
        <w:tc>
          <w:tcPr>
            <w:tcW w:w="2400" w:type="dxa"/>
            <w:vAlign w:val="bottom"/>
          </w:tcPr>
          <w:p>
            <w:pPr>
              <w:ind w:left="40"/>
              <w:spacing w:after="0"/>
              <w:rPr>
                <w:sz w:val="20"/>
                <w:szCs w:val="20"/>
                <w:color w:val="auto"/>
              </w:rPr>
            </w:pPr>
            <w:r>
              <w:rPr>
                <w:rFonts w:ascii="Arial" w:cs="Arial" w:eastAsia="Arial" w:hAnsi="Arial"/>
                <w:sz w:val="18"/>
                <w:szCs w:val="18"/>
                <w:color w:val="auto"/>
              </w:rPr>
              <w:t>Most brokers offer voting by</w:t>
            </w:r>
          </w:p>
        </w:tc>
        <w:tc>
          <w:tcPr>
            <w:tcW w:w="2380" w:type="dxa"/>
            <w:vAlign w:val="bottom"/>
          </w:tcPr>
          <w:p>
            <w:pPr>
              <w:spacing w:after="0"/>
              <w:rPr>
                <w:sz w:val="20"/>
                <w:szCs w:val="20"/>
                <w:color w:val="auto"/>
              </w:rPr>
            </w:pPr>
            <w:r>
              <w:rPr>
                <w:rFonts w:ascii="Arial" w:cs="Arial" w:eastAsia="Arial" w:hAnsi="Arial"/>
                <w:sz w:val="18"/>
                <w:szCs w:val="18"/>
                <w:color w:val="auto"/>
              </w:rPr>
              <w:t>the instructions provided.</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mail, by telephone, and</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220" w:type="dxa"/>
            <w:vAlign w:val="bottom"/>
          </w:tcPr>
          <w:p>
            <w:pPr>
              <w:spacing w:after="0"/>
              <w:rPr>
                <w:sz w:val="15"/>
                <w:szCs w:val="15"/>
                <w:color w:val="auto"/>
              </w:rPr>
            </w:pPr>
          </w:p>
        </w:tc>
        <w:tc>
          <w:tcPr>
            <w:tcW w:w="2400" w:type="dxa"/>
            <w:vAlign w:val="bottom"/>
          </w:tcPr>
          <w:p>
            <w:pPr>
              <w:ind w:left="40"/>
              <w:spacing w:after="0" w:line="161" w:lineRule="exact"/>
              <w:rPr>
                <w:sz w:val="20"/>
                <w:szCs w:val="20"/>
                <w:color w:val="auto"/>
              </w:rPr>
            </w:pPr>
            <w:r>
              <w:rPr>
                <w:rFonts w:ascii="Arial" w:cs="Arial" w:eastAsia="Arial" w:hAnsi="Arial"/>
                <w:sz w:val="18"/>
                <w:szCs w:val="18"/>
                <w:color w:val="auto"/>
              </w:rPr>
              <w:t>online. You may submit new</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22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voting instructions by</w:t>
            </w: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Sign, date, and return the</w:t>
            </w:r>
          </w:p>
        </w:tc>
        <w:tc>
          <w:tcPr>
            <w:tcW w:w="0" w:type="dxa"/>
            <w:vAlign w:val="bottom"/>
          </w:tcPr>
          <w:p>
            <w:pPr>
              <w:spacing w:after="0"/>
              <w:rPr>
                <w:sz w:val="1"/>
                <w:szCs w:val="1"/>
                <w:color w:val="auto"/>
              </w:rPr>
            </w:pPr>
          </w:p>
        </w:tc>
      </w:tr>
      <w:tr>
        <w:trPr>
          <w:trHeight w:val="68"/>
        </w:trPr>
        <w:tc>
          <w:tcPr>
            <w:tcW w:w="3220" w:type="dxa"/>
            <w:vAlign w:val="bottom"/>
          </w:tcPr>
          <w:p>
            <w:pPr>
              <w:spacing w:after="0"/>
              <w:rPr>
                <w:sz w:val="5"/>
                <w:szCs w:val="5"/>
                <w:color w:val="auto"/>
              </w:rPr>
            </w:pPr>
          </w:p>
        </w:tc>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contacting your broker or</w:t>
            </w:r>
          </w:p>
        </w:tc>
        <w:tc>
          <w:tcPr>
            <w:tcW w:w="238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220" w:type="dxa"/>
            <w:vAlign w:val="bottom"/>
          </w:tcPr>
          <w:p>
            <w:pPr>
              <w:spacing w:after="0" w:line="181" w:lineRule="exact"/>
              <w:rPr>
                <w:sz w:val="20"/>
                <w:szCs w:val="20"/>
                <w:color w:val="auto"/>
              </w:rPr>
            </w:pPr>
            <w:r>
              <w:rPr>
                <w:rFonts w:ascii="Arial" w:cs="Arial" w:eastAsia="Arial" w:hAnsi="Arial"/>
                <w:sz w:val="18"/>
                <w:szCs w:val="18"/>
                <w:color w:val="auto"/>
              </w:rPr>
              <w:t>Sign, date, and return each proxy card</w:t>
            </w:r>
          </w:p>
        </w:tc>
        <w:tc>
          <w:tcPr>
            <w:tcW w:w="2400" w:type="dxa"/>
            <w:vAlign w:val="bottom"/>
            <w:vMerge w:val="continue"/>
          </w:tcPr>
          <w:p>
            <w:pPr>
              <w:spacing w:after="0"/>
              <w:rPr>
                <w:sz w:val="15"/>
                <w:szCs w:val="15"/>
                <w:color w:val="auto"/>
              </w:rPr>
            </w:pPr>
          </w:p>
        </w:tc>
        <w:tc>
          <w:tcPr>
            <w:tcW w:w="2380" w:type="dxa"/>
            <w:vAlign w:val="bottom"/>
            <w:shd w:val="clear" w:color="auto" w:fill="F2F2F2"/>
          </w:tcPr>
          <w:p>
            <w:pPr>
              <w:spacing w:after="0" w:line="181" w:lineRule="exact"/>
              <w:rPr>
                <w:sz w:val="20"/>
                <w:szCs w:val="20"/>
                <w:color w:val="auto"/>
              </w:rPr>
            </w:pPr>
            <w:r>
              <w:rPr>
                <w:rFonts w:ascii="Arial" w:cs="Arial" w:eastAsia="Arial" w:hAnsi="Arial"/>
                <w:sz w:val="18"/>
                <w:szCs w:val="18"/>
                <w:color w:val="auto"/>
              </w:rPr>
              <w:t>voting instruction form you</w:t>
            </w:r>
          </w:p>
        </w:tc>
        <w:tc>
          <w:tcPr>
            <w:tcW w:w="0" w:type="dxa"/>
            <w:vAlign w:val="bottom"/>
          </w:tcPr>
          <w:p>
            <w:pPr>
              <w:spacing w:after="0"/>
              <w:rPr>
                <w:sz w:val="1"/>
                <w:szCs w:val="1"/>
                <w:color w:val="auto"/>
              </w:rPr>
            </w:pPr>
          </w:p>
        </w:tc>
      </w:tr>
      <w:tr>
        <w:trPr>
          <w:trHeight w:val="184"/>
        </w:trPr>
        <w:tc>
          <w:tcPr>
            <w:tcW w:w="3220" w:type="dxa"/>
            <w:vAlign w:val="bottom"/>
            <w:vMerge w:val="restart"/>
          </w:tcPr>
          <w:p>
            <w:pPr>
              <w:spacing w:after="0"/>
              <w:rPr>
                <w:sz w:val="20"/>
                <w:szCs w:val="20"/>
                <w:color w:val="auto"/>
              </w:rPr>
            </w:pPr>
            <w:r>
              <w:rPr>
                <w:rFonts w:ascii="Arial" w:cs="Arial" w:eastAsia="Arial" w:hAnsi="Arial"/>
                <w:sz w:val="18"/>
                <w:szCs w:val="18"/>
                <w:color w:val="auto"/>
              </w:rPr>
              <w:t>you received in the prepaid envelope.</w:t>
            </w:r>
          </w:p>
        </w:tc>
        <w:tc>
          <w:tcPr>
            <w:tcW w:w="2400" w:type="dxa"/>
            <w:vAlign w:val="bottom"/>
          </w:tcPr>
          <w:p>
            <w:pPr>
              <w:ind w:left="40"/>
              <w:spacing w:after="0" w:line="183" w:lineRule="exact"/>
              <w:rPr>
                <w:sz w:val="20"/>
                <w:szCs w:val="20"/>
                <w:color w:val="auto"/>
              </w:rPr>
            </w:pPr>
            <w:r>
              <w:rPr>
                <w:rFonts w:ascii="Arial" w:cs="Arial" w:eastAsia="Arial" w:hAnsi="Arial"/>
                <w:sz w:val="18"/>
                <w:szCs w:val="18"/>
                <w:color w:val="auto"/>
              </w:rPr>
              <w:t>other nominee or, if your</w:t>
            </w: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received in the prepaid</w:t>
            </w:r>
          </w:p>
        </w:tc>
        <w:tc>
          <w:tcPr>
            <w:tcW w:w="0" w:type="dxa"/>
            <w:vAlign w:val="bottom"/>
          </w:tcPr>
          <w:p>
            <w:pPr>
              <w:spacing w:after="0"/>
              <w:rPr>
                <w:sz w:val="1"/>
                <w:szCs w:val="1"/>
                <w:color w:val="auto"/>
              </w:rPr>
            </w:pPr>
          </w:p>
        </w:tc>
      </w:tr>
      <w:tr>
        <w:trPr>
          <w:trHeight w:val="68"/>
        </w:trPr>
        <w:tc>
          <w:tcPr>
            <w:tcW w:w="3220" w:type="dxa"/>
            <w:vAlign w:val="bottom"/>
            <w:vMerge w:val="continue"/>
          </w:tcPr>
          <w:p>
            <w:pPr>
              <w:spacing w:after="0"/>
              <w:rPr>
                <w:sz w:val="5"/>
                <w:szCs w:val="5"/>
                <w:color w:val="auto"/>
              </w:rPr>
            </w:pPr>
          </w:p>
        </w:tc>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broker provides you with a</w:t>
            </w:r>
          </w:p>
        </w:tc>
        <w:tc>
          <w:tcPr>
            <w:tcW w:w="238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238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envelope.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w w:val="99"/>
              </w:rPr>
              <w:t>16-digit control number found</w:t>
            </w:r>
          </w:p>
        </w:tc>
        <w:tc>
          <w:tcPr>
            <w:tcW w:w="238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220" w:type="dxa"/>
            <w:vAlign w:val="bottom"/>
          </w:tcPr>
          <w:p>
            <w:pPr>
              <w:spacing w:after="0"/>
              <w:rPr>
                <w:sz w:val="14"/>
                <w:szCs w:val="14"/>
                <w:color w:val="auto"/>
              </w:rPr>
            </w:pPr>
          </w:p>
        </w:tc>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on the voting instruction form</w:t>
            </w:r>
          </w:p>
        </w:tc>
        <w:tc>
          <w:tcPr>
            <w:tcW w:w="23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22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2380" w:type="dxa"/>
            <w:vAlign w:val="bottom"/>
            <w:vMerge w:val="restart"/>
          </w:tcPr>
          <w:p>
            <w:pPr>
              <w:spacing w:after="0"/>
              <w:rPr>
                <w:sz w:val="20"/>
                <w:szCs w:val="20"/>
                <w:color w:val="auto"/>
              </w:rPr>
            </w:pPr>
            <w:r>
              <w:rPr>
                <w:rFonts w:ascii="Arial" w:cs="Arial" w:eastAsia="Arial" w:hAnsi="Arial"/>
                <w:sz w:val="18"/>
                <w:szCs w:val="18"/>
                <w:color w:val="auto"/>
              </w:rPr>
              <w:t>Plan shares cannot be voted</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2400" w:type="dxa"/>
            <w:vAlign w:val="bottom"/>
          </w:tcPr>
          <w:p>
            <w:pPr>
              <w:ind w:left="40"/>
              <w:spacing w:after="0" w:line="189" w:lineRule="exact"/>
              <w:rPr>
                <w:sz w:val="20"/>
                <w:szCs w:val="20"/>
                <w:color w:val="auto"/>
              </w:rPr>
            </w:pPr>
            <w:r>
              <w:rPr>
                <w:rFonts w:ascii="Arial" w:cs="Arial" w:eastAsia="Arial" w:hAnsi="Arial"/>
                <w:sz w:val="18"/>
                <w:szCs w:val="18"/>
                <w:color w:val="auto"/>
              </w:rPr>
              <w:t>for ProxyVote.com, by</w:t>
            </w:r>
          </w:p>
        </w:tc>
        <w:tc>
          <w:tcPr>
            <w:tcW w:w="2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Follow the instructions at</w:t>
            </w:r>
          </w:p>
        </w:tc>
        <w:tc>
          <w:tcPr>
            <w:tcW w:w="2400" w:type="dxa"/>
            <w:vAlign w:val="bottom"/>
          </w:tcPr>
          <w:p>
            <w:pPr>
              <w:ind w:left="40"/>
              <w:spacing w:after="0"/>
              <w:rPr>
                <w:sz w:val="20"/>
                <w:szCs w:val="20"/>
                <w:color w:val="auto"/>
              </w:rPr>
            </w:pPr>
            <w:r>
              <w:rPr>
                <w:rFonts w:ascii="Arial" w:cs="Arial" w:eastAsia="Arial" w:hAnsi="Arial"/>
                <w:sz w:val="18"/>
                <w:szCs w:val="18"/>
                <w:color w:val="auto"/>
              </w:rPr>
              <w:t>signing in with your 16-digit</w:t>
            </w:r>
          </w:p>
        </w:tc>
        <w:tc>
          <w:tcPr>
            <w:tcW w:w="2380" w:type="dxa"/>
            <w:vAlign w:val="bottom"/>
          </w:tcPr>
          <w:p>
            <w:pPr>
              <w:spacing w:after="0"/>
              <w:rPr>
                <w:sz w:val="20"/>
                <w:szCs w:val="20"/>
                <w:color w:val="auto"/>
              </w:rPr>
            </w:pPr>
            <w:r>
              <w:rPr>
                <w:rFonts w:ascii="Arial" w:cs="Arial" w:eastAsia="Arial" w:hAnsi="Arial"/>
                <w:sz w:val="18"/>
                <w:szCs w:val="18"/>
                <w:color w:val="auto"/>
              </w:rPr>
              <w:t>at the meeting. The Trustee</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D52B1E"/>
              </w:rPr>
              <w:t xml:space="preserve">virtualshareholdermeeting.com/LLY2026 </w:t>
            </w:r>
            <w:r>
              <w:rPr>
                <w:rFonts w:ascii="Arial" w:cs="Arial" w:eastAsia="Arial" w:hAnsi="Arial"/>
                <w:sz w:val="18"/>
                <w:szCs w:val="18"/>
                <w:color w:val="000000"/>
              </w:rPr>
              <w:t>control number and voting at</w:t>
            </w:r>
          </w:p>
        </w:tc>
        <w:tc>
          <w:tcPr>
            <w:tcW w:w="2380" w:type="dxa"/>
            <w:vAlign w:val="bottom"/>
          </w:tcPr>
          <w:p>
            <w:pPr>
              <w:spacing w:after="0"/>
              <w:rPr>
                <w:sz w:val="20"/>
                <w:szCs w:val="20"/>
                <w:color w:val="auto"/>
              </w:rPr>
            </w:pPr>
            <w:r>
              <w:rPr>
                <w:rFonts w:ascii="Arial" w:cs="Arial" w:eastAsia="Arial" w:hAnsi="Arial"/>
                <w:sz w:val="18"/>
                <w:szCs w:val="18"/>
                <w:color w:val="auto"/>
              </w:rPr>
              <w:t>must receive your</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to vote during the meeting.</w:t>
            </w:r>
          </w:p>
        </w:tc>
        <w:tc>
          <w:tcPr>
            <w:tcW w:w="2400" w:type="dxa"/>
            <w:vAlign w:val="bottom"/>
          </w:tcPr>
          <w:p>
            <w:pPr>
              <w:ind w:left="40"/>
              <w:spacing w:after="0"/>
              <w:rPr>
                <w:sz w:val="20"/>
                <w:szCs w:val="20"/>
                <w:color w:val="auto"/>
              </w:rPr>
            </w:pPr>
            <w:r>
              <w:rPr>
                <w:rFonts w:ascii="Arial" w:cs="Arial" w:eastAsia="Arial" w:hAnsi="Arial"/>
                <w:sz w:val="18"/>
                <w:szCs w:val="18"/>
                <w:color w:val="auto"/>
              </w:rPr>
              <w:t>the Annual Meeting.</w:t>
            </w:r>
          </w:p>
        </w:tc>
        <w:tc>
          <w:tcPr>
            <w:tcW w:w="2380" w:type="dxa"/>
            <w:vAlign w:val="bottom"/>
          </w:tcPr>
          <w:p>
            <w:pPr>
              <w:spacing w:after="0"/>
              <w:rPr>
                <w:sz w:val="20"/>
                <w:szCs w:val="20"/>
                <w:color w:val="auto"/>
              </w:rPr>
            </w:pPr>
            <w:r>
              <w:rPr>
                <w:rFonts w:ascii="Arial" w:cs="Arial" w:eastAsia="Arial" w:hAnsi="Arial"/>
                <w:sz w:val="18"/>
                <w:szCs w:val="18"/>
                <w:color w:val="auto"/>
              </w:rPr>
              <w:t>instructions by one of the</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methods above by April 29,</w:t>
            </w:r>
          </w:p>
        </w:tc>
        <w:tc>
          <w:tcPr>
            <w:tcW w:w="0" w:type="dxa"/>
            <w:vAlign w:val="bottom"/>
          </w:tcPr>
          <w:p>
            <w:pPr>
              <w:spacing w:after="0"/>
              <w:rPr>
                <w:sz w:val="1"/>
                <w:szCs w:val="1"/>
                <w:color w:val="auto"/>
              </w:rPr>
            </w:pPr>
          </w:p>
        </w:tc>
      </w:tr>
      <w:tr>
        <w:trPr>
          <w:trHeight w:val="239"/>
        </w:trPr>
        <w:tc>
          <w:tcPr>
            <w:tcW w:w="32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-1664970</wp:posOffset>
            </wp:positionV>
            <wp:extent cx="2734310" cy="81470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2734310" cy="81470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-1664970</wp:posOffset>
            </wp:positionV>
            <wp:extent cx="2734310" cy="81470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2734310" cy="81470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980" w:space="100"/>
            <w:col w:w="10160"/>
          </w:cols>
          <w:pgMar w:left="320" w:top="925"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106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shd w:val="clear" w:color="auto" w:fill="F2F2F2"/>
          </w:tcPr>
          <w:p>
            <w:pPr>
              <w:ind w:left="20"/>
              <w:spacing w:after="0"/>
              <w:rPr>
                <w:sz w:val="20"/>
                <w:szCs w:val="20"/>
                <w:color w:val="auto"/>
              </w:rPr>
            </w:pPr>
            <w:r>
              <w:rPr>
                <w:rFonts w:ascii="Arial" w:cs="Arial" w:eastAsia="Arial" w:hAnsi="Arial"/>
                <w:sz w:val="18"/>
                <w:szCs w:val="18"/>
                <w:color w:val="auto"/>
              </w:rPr>
              <w:t>11:59 p.m. EDT on May 3, 2026, unless</w:t>
            </w:r>
          </w:p>
        </w:tc>
        <w:tc>
          <w:tcPr>
            <w:tcW w:w="2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Please refer to the</w:t>
            </w:r>
          </w:p>
        </w:tc>
        <w:tc>
          <w:tcPr>
            <w:tcW w:w="238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11:59 p.m. EDT on April 29,</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6"/>
              </w:rPr>
              <w:t>Voting</w:t>
            </w:r>
          </w:p>
        </w:tc>
        <w:tc>
          <w:tcPr>
            <w:tcW w:w="3260" w:type="dxa"/>
            <w:vAlign w:val="bottom"/>
            <w:shd w:val="clear" w:color="auto" w:fill="F2F2F2"/>
          </w:tcPr>
          <w:p>
            <w:pPr>
              <w:ind w:left="20"/>
              <w:spacing w:after="0"/>
              <w:rPr>
                <w:sz w:val="20"/>
                <w:szCs w:val="20"/>
                <w:color w:val="auto"/>
              </w:rPr>
            </w:pPr>
            <w:r>
              <w:rPr>
                <w:rFonts w:ascii="Arial" w:cs="Arial" w:eastAsia="Arial" w:hAnsi="Arial"/>
                <w:sz w:val="18"/>
                <w:szCs w:val="18"/>
                <w:color w:val="auto"/>
              </w:rPr>
              <w:t>you are voting at the meeting</w:t>
            </w:r>
          </w:p>
        </w:tc>
        <w:tc>
          <w:tcPr>
            <w:tcW w:w="2380" w:type="dxa"/>
            <w:vAlign w:val="bottom"/>
          </w:tcPr>
          <w:p>
            <w:pPr>
              <w:ind w:left="20"/>
              <w:spacing w:after="0"/>
              <w:rPr>
                <w:sz w:val="20"/>
                <w:szCs w:val="20"/>
                <w:color w:val="auto"/>
              </w:rPr>
            </w:pPr>
            <w:r>
              <w:rPr>
                <w:rFonts w:ascii="Arial" w:cs="Arial" w:eastAsia="Arial" w:hAnsi="Arial"/>
                <w:sz w:val="18"/>
                <w:szCs w:val="18"/>
                <w:color w:val="auto"/>
              </w:rPr>
              <w:t>information provided by your</w:t>
            </w:r>
          </w:p>
        </w:tc>
        <w:tc>
          <w:tcPr>
            <w:tcW w:w="2380" w:type="dxa"/>
            <w:vAlign w:val="bottom"/>
            <w:shd w:val="clear" w:color="auto" w:fill="F2F2F2"/>
          </w:tcPr>
          <w:p>
            <w:pPr>
              <w:spacing w:after="0"/>
              <w:rPr>
                <w:sz w:val="20"/>
                <w:szCs w:val="20"/>
                <w:color w:val="auto"/>
              </w:rPr>
            </w:pPr>
            <w:r>
              <w:rPr>
                <w:rFonts w:ascii="Arial" w:cs="Arial" w:eastAsia="Arial" w:hAnsi="Arial"/>
                <w:sz w:val="18"/>
                <w:szCs w:val="18"/>
                <w:color w:val="auto"/>
              </w:rPr>
              <w:t>2026</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8"/>
              </w:rPr>
              <w:t>Deadline</w:t>
            </w:r>
          </w:p>
        </w:tc>
        <w:tc>
          <w:tcPr>
            <w:tcW w:w="3260" w:type="dxa"/>
            <w:vAlign w:val="bottom"/>
            <w:shd w:val="clear" w:color="auto" w:fill="F2F2F2"/>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broker, bank or other</w:t>
            </w:r>
          </w:p>
        </w:tc>
        <w:tc>
          <w:tcPr>
            <w:tcW w:w="2380" w:type="dxa"/>
            <w:vAlign w:val="bottom"/>
            <w:shd w:val="clear" w:color="auto" w:fill="F2F2F2"/>
          </w:tcPr>
          <w:p>
            <w:pPr>
              <w:spacing w:after="0"/>
              <w:rPr>
                <w:sz w:val="18"/>
                <w:szCs w:val="18"/>
                <w:color w:val="auto"/>
              </w:rPr>
            </w:pPr>
          </w:p>
        </w:tc>
      </w:tr>
      <w:tr>
        <w:trPr>
          <w:trHeight w:val="239"/>
        </w:trPr>
        <w:tc>
          <w:tcPr>
            <w:tcW w:w="1060" w:type="dxa"/>
            <w:vAlign w:val="bottom"/>
          </w:tcPr>
          <w:p>
            <w:pPr>
              <w:spacing w:after="0"/>
              <w:rPr>
                <w:sz w:val="20"/>
                <w:szCs w:val="20"/>
                <w:color w:val="auto"/>
              </w:rPr>
            </w:pPr>
          </w:p>
        </w:tc>
        <w:tc>
          <w:tcPr>
            <w:tcW w:w="3260" w:type="dxa"/>
            <w:vAlign w:val="bottom"/>
            <w:shd w:val="clear" w:color="auto" w:fill="F2F2F2"/>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nominee</w:t>
            </w:r>
          </w:p>
        </w:tc>
        <w:tc>
          <w:tcPr>
            <w:tcW w:w="2380" w:type="dxa"/>
            <w:vAlign w:val="bottom"/>
            <w:shd w:val="clear" w:color="auto" w:fill="F2F2F2"/>
          </w:tcPr>
          <w:p>
            <w:pPr>
              <w:spacing w:after="0"/>
              <w:rPr>
                <w:sz w:val="20"/>
                <w:szCs w:val="20"/>
                <w:color w:val="auto"/>
              </w:rPr>
            </w:pPr>
          </w:p>
        </w:tc>
      </w:tr>
      <w:tr>
        <w:trPr>
          <w:trHeight w:val="23"/>
        </w:trPr>
        <w:tc>
          <w:tcPr>
            <w:tcW w:w="1060" w:type="dxa"/>
            <w:vAlign w:val="bottom"/>
          </w:tcPr>
          <w:p>
            <w:pPr>
              <w:spacing w:after="0"/>
              <w:rPr>
                <w:sz w:val="2"/>
                <w:szCs w:val="2"/>
                <w:color w:val="auto"/>
              </w:rPr>
            </w:pPr>
          </w:p>
        </w:tc>
        <w:tc>
          <w:tcPr>
            <w:tcW w:w="3260" w:type="dxa"/>
            <w:vAlign w:val="bottom"/>
            <w:shd w:val="clear" w:color="auto" w:fill="F2F2F2"/>
          </w:tcPr>
          <w:p>
            <w:pPr>
              <w:spacing w:after="0"/>
              <w:rPr>
                <w:sz w:val="2"/>
                <w:szCs w:val="2"/>
                <w:color w:val="auto"/>
              </w:rPr>
            </w:pPr>
          </w:p>
        </w:tc>
        <w:tc>
          <w:tcPr>
            <w:tcW w:w="2380" w:type="dxa"/>
            <w:vAlign w:val="bottom"/>
          </w:tcPr>
          <w:p>
            <w:pPr>
              <w:spacing w:after="0"/>
              <w:rPr>
                <w:sz w:val="2"/>
                <w:szCs w:val="2"/>
                <w:color w:val="auto"/>
              </w:rPr>
            </w:pPr>
          </w:p>
        </w:tc>
        <w:tc>
          <w:tcPr>
            <w:tcW w:w="2380" w:type="dxa"/>
            <w:vAlign w:val="bottom"/>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60720" cy="18859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5760720" cy="188595"/>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FFFFFF"/>
        </w:rPr>
        <w:t>We encourage you to vote by mail, by telephone, or online even if you plan to attend the Annual Meeting.</w:t>
      </w:r>
    </w:p>
    <w:p>
      <w:pPr>
        <w:spacing w:after="0" w:line="364" w:lineRule="exact"/>
        <w:rPr>
          <w:sz w:val="20"/>
          <w:szCs w:val="20"/>
          <w:color w:val="auto"/>
        </w:rPr>
      </w:pPr>
    </w:p>
    <w:p>
      <w:pPr>
        <w:ind w:right="220"/>
        <w:spacing w:after="0" w:line="292" w:lineRule="auto"/>
        <w:rPr>
          <w:sz w:val="20"/>
          <w:szCs w:val="20"/>
          <w:color w:val="auto"/>
        </w:rPr>
      </w:pPr>
      <w:r>
        <w:rPr>
          <w:rFonts w:ascii="Arial" w:cs="Arial" w:eastAsia="Arial" w:hAnsi="Arial"/>
          <w:sz w:val="22"/>
          <w:szCs w:val="22"/>
          <w:b w:val="1"/>
          <w:bCs w:val="1"/>
          <w:color w:val="auto"/>
        </w:rPr>
        <w:t>General</w:t>
      </w:r>
      <w:r>
        <w:rPr>
          <w:rFonts w:ascii="Arial" w:cs="Arial" w:eastAsia="Arial" w:hAnsi="Arial"/>
          <w:sz w:val="17"/>
          <w:szCs w:val="17"/>
          <w:b w:val="1"/>
          <w:bCs w:val="1"/>
          <w:color w:val="auto"/>
        </w:rPr>
        <w:t>:</w:t>
      </w:r>
      <w:r>
        <w:rPr>
          <w:rFonts w:ascii="Arial" w:cs="Arial" w:eastAsia="Arial" w:hAnsi="Arial"/>
          <w:sz w:val="22"/>
          <w:szCs w:val="22"/>
          <w:b w:val="1"/>
          <w:bCs w:val="1"/>
          <w:color w:val="auto"/>
        </w:rPr>
        <w:t xml:space="preserve"> </w:t>
      </w:r>
      <w:r>
        <w:rPr>
          <w:rFonts w:ascii="Arial" w:cs="Arial" w:eastAsia="Arial" w:hAnsi="Arial"/>
          <w:sz w:val="17"/>
          <w:szCs w:val="17"/>
          <w:color w:val="auto"/>
        </w:rPr>
        <w:t>Follow the instructions on your proxy card, voting instruction form or notice. If you received these materials electronically, follow</w:t>
      </w:r>
      <w:r>
        <w:rPr>
          <w:rFonts w:ascii="Arial" w:cs="Arial" w:eastAsia="Arial" w:hAnsi="Arial"/>
          <w:sz w:val="22"/>
          <w:szCs w:val="22"/>
          <w:b w:val="1"/>
          <w:bCs w:val="1"/>
          <w:color w:val="auto"/>
        </w:rPr>
        <w:t xml:space="preserve"> </w:t>
      </w:r>
      <w:r>
        <w:rPr>
          <w:rFonts w:ascii="Arial" w:cs="Arial" w:eastAsia="Arial" w:hAnsi="Arial"/>
          <w:sz w:val="17"/>
          <w:szCs w:val="17"/>
          <w:color w:val="auto"/>
        </w:rPr>
        <w:t>the instructions in the email message that notified you of their availability.</w:t>
      </w:r>
    </w:p>
    <w:p>
      <w:pPr>
        <w:spacing w:after="0" w:line="143" w:lineRule="exact"/>
        <w:rPr>
          <w:sz w:val="20"/>
          <w:szCs w:val="20"/>
          <w:color w:val="auto"/>
        </w:rPr>
      </w:pPr>
    </w:p>
    <w:p>
      <w:pPr>
        <w:ind w:right="20"/>
        <w:spacing w:after="0" w:line="267" w:lineRule="auto"/>
        <w:rPr>
          <w:sz w:val="20"/>
          <w:szCs w:val="20"/>
          <w:color w:val="auto"/>
        </w:rPr>
      </w:pPr>
      <w:r>
        <w:rPr>
          <w:rFonts w:ascii="Arial" w:cs="Arial" w:eastAsia="Arial" w:hAnsi="Arial"/>
          <w:sz w:val="22"/>
          <w:szCs w:val="22"/>
          <w:b w:val="1"/>
          <w:bCs w:val="1"/>
          <w:color w:val="auto"/>
        </w:rPr>
        <w:t xml:space="preserve">Signing your proxy card or voting instruction form: </w:t>
      </w:r>
      <w:r>
        <w:rPr>
          <w:rFonts w:ascii="Arial" w:cs="Arial" w:eastAsia="Arial" w:hAnsi="Arial"/>
          <w:sz w:val="17"/>
          <w:szCs w:val="17"/>
          <w:color w:val="auto"/>
        </w:rPr>
        <w:t>Sign your name exactly as it appears. If you are signing in a</w:t>
      </w:r>
      <w:r>
        <w:rPr>
          <w:rFonts w:ascii="Arial" w:cs="Arial" w:eastAsia="Arial" w:hAnsi="Arial"/>
          <w:sz w:val="22"/>
          <w:szCs w:val="22"/>
          <w:b w:val="1"/>
          <w:bCs w:val="1"/>
          <w:color w:val="auto"/>
        </w:rPr>
        <w:t xml:space="preserve"> </w:t>
      </w:r>
      <w:r>
        <w:rPr>
          <w:rFonts w:ascii="Arial" w:cs="Arial" w:eastAsia="Arial" w:hAnsi="Arial"/>
          <w:sz w:val="17"/>
          <w:szCs w:val="17"/>
          <w:color w:val="auto"/>
        </w:rPr>
        <w:t>representative capacity (e.g., as an attorney-in-fact, executor, administrator, guardian, trustee, or the officer or agent of a corporation or partnership), please indicate your name and your title or capacity. If the stock is held in custody for a minor (e.g., under the Uniform Transfers to Minors Act), the custodian should sign, not the minor. If the stock is held in joint ownership, one owner may sign on behalf of all. If you return your signed proxy but do not indicate your voting preferences, the proxy holder will vote on your behalf based upon the board’s recommendations.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Deadlines:</w:t>
      </w:r>
    </w:p>
    <w:p>
      <w:pPr>
        <w:spacing w:after="0" w:line="108" w:lineRule="exact"/>
        <w:rPr>
          <w:sz w:val="20"/>
          <w:szCs w:val="20"/>
          <w:color w:val="auto"/>
        </w:rPr>
      </w:pPr>
    </w:p>
    <w:p>
      <w:pPr>
        <w:ind w:left="500" w:hanging="330"/>
        <w:spacing w:after="0" w:line="262" w:lineRule="auto"/>
        <w:tabs>
          <w:tab w:leader="none" w:pos="489" w:val="left"/>
        </w:tabs>
        <w:numPr>
          <w:ilvl w:val="0"/>
          <w:numId w:val="197"/>
        </w:numPr>
        <w:rPr>
          <w:rFonts w:ascii="Arial" w:cs="Arial" w:eastAsia="Arial" w:hAnsi="Arial"/>
          <w:sz w:val="16"/>
          <w:szCs w:val="16"/>
          <w:color w:val="auto"/>
        </w:rPr>
      </w:pPr>
      <w:r>
        <w:rPr>
          <w:rFonts w:ascii="Arial" w:cs="Arial" w:eastAsia="Arial" w:hAnsi="Arial"/>
          <w:sz w:val="18"/>
          <w:szCs w:val="18"/>
          <w:color w:val="auto"/>
        </w:rPr>
        <w:t>Shareholders of record may vote their shares until 11:59 p.m. EDT on May 3, 2026, by mail, online, or by telephone. If you are voting by mail, your marked, signed, and dated proxy card must be received by May 3, 2026. You have the right to change your vote or revoke your proxy before it is voted at the Annual Meeting by (i) timely notifying the General Counsel and Secretary in writing, (ii) timely delivering a later-dated proxy by mail, (iii) timely casting a new vote online or by telephone, or (iv) voting at the Annual Meeting.</w:t>
      </w:r>
    </w:p>
    <w:p>
      <w:pPr>
        <w:spacing w:after="0" w:line="122" w:lineRule="exact"/>
        <w:rPr>
          <w:rFonts w:ascii="Arial" w:cs="Arial" w:eastAsia="Arial" w:hAnsi="Arial"/>
          <w:sz w:val="16"/>
          <w:szCs w:val="16"/>
          <w:color w:val="auto"/>
        </w:rPr>
      </w:pPr>
    </w:p>
    <w:p>
      <w:pPr>
        <w:ind w:left="500" w:right="60" w:hanging="330"/>
        <w:spacing w:after="0" w:line="287" w:lineRule="auto"/>
        <w:tabs>
          <w:tab w:leader="none" w:pos="489" w:val="left"/>
        </w:tabs>
        <w:numPr>
          <w:ilvl w:val="0"/>
          <w:numId w:val="197"/>
        </w:numPr>
        <w:rPr>
          <w:rFonts w:ascii="Arial" w:cs="Arial" w:eastAsia="Arial" w:hAnsi="Arial"/>
          <w:sz w:val="16"/>
          <w:szCs w:val="16"/>
          <w:color w:val="auto"/>
        </w:rPr>
      </w:pPr>
      <w:r>
        <w:rPr>
          <w:rFonts w:ascii="Arial" w:cs="Arial" w:eastAsia="Arial" w:hAnsi="Arial"/>
          <w:sz w:val="18"/>
          <w:szCs w:val="18"/>
          <w:color w:val="auto"/>
        </w:rPr>
        <w:t>Shareholders who hold their shares in the 401(k) Plan must vote by 11:59 p.m. EDT on April 29, 2026 (mailed ballots must be received by the trustee by this time), so the plan trustee can vote the shares accordingly.</w:t>
      </w:r>
    </w:p>
    <w:p>
      <w:pPr>
        <w:spacing w:after="0" w:line="98" w:lineRule="exact"/>
        <w:rPr>
          <w:rFonts w:ascii="Arial" w:cs="Arial" w:eastAsia="Arial" w:hAnsi="Arial"/>
          <w:sz w:val="16"/>
          <w:szCs w:val="16"/>
          <w:color w:val="auto"/>
        </w:rPr>
      </w:pPr>
    </w:p>
    <w:p>
      <w:pPr>
        <w:ind w:left="500" w:right="40" w:hanging="330"/>
        <w:spacing w:after="0" w:line="287" w:lineRule="auto"/>
        <w:tabs>
          <w:tab w:leader="none" w:pos="489" w:val="left"/>
        </w:tabs>
        <w:numPr>
          <w:ilvl w:val="0"/>
          <w:numId w:val="197"/>
        </w:numPr>
        <w:rPr>
          <w:rFonts w:ascii="Arial" w:cs="Arial" w:eastAsia="Arial" w:hAnsi="Arial"/>
          <w:sz w:val="16"/>
          <w:szCs w:val="16"/>
          <w:color w:val="auto"/>
        </w:rPr>
      </w:pPr>
      <w:r>
        <w:rPr>
          <w:rFonts w:ascii="Arial" w:cs="Arial" w:eastAsia="Arial" w:hAnsi="Arial"/>
          <w:sz w:val="18"/>
          <w:szCs w:val="18"/>
          <w:color w:val="auto"/>
        </w:rPr>
        <w:t>Shareholders whose shares are held by a broker should follow the instructions and deadlines on your proxy card, voter instruction form or notice. If you received these materials electronically, follow the instructions in</w:t>
      </w:r>
    </w:p>
    <w:p>
      <w:pPr>
        <w:sectPr>
          <w:pgSz w:w="11900" w:h="16838" w:orient="portrait"/>
          <w:cols w:equalWidth="0" w:num="1">
            <w:col w:w="11240"/>
          </w:cols>
          <w:pgMar w:left="320" w:top="925"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88" w:name="page89"/>
    <w:bookmarkEnd w:id="88"/>
    <w:p>
      <w:pPr>
        <w:ind w:left="500" w:right="420"/>
        <w:spacing w:after="0" w:line="287" w:lineRule="auto"/>
        <w:rPr>
          <w:sz w:val="20"/>
          <w:szCs w:val="20"/>
          <w:color w:val="auto"/>
        </w:rPr>
      </w:pPr>
      <w:r>
        <w:rPr>
          <w:rFonts w:ascii="Arial" w:cs="Arial" w:eastAsia="Arial" w:hAnsi="Arial"/>
          <w:sz w:val="18"/>
          <w:szCs w:val="18"/>
          <w:color w:val="auto"/>
        </w:rPr>
        <w:t>the email message that notified you of their availability. You may submit new voting instructions by contacting your broker or other nominee or by voting at the Annual Meeting.</w:t>
      </w:r>
    </w:p>
    <w:p>
      <w:pPr>
        <w:spacing w:after="0" w:line="157" w:lineRule="exact"/>
        <w:rPr>
          <w:sz w:val="20"/>
          <w:szCs w:val="20"/>
          <w:color w:val="auto"/>
        </w:rPr>
      </w:pPr>
    </w:p>
    <w:p>
      <w:pPr>
        <w:spacing w:after="0" w:line="266" w:lineRule="auto"/>
        <w:rPr>
          <w:sz w:val="20"/>
          <w:szCs w:val="20"/>
          <w:color w:val="auto"/>
        </w:rPr>
      </w:pPr>
      <w:r>
        <w:rPr>
          <w:rFonts w:ascii="Arial" w:cs="Arial" w:eastAsia="Arial" w:hAnsi="Arial"/>
          <w:sz w:val="22"/>
          <w:szCs w:val="22"/>
          <w:b w:val="1"/>
          <w:bCs w:val="1"/>
          <w:color w:val="auto"/>
        </w:rPr>
        <w:t xml:space="preserve">Broker Non-Votes: </w:t>
      </w:r>
      <w:r>
        <w:rPr>
          <w:rFonts w:ascii="Arial" w:cs="Arial" w:eastAsia="Arial" w:hAnsi="Arial"/>
          <w:sz w:val="17"/>
          <w:szCs w:val="17"/>
          <w:color w:val="auto"/>
        </w:rPr>
        <w:t>If your shares are held through a broker and you give the broker instructions, your shares will be voted as you direct.</w:t>
      </w:r>
      <w:r>
        <w:rPr>
          <w:rFonts w:ascii="Arial" w:cs="Arial" w:eastAsia="Arial" w:hAnsi="Arial"/>
          <w:sz w:val="22"/>
          <w:szCs w:val="22"/>
          <w:b w:val="1"/>
          <w:bCs w:val="1"/>
          <w:color w:val="auto"/>
        </w:rPr>
        <w:t xml:space="preserve"> </w:t>
      </w:r>
      <w:r>
        <w:rPr>
          <w:rFonts w:ascii="Arial" w:cs="Arial" w:eastAsia="Arial" w:hAnsi="Arial"/>
          <w:sz w:val="17"/>
          <w:szCs w:val="17"/>
          <w:color w:val="auto"/>
        </w:rPr>
        <w:t>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and will be able to use their discretionary voting authority under NYSE rules to vote your shares on the ratification of EY as the independent auditor for 2026. However, the broker will not be able to vote on those matters for which specific authorization is required under NYSE rules, such as to vote on the election of directors, the advisory approval of executive compensation, or the shareholder or management proposals without instructions from you, in which case a broker non-vote will occur, and your shares will not be voted on these matters.</w:t>
      </w:r>
    </w:p>
    <w:p>
      <w:pPr>
        <w:spacing w:after="0" w:line="200" w:lineRule="exact"/>
        <w:rPr>
          <w:sz w:val="20"/>
          <w:szCs w:val="20"/>
          <w:color w:val="auto"/>
        </w:rPr>
      </w:pPr>
    </w:p>
    <w:p>
      <w:pPr>
        <w:spacing w:after="0" w:line="204" w:lineRule="exact"/>
        <w:rPr>
          <w:sz w:val="20"/>
          <w:szCs w:val="20"/>
          <w:color w:val="auto"/>
        </w:rPr>
      </w:pPr>
    </w:p>
    <w:p>
      <w:pPr>
        <w:ind w:right="320"/>
        <w:spacing w:after="0" w:line="249" w:lineRule="auto"/>
        <w:rPr>
          <w:sz w:val="20"/>
          <w:szCs w:val="20"/>
          <w:color w:val="auto"/>
        </w:rPr>
      </w:pPr>
      <w:r>
        <w:rPr>
          <w:rFonts w:ascii="Arial" w:cs="Arial" w:eastAsia="Arial" w:hAnsi="Arial"/>
          <w:sz w:val="22"/>
          <w:szCs w:val="22"/>
          <w:b w:val="1"/>
          <w:bCs w:val="1"/>
          <w:color w:val="auto"/>
        </w:rPr>
        <w:t xml:space="preserve">Additional Voting Information for shares held in the company 401(k) Plan: </w:t>
      </w:r>
      <w:r>
        <w:rPr>
          <w:rFonts w:ascii="Arial" w:cs="Arial" w:eastAsia="Arial" w:hAnsi="Arial"/>
          <w:sz w:val="17"/>
          <w:szCs w:val="17"/>
          <w:color w:val="auto"/>
        </w:rPr>
        <w:t>If you hold shares in the company 401(k)</w:t>
      </w:r>
      <w:r>
        <w:rPr>
          <w:rFonts w:ascii="Arial" w:cs="Arial" w:eastAsia="Arial" w:hAnsi="Arial"/>
          <w:sz w:val="22"/>
          <w:szCs w:val="22"/>
          <w:b w:val="1"/>
          <w:bCs w:val="1"/>
          <w:color w:val="auto"/>
        </w:rPr>
        <w:t xml:space="preserve"> </w:t>
      </w:r>
      <w:r>
        <w:rPr>
          <w:rFonts w:ascii="Arial" w:cs="Arial" w:eastAsia="Arial" w:hAnsi="Arial"/>
          <w:sz w:val="17"/>
          <w:szCs w:val="17"/>
          <w:color w:val="auto"/>
        </w:rPr>
        <w:t>Plan,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spacing w:after="0" w:line="13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All participants are named fiduciaries under the terms of the 401(k) Plan and under the Employee Retirement Income Security Act (ERISA) for the limited purpose of voting shares credited to their accounts and the portion of undirected shares to which their vote applies.</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If you do not vote by the deadline, your shares will be voted in accordance with instructions received from other plan participants who have elected to have their voting preferences applied proportionally to all shares for which voting instructions are not otherwise received.</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Attending the Annual Meeting</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w:t>
      </w:r>
      <w:r>
        <w:rPr>
          <w:rFonts w:ascii="Arial" w:cs="Arial" w:eastAsia="Arial" w:hAnsi="Arial"/>
          <w:sz w:val="17"/>
          <w:szCs w:val="17"/>
          <w:color w:val="auto"/>
        </w:rPr>
        <w:t>: All shareholders as of close of business on February 25, 2026 are entitled to participate.</w:t>
      </w:r>
    </w:p>
    <w:p>
      <w:pPr>
        <w:spacing w:after="0" w:line="220" w:lineRule="exact"/>
        <w:rPr>
          <w:sz w:val="20"/>
          <w:szCs w:val="20"/>
          <w:color w:val="auto"/>
        </w:rPr>
      </w:pPr>
    </w:p>
    <w:p>
      <w:pPr>
        <w:ind w:right="20"/>
        <w:spacing w:after="0" w:line="292" w:lineRule="auto"/>
        <w:rPr>
          <w:sz w:val="20"/>
          <w:szCs w:val="20"/>
          <w:color w:val="auto"/>
        </w:rPr>
      </w:pPr>
      <w:r>
        <w:rPr>
          <w:rFonts w:ascii="Arial" w:cs="Arial" w:eastAsia="Arial" w:hAnsi="Arial"/>
          <w:sz w:val="22"/>
          <w:szCs w:val="22"/>
          <w:b w:val="1"/>
          <w:bCs w:val="1"/>
          <w:color w:val="auto"/>
        </w:rPr>
        <w:t>When</w:t>
      </w:r>
      <w:r>
        <w:rPr>
          <w:rFonts w:ascii="Arial" w:cs="Arial" w:eastAsia="Arial" w:hAnsi="Arial"/>
          <w:sz w:val="17"/>
          <w:szCs w:val="17"/>
          <w:color w:val="auto"/>
        </w:rPr>
        <w:t>: Monday, May 4, 2026, starting at 9:30 a.m. EDT and ending at or before 10:00 a.m. EDT. Following the formal meeting, there will be</w:t>
      </w:r>
      <w:r>
        <w:rPr>
          <w:rFonts w:ascii="Arial" w:cs="Arial" w:eastAsia="Arial" w:hAnsi="Arial"/>
          <w:sz w:val="22"/>
          <w:szCs w:val="22"/>
          <w:b w:val="1"/>
          <w:bCs w:val="1"/>
          <w:color w:val="auto"/>
        </w:rPr>
        <w:t xml:space="preserve"> </w:t>
      </w:r>
      <w:r>
        <w:rPr>
          <w:rFonts w:ascii="Arial" w:cs="Arial" w:eastAsia="Arial" w:hAnsi="Arial"/>
          <w:sz w:val="17"/>
          <w:szCs w:val="17"/>
          <w:color w:val="auto"/>
        </w:rPr>
        <w:t>an opportunity for shareholder questions.</w:t>
      </w:r>
    </w:p>
    <w:p>
      <w:pPr>
        <w:spacing w:after="0" w:line="143"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Where</w:t>
      </w:r>
      <w:r>
        <w:rPr>
          <w:rFonts w:ascii="Arial" w:cs="Arial" w:eastAsia="Arial" w:hAnsi="Arial"/>
          <w:sz w:val="17"/>
          <w:szCs w:val="17"/>
          <w:color w:val="auto"/>
        </w:rPr>
        <w:t>: The live webcast of the Annual Meeting can be accessed by shareholders on the day of the meeting at</w:t>
      </w:r>
      <w:r>
        <w:rPr>
          <w:rFonts w:ascii="Arial" w:cs="Arial" w:eastAsia="Arial" w:hAnsi="Arial"/>
          <w:sz w:val="22"/>
          <w:szCs w:val="22"/>
          <w:b w:val="1"/>
          <w:bCs w:val="1"/>
          <w:color w:val="auto"/>
        </w:rPr>
        <w:t xml:space="preserve"> </w:t>
      </w:r>
      <w:r>
        <w:rPr>
          <w:rFonts w:ascii="Arial" w:cs="Arial" w:eastAsia="Arial" w:hAnsi="Arial"/>
          <w:sz w:val="17"/>
          <w:szCs w:val="17"/>
          <w:color w:val="D52B1E"/>
        </w:rPr>
        <w:t xml:space="preserve">virtualshareholdermeeting.com/LLY2026 </w:t>
      </w:r>
      <w:r>
        <w:rPr>
          <w:rFonts w:ascii="Arial" w:cs="Arial" w:eastAsia="Arial" w:hAnsi="Arial"/>
          <w:sz w:val="17"/>
          <w:szCs w:val="17"/>
          <w:color w:val="000000"/>
        </w:rPr>
        <w:t>using the 16-digit control number found on the proxy card, voting instruction form, or notice you</w:t>
      </w:r>
      <w:r>
        <w:rPr>
          <w:rFonts w:ascii="Arial" w:cs="Arial" w:eastAsia="Arial" w:hAnsi="Arial"/>
          <w:sz w:val="17"/>
          <w:szCs w:val="17"/>
          <w:color w:val="D52B1E"/>
        </w:rPr>
        <w:t xml:space="preserve"> </w:t>
      </w:r>
      <w:r>
        <w:rPr>
          <w:rFonts w:ascii="Arial" w:cs="Arial" w:eastAsia="Arial" w:hAnsi="Arial"/>
          <w:sz w:val="17"/>
          <w:szCs w:val="17"/>
          <w:color w:val="000000"/>
        </w:rPr>
        <w:t>previously received. Online access to the webcast will open 15 minutes prior to the start of the Annual Meeting. We encourage you to access the meeting in advance of the designated start time.</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22"/>
          <w:szCs w:val="22"/>
          <w:b w:val="1"/>
          <w:bCs w:val="1"/>
          <w:color w:val="auto"/>
        </w:rPr>
        <w:t>Asking Questions</w:t>
      </w:r>
      <w:r>
        <w:rPr>
          <w:rFonts w:ascii="Arial" w:cs="Arial" w:eastAsia="Arial" w:hAnsi="Arial"/>
          <w:sz w:val="17"/>
          <w:szCs w:val="17"/>
          <w:color w:val="auto"/>
        </w:rPr>
        <w:t>: Shareholders are encouraged to submit questions in advance of the Annual Meeting by visiting</w:t>
      </w:r>
      <w:r>
        <w:rPr>
          <w:rFonts w:ascii="Arial" w:cs="Arial" w:eastAsia="Arial" w:hAnsi="Arial"/>
          <w:sz w:val="22"/>
          <w:szCs w:val="22"/>
          <w:b w:val="1"/>
          <w:bCs w:val="1"/>
          <w:color w:val="auto"/>
        </w:rPr>
        <w:t xml:space="preserve"> </w:t>
      </w:r>
      <w:r>
        <w:rPr>
          <w:rFonts w:ascii="Arial" w:cs="Arial" w:eastAsia="Arial" w:hAnsi="Arial"/>
          <w:sz w:val="17"/>
          <w:szCs w:val="17"/>
          <w:color w:val="D52B1E"/>
        </w:rPr>
        <w:t>ProxyVote.com</w:t>
      </w:r>
      <w:r>
        <w:rPr>
          <w:rFonts w:ascii="Arial" w:cs="Arial" w:eastAsia="Arial" w:hAnsi="Arial"/>
          <w:sz w:val="22"/>
          <w:szCs w:val="22"/>
          <w:b w:val="1"/>
          <w:bCs w:val="1"/>
          <w:color w:val="auto"/>
        </w:rPr>
        <w:t xml:space="preserve"> </w:t>
      </w:r>
      <w:r>
        <w:rPr>
          <w:rFonts w:ascii="Arial" w:cs="Arial" w:eastAsia="Arial" w:hAnsi="Arial"/>
          <w:sz w:val="17"/>
          <w:szCs w:val="17"/>
          <w:color w:val="auto"/>
        </w:rPr>
        <w:t>and</w:t>
      </w:r>
      <w:r>
        <w:rPr>
          <w:rFonts w:ascii="Arial" w:cs="Arial" w:eastAsia="Arial" w:hAnsi="Arial"/>
          <w:sz w:val="22"/>
          <w:szCs w:val="22"/>
          <w:b w:val="1"/>
          <w:bCs w:val="1"/>
          <w:color w:val="auto"/>
        </w:rPr>
        <w:t xml:space="preserve"> </w:t>
      </w:r>
      <w:r>
        <w:rPr>
          <w:rFonts w:ascii="Arial" w:cs="Arial" w:eastAsia="Arial" w:hAnsi="Arial"/>
          <w:sz w:val="17"/>
          <w:szCs w:val="17"/>
          <w:color w:val="auto"/>
        </w:rPr>
        <w:t xml:space="preserve">entering your 16-digit control number. During the meeting, if you wish to submit a question, log into the virtual meeting website at </w:t>
      </w:r>
      <w:r>
        <w:rPr>
          <w:rFonts w:ascii="Arial" w:cs="Arial" w:eastAsia="Arial" w:hAnsi="Arial"/>
          <w:sz w:val="17"/>
          <w:szCs w:val="17"/>
          <w:color w:val="D52B1E"/>
        </w:rPr>
        <w:t xml:space="preserve">virtualshareholdermeeting.com/LLY2026 </w:t>
      </w:r>
      <w:r>
        <w:rPr>
          <w:rFonts w:ascii="Arial" w:cs="Arial" w:eastAsia="Arial" w:hAnsi="Arial"/>
          <w:sz w:val="17"/>
          <w:szCs w:val="17"/>
          <w:color w:val="000000"/>
        </w:rPr>
        <w:t>using your 16-digit control number, click on “Q&amp;A,” type your question into the “Submit a Question”</w:t>
      </w:r>
      <w:r>
        <w:rPr>
          <w:rFonts w:ascii="Arial" w:cs="Arial" w:eastAsia="Arial" w:hAnsi="Arial"/>
          <w:sz w:val="17"/>
          <w:szCs w:val="17"/>
          <w:color w:val="D52B1E"/>
        </w:rPr>
        <w:t xml:space="preserve"> </w:t>
      </w:r>
      <w:r>
        <w:rPr>
          <w:rFonts w:ascii="Arial" w:cs="Arial" w:eastAsia="Arial" w:hAnsi="Arial"/>
          <w:sz w:val="17"/>
          <w:szCs w:val="17"/>
          <w:color w:val="000000"/>
        </w:rPr>
        <w:t>field, and click “Submit.” In order to provide an opportunity to as many shareholders as possible who wish to ask a question, each shareholder may be limited to one question. We reserve the right to edit profanity or other inappropriate language, to simplify language and to exclude questions regarding topics that are not pertinent to meeting matters or company business. If we receive substantially similar questions, we may group such questions together and provide a single response to avoid repetition. As appropriate, responses to questions relevant to meeting matters that we do</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9" w:name="page90"/>
    <w:bookmarkEnd w:id="89"/>
    <w:p>
      <w:pPr>
        <w:ind w:right="160"/>
        <w:spacing w:after="0" w:line="287" w:lineRule="auto"/>
        <w:rPr>
          <w:sz w:val="20"/>
          <w:szCs w:val="20"/>
          <w:color w:val="auto"/>
        </w:rPr>
      </w:pPr>
      <w:r>
        <w:rPr>
          <w:rFonts w:ascii="Arial" w:cs="Arial" w:eastAsia="Arial" w:hAnsi="Arial"/>
          <w:sz w:val="18"/>
          <w:szCs w:val="18"/>
          <w:color w:val="auto"/>
        </w:rPr>
        <w:t>not have time to respond to by the 10:00 a.m. EDT end time will be posted to our website following the meeting. Questions regarding topics that are not pertinent to meeting matters or company business will not be answered.</w:t>
      </w:r>
    </w:p>
    <w:p>
      <w:pPr>
        <w:spacing w:after="0" w:line="157" w:lineRule="exact"/>
        <w:rPr>
          <w:sz w:val="20"/>
          <w:szCs w:val="20"/>
          <w:color w:val="auto"/>
        </w:rPr>
      </w:pPr>
    </w:p>
    <w:p>
      <w:pPr>
        <w:ind w:right="180"/>
        <w:spacing w:after="0" w:line="309" w:lineRule="auto"/>
        <w:rPr>
          <w:sz w:val="20"/>
          <w:szCs w:val="20"/>
          <w:color w:val="auto"/>
        </w:rPr>
      </w:pPr>
      <w:r>
        <w:rPr>
          <w:rFonts w:ascii="Arial" w:cs="Arial" w:eastAsia="Arial" w:hAnsi="Arial"/>
          <w:sz w:val="22"/>
          <w:szCs w:val="22"/>
          <w:b w:val="1"/>
          <w:bCs w:val="1"/>
          <w:color w:val="auto"/>
        </w:rPr>
        <w:t>Technical Assistance</w:t>
      </w:r>
      <w:r>
        <w:rPr>
          <w:rFonts w:ascii="Arial" w:cs="Arial" w:eastAsia="Arial" w:hAnsi="Arial"/>
          <w:sz w:val="18"/>
          <w:szCs w:val="18"/>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17"/>
          <w:szCs w:val="17"/>
          <w:color w:val="auto"/>
        </w:rPr>
        <w:t>Support staff will be available on the meeting day should you experience any technical difficulties in accessing</w:t>
      </w:r>
      <w:r>
        <w:rPr>
          <w:rFonts w:ascii="Arial" w:cs="Arial" w:eastAsia="Arial" w:hAnsi="Arial"/>
          <w:sz w:val="22"/>
          <w:szCs w:val="22"/>
          <w:b w:val="1"/>
          <w:bCs w:val="1"/>
          <w:color w:val="auto"/>
        </w:rPr>
        <w:t xml:space="preserve"> </w:t>
      </w:r>
      <w:r>
        <w:rPr>
          <w:rFonts w:ascii="Arial" w:cs="Arial" w:eastAsia="Arial" w:hAnsi="Arial"/>
          <w:sz w:val="17"/>
          <w:szCs w:val="17"/>
          <w:color w:val="auto"/>
        </w:rPr>
        <w:t xml:space="preserve">the virtual meeting. Instructions for requesting technical assistance will be available at </w:t>
      </w:r>
      <w:r>
        <w:rPr>
          <w:rFonts w:ascii="Arial" w:cs="Arial" w:eastAsia="Arial" w:hAnsi="Arial"/>
          <w:sz w:val="17"/>
          <w:szCs w:val="17"/>
          <w:color w:val="D52B1E"/>
        </w:rPr>
        <w:t>virtualshareholdermeeting.com/LLY2026.</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D52B1E"/>
        </w:rPr>
        <w:t>Other Matters</w:t>
      </w:r>
    </w:p>
    <w:p>
      <w:pPr>
        <w:spacing w:after="0" w:line="19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Notice and Access</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distribute proxy materials to many shareholders via the internet under the SEC’s “Notice and Access” rules to reduce production and mailing costs and to help preserve environmental resources. Using this method of distribution, on or about March 20, 2026,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 w:cs="Arial" w:eastAsia="Arial" w:hAnsi="Arial"/>
          <w:sz w:val="18"/>
          <w:szCs w:val="18"/>
          <w:color w:val="D52B1E"/>
        </w:rPr>
        <w:t>ProxyVote.com</w:t>
      </w:r>
      <w:r>
        <w:rPr>
          <w:rFonts w:ascii="Arial" w:cs="Arial" w:eastAsia="Arial" w:hAnsi="Arial"/>
          <w:sz w:val="18"/>
          <w:szCs w:val="18"/>
          <w:color w:val="auto"/>
        </w:rPr>
        <w:t>) has instructions for voting by phone.</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Householding</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Other Information Regarding the Company’s Proxy Solicitation</w:t>
      </w:r>
    </w:p>
    <w:p>
      <w:pPr>
        <w:spacing w:after="0" w:line="6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board is soliciting proxies for the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approximately $17,500 plus reimbursement of customary out-of-pocket expenses.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Corporate Governance Materials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company’s main corporate website address is </w:t>
      </w:r>
      <w:r>
        <w:rPr>
          <w:rFonts w:ascii="Arial" w:cs="Arial" w:eastAsia="Arial" w:hAnsi="Arial"/>
          <w:sz w:val="18"/>
          <w:szCs w:val="18"/>
          <w:color w:val="D52B1E"/>
        </w:rPr>
        <w:t>lilly.com</w:t>
      </w:r>
      <w:r>
        <w:rPr>
          <w:rFonts w:ascii="Arial" w:cs="Arial" w:eastAsia="Arial" w:hAnsi="Arial"/>
          <w:sz w:val="18"/>
          <w:szCs w:val="18"/>
          <w:color w:val="auto"/>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 w:cs="Arial" w:eastAsia="Arial" w:hAnsi="Arial"/>
          <w:sz w:val="18"/>
          <w:szCs w:val="18"/>
          <w:color w:val="D52B1E"/>
        </w:rPr>
        <w:t>investor.lilly.com/financial-information/sec-filings</w:t>
      </w:r>
      <w:r>
        <w:rPr>
          <w:rFonts w:ascii="Arial" w:cs="Arial" w:eastAsia="Arial" w:hAnsi="Arial"/>
          <w:sz w:val="18"/>
          <w:szCs w:val="18"/>
          <w:color w:val="000000"/>
        </w:rPr>
        <w:t>. This proxy statement and the annual report to shareholders are also available at</w:t>
      </w:r>
      <w:r>
        <w:rPr>
          <w:rFonts w:ascii="Arial" w:cs="Arial" w:eastAsia="Arial" w:hAnsi="Arial"/>
          <w:sz w:val="18"/>
          <w:szCs w:val="18"/>
          <w:color w:val="D52B1E"/>
        </w:rPr>
        <w:t xml:space="preserve"> ProxyVote.com </w:t>
      </w:r>
      <w:r>
        <w:rPr>
          <w:rFonts w:ascii="Arial" w:cs="Arial" w:eastAsia="Arial" w:hAnsi="Arial"/>
          <w:sz w:val="18"/>
          <w:szCs w:val="18"/>
          <w:color w:val="000000"/>
        </w:rPr>
        <w:t>as well as on our website at</w:t>
      </w:r>
      <w:r>
        <w:rPr>
          <w:rFonts w:ascii="Arial" w:cs="Arial" w:eastAsia="Arial" w:hAnsi="Arial"/>
          <w:sz w:val="18"/>
          <w:szCs w:val="18"/>
          <w:color w:val="D52B1E"/>
        </w:rPr>
        <w:t xml:space="preserve"> lilly.com/about/annual-reports</w:t>
      </w:r>
      <w:r>
        <w:rPr>
          <w:rFonts w:ascii="Arial" w:cs="Arial" w:eastAsia="Arial" w:hAnsi="Arial"/>
          <w:sz w:val="18"/>
          <w:szCs w:val="18"/>
          <w:color w:val="000000"/>
        </w:rPr>
        <w:t>, and the articles of incorporation, bylaws, and all committee</w:t>
      </w:r>
      <w:r>
        <w:rPr>
          <w:rFonts w:ascii="Arial" w:cs="Arial" w:eastAsia="Arial" w:hAnsi="Arial"/>
          <w:sz w:val="18"/>
          <w:szCs w:val="18"/>
          <w:color w:val="D52B1E"/>
        </w:rPr>
        <w:t xml:space="preserve"> </w:t>
      </w:r>
      <w:r>
        <w:rPr>
          <w:rFonts w:ascii="Arial" w:cs="Arial" w:eastAsia="Arial" w:hAnsi="Arial"/>
          <w:sz w:val="18"/>
          <w:szCs w:val="18"/>
          <w:color w:val="000000"/>
        </w:rPr>
        <w:t xml:space="preserve">charters are available online at </w:t>
      </w:r>
      <w:r>
        <w:rPr>
          <w:rFonts w:ascii="Arial" w:cs="Arial" w:eastAsia="Arial" w:hAnsi="Arial"/>
          <w:sz w:val="18"/>
          <w:szCs w:val="18"/>
          <w:color w:val="D52B1E"/>
        </w:rPr>
        <w:t>lilly.com/about/leadership/governance</w:t>
      </w:r>
      <w:r>
        <w:rPr>
          <w:rFonts w:ascii="Arial" w:cs="Arial" w:eastAsia="Arial" w:hAnsi="Arial"/>
          <w:sz w:val="18"/>
          <w:szCs w:val="18"/>
          <w:color w:val="000000"/>
        </w:rPr>
        <w:t>. Certain documents and information referenced in this proxy statement are available on our website. However, except as otherwise expressly provided in this proxy statement, we are not including the information contained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57720" cy="4254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0" w:name="page91"/>
    <w:bookmarkEnd w:id="90"/>
    <w:p>
      <w:pPr>
        <w:spacing w:after="0" w:line="287" w:lineRule="auto"/>
        <w:rPr>
          <w:sz w:val="20"/>
          <w:szCs w:val="20"/>
          <w:color w:val="auto"/>
        </w:rPr>
      </w:pPr>
      <w:r>
        <w:rPr>
          <w:rFonts w:ascii="Arial" w:cs="Arial" w:eastAsia="Arial" w:hAnsi="Arial"/>
          <w:sz w:val="18"/>
          <w:szCs w:val="18"/>
          <w:color w:val="auto"/>
        </w:rPr>
        <w:t>website, or any information that may be accessed by links on our website, as part of, or incorporating it by reference into, this 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Anat Hakim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 2026</w:t>
      </w:r>
    </w:p>
    <w:p>
      <w:pPr>
        <w:sectPr>
          <w:pgSz w:w="11900" w:h="16838" w:orient="portrait"/>
          <w:cols w:equalWidth="0" w:num="1">
            <w:col w:w="10420"/>
          </w:cols>
          <w:pgMar w:left="320" w:top="769"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D52B1E"/>
        </w:rPr>
        <w:t>Electronic Delivery of Proxy Materials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A1DE"/>
        </w:rPr>
        <w:t>Help Us Help the Environment</w:t>
      </w:r>
    </w:p>
    <w:p>
      <w:pPr>
        <w:spacing w:after="0" w:line="171" w:lineRule="exact"/>
        <w:rPr>
          <w:sz w:val="20"/>
          <w:szCs w:val="20"/>
          <w:color w:val="auto"/>
        </w:rPr>
      </w:pPr>
    </w:p>
    <w:p>
      <w:pPr>
        <w:ind w:left="440" w:right="120"/>
        <w:spacing w:after="0" w:line="262" w:lineRule="auto"/>
        <w:rPr>
          <w:sz w:val="20"/>
          <w:szCs w:val="20"/>
          <w:color w:val="auto"/>
        </w:rPr>
      </w:pPr>
      <w:r>
        <w:rPr>
          <w:rFonts w:ascii="Arial" w:cs="Arial" w:eastAsia="Arial" w:hAnsi="Arial"/>
          <w:sz w:val="18"/>
          <w:szCs w:val="18"/>
          <w:color w:val="auto"/>
        </w:rPr>
        <w:t>We encourage shareholders to voluntarily elect to receive future proxy materials and annual reports electronically to help contribute to our sustainability efforts.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benefits include:</w:t>
      </w:r>
    </w:p>
    <w:p>
      <w:pPr>
        <w:spacing w:after="0" w:line="171" w:lineRule="exact"/>
        <w:rPr>
          <w:sz w:val="20"/>
          <w:szCs w:val="20"/>
          <w:color w:val="auto"/>
        </w:rPr>
      </w:pPr>
    </w:p>
    <w:p>
      <w:pPr>
        <w:ind w:left="1000" w:right="100" w:hanging="326"/>
        <w:spacing w:after="0" w:line="318" w:lineRule="auto"/>
        <w:tabs>
          <w:tab w:leader="none" w:pos="989" w:val="left"/>
        </w:tabs>
        <w:numPr>
          <w:ilvl w:val="0"/>
          <w:numId w:val="198"/>
        </w:numPr>
        <w:rPr>
          <w:rFonts w:ascii="Arial" w:cs="Arial" w:eastAsia="Arial" w:hAnsi="Arial"/>
          <w:sz w:val="15"/>
          <w:szCs w:val="15"/>
          <w:color w:val="auto"/>
        </w:rPr>
      </w:pPr>
      <w:r>
        <w:rPr>
          <w:rFonts w:ascii="Arial" w:cs="Arial" w:eastAsia="Arial" w:hAnsi="Arial"/>
          <w:sz w:val="17"/>
          <w:szCs w:val="17"/>
          <w:color w:val="auto"/>
        </w:rPr>
        <w:t>you receive immediate and convenient access to the materials,</w:t>
      </w:r>
    </w:p>
    <w:p>
      <w:pPr>
        <w:spacing w:after="0" w:line="75" w:lineRule="exact"/>
        <w:rPr>
          <w:rFonts w:ascii="Arial" w:cs="Arial" w:eastAsia="Arial" w:hAnsi="Arial"/>
          <w:sz w:val="15"/>
          <w:szCs w:val="15"/>
          <w:color w:val="auto"/>
        </w:rPr>
      </w:pPr>
    </w:p>
    <w:p>
      <w:pPr>
        <w:ind w:left="1000" w:right="160" w:hanging="326"/>
        <w:spacing w:after="0" w:line="287" w:lineRule="auto"/>
        <w:tabs>
          <w:tab w:leader="none" w:pos="989" w:val="left"/>
        </w:tabs>
        <w:numPr>
          <w:ilvl w:val="0"/>
          <w:numId w:val="198"/>
        </w:numPr>
        <w:rPr>
          <w:rFonts w:ascii="Arial" w:cs="Arial" w:eastAsia="Arial" w:hAnsi="Arial"/>
          <w:sz w:val="16"/>
          <w:szCs w:val="16"/>
          <w:color w:val="auto"/>
        </w:rPr>
      </w:pPr>
      <w:r>
        <w:rPr>
          <w:rFonts w:ascii="Arial" w:cs="Arial" w:eastAsia="Arial" w:hAnsi="Arial"/>
          <w:sz w:val="18"/>
          <w:szCs w:val="18"/>
          <w:color w:val="auto"/>
        </w:rPr>
        <w:t>you can help reduce our impact on the environment, and</w:t>
      </w:r>
    </w:p>
    <w:p>
      <w:pPr>
        <w:spacing w:after="0" w:line="98" w:lineRule="exact"/>
        <w:rPr>
          <w:rFonts w:ascii="Arial" w:cs="Arial" w:eastAsia="Arial" w:hAnsi="Arial"/>
          <w:sz w:val="16"/>
          <w:szCs w:val="16"/>
          <w:color w:val="auto"/>
        </w:rPr>
      </w:pPr>
    </w:p>
    <w:p>
      <w:pPr>
        <w:ind w:left="1000" w:hanging="326"/>
        <w:spacing w:after="0" w:line="287" w:lineRule="auto"/>
        <w:tabs>
          <w:tab w:leader="none" w:pos="989" w:val="left"/>
        </w:tabs>
        <w:numPr>
          <w:ilvl w:val="0"/>
          <w:numId w:val="198"/>
        </w:numPr>
        <w:rPr>
          <w:rFonts w:ascii="Arial" w:cs="Arial" w:eastAsia="Arial" w:hAnsi="Arial"/>
          <w:sz w:val="16"/>
          <w:szCs w:val="16"/>
          <w:color w:val="auto"/>
        </w:rPr>
      </w:pPr>
      <w:r>
        <w:rPr>
          <w:rFonts w:ascii="Arial" w:cs="Arial" w:eastAsia="Arial" w:hAnsi="Arial"/>
          <w:sz w:val="18"/>
          <w:szCs w:val="18"/>
          <w:color w:val="auto"/>
        </w:rPr>
        <w:t>you can help reduce our printing and mailing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How to Enroll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-333375</wp:posOffset>
            </wp:positionV>
            <wp:extent cx="5631815" cy="276860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5631815" cy="27686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Internet www.proxyvote.com under the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“Delivery Settings” tab</w:t>
      </w:r>
    </w:p>
    <w:p>
      <w:pPr>
        <w:spacing w:after="0" w:line="59" w:lineRule="exact"/>
        <w:rPr>
          <w:sz w:val="20"/>
          <w:szCs w:val="20"/>
          <w:color w:val="auto"/>
        </w:rPr>
      </w:pPr>
    </w:p>
    <w:p>
      <w:pPr>
        <w:ind w:left="1260" w:right="2160" w:hanging="939"/>
        <w:spacing w:after="0" w:line="287" w:lineRule="auto"/>
        <w:tabs>
          <w:tab w:leader="none" w:pos="1240" w:val="left"/>
        </w:tabs>
        <w:rPr>
          <w:sz w:val="20"/>
          <w:szCs w:val="20"/>
          <w:color w:val="auto"/>
        </w:rPr>
      </w:pPr>
      <w:r>
        <w:rPr>
          <w:rFonts w:ascii="Arial" w:cs="Arial" w:eastAsia="Arial" w:hAnsi="Arial"/>
          <w:sz w:val="18"/>
          <w:szCs w:val="18"/>
          <w:color w:val="auto"/>
        </w:rPr>
        <w:t>Telephone</w:t>
        <w:tab/>
        <w:t>1-800-690-6903 and follow the instructions provided</w:t>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Email Send a blank email with your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control number in the subject line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sendmaterial@proxyvote.com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Broker</w:t>
      </w:r>
    </w:p>
    <w:p>
      <w:pPr>
        <w:spacing w:after="0" w:line="239" w:lineRule="exact"/>
        <w:rPr>
          <w:sz w:val="20"/>
          <w:szCs w:val="20"/>
          <w:color w:val="auto"/>
        </w:rPr>
      </w:pPr>
    </w:p>
    <w:p>
      <w:pPr>
        <w:ind w:left="1340" w:right="1780" w:hanging="819"/>
        <w:spacing w:after="0" w:line="287" w:lineRule="auto"/>
        <w:tabs>
          <w:tab w:leader="none" w:pos="1320" w:val="left"/>
        </w:tabs>
        <w:rPr>
          <w:sz w:val="20"/>
          <w:szCs w:val="20"/>
          <w:color w:val="auto"/>
        </w:rPr>
      </w:pPr>
      <w:r>
        <w:rPr>
          <w:rFonts w:ascii="Arial" w:cs="Arial" w:eastAsia="Arial" w:hAnsi="Arial"/>
          <w:sz w:val="18"/>
          <w:szCs w:val="18"/>
          <w:color w:val="auto"/>
        </w:rPr>
        <w:t>Contact</w:t>
        <w:tab/>
        <w:t>Contact your bank, broker or other nominee</w:t>
      </w:r>
    </w:p>
    <w:p>
      <w:pPr>
        <w:spacing w:after="0" w:line="200" w:lineRule="exact"/>
        <w:rPr>
          <w:sz w:val="20"/>
          <w:szCs w:val="20"/>
          <w:color w:val="auto"/>
        </w:rPr>
      </w:pPr>
    </w:p>
    <w:p>
      <w:pPr>
        <w:sectPr>
          <w:pgSz w:w="11900" w:h="16838" w:orient="portrait"/>
          <w:cols w:equalWidth="0" w:num="2">
            <w:col w:w="3900" w:space="660"/>
            <w:col w:w="5860"/>
          </w:cols>
          <w:pgMar w:left="320" w:top="769" w:right="11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769" w:right="1159" w:bottom="1440" w:gutter="0" w:footer="0" w:header="0"/>
          <w:type w:val="continuous"/>
        </w:sectPr>
      </w:pPr>
    </w:p>
    <w:bookmarkStart w:id="91" w:name="page92"/>
    <w:bookmarkEnd w:id="91"/>
    <w:p>
      <w:pPr>
        <w:ind w:right="920"/>
        <w:spacing w:after="0" w:line="276" w:lineRule="auto"/>
        <w:rPr>
          <w:sz w:val="20"/>
          <w:szCs w:val="20"/>
          <w:color w:val="auto"/>
        </w:rPr>
      </w:pPr>
      <w:r>
        <w:rPr>
          <w:rFonts w:ascii="Arial" w:cs="Arial" w:eastAsia="Arial" w:hAnsi="Arial"/>
          <w:sz w:val="32"/>
          <w:szCs w:val="32"/>
          <w:b w:val="1"/>
          <w:bCs w:val="1"/>
          <w:color w:val="D52B1E"/>
        </w:rPr>
        <w:t>Appendix A - Summary of Adjustments Related to the Annual Cash Bonus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Consistent with past practice, the Talent and Compensation Committee adjusted the reported financial results on which the 2025 annual cash bonus was determined to eliminate the distorting effect of certain unusual items on incentive compensation performance measures. The adjustments were intended to:</w:t>
      </w:r>
    </w:p>
    <w:p>
      <w:pPr>
        <w:spacing w:after="0" w:line="117" w:lineRule="exact"/>
        <w:rPr>
          <w:sz w:val="20"/>
          <w:szCs w:val="20"/>
          <w:color w:val="auto"/>
        </w:rPr>
      </w:pPr>
    </w:p>
    <w:p>
      <w:pPr>
        <w:ind w:left="640" w:hanging="308"/>
        <w:spacing w:after="0"/>
        <w:tabs>
          <w:tab w:leader="none" w:pos="640" w:val="left"/>
        </w:tabs>
        <w:numPr>
          <w:ilvl w:val="0"/>
          <w:numId w:val="199"/>
        </w:numPr>
        <w:rPr>
          <w:rFonts w:ascii="Arial" w:cs="Arial" w:eastAsia="Arial" w:hAnsi="Arial"/>
          <w:sz w:val="16"/>
          <w:szCs w:val="16"/>
          <w:color w:val="auto"/>
        </w:rPr>
      </w:pPr>
      <w:r>
        <w:rPr>
          <w:rFonts w:ascii="Arial" w:cs="Arial" w:eastAsia="Arial" w:hAnsi="Arial"/>
          <w:sz w:val="18"/>
          <w:szCs w:val="18"/>
          <w:color w:val="auto"/>
        </w:rPr>
        <w:t>align award payments with the underlying performance of the core business</w:t>
      </w:r>
    </w:p>
    <w:p>
      <w:pPr>
        <w:spacing w:after="0" w:line="171" w:lineRule="exact"/>
        <w:rPr>
          <w:rFonts w:ascii="Arial" w:cs="Arial" w:eastAsia="Arial" w:hAnsi="Arial"/>
          <w:sz w:val="16"/>
          <w:szCs w:val="16"/>
          <w:color w:val="auto"/>
        </w:rPr>
      </w:pPr>
    </w:p>
    <w:p>
      <w:pPr>
        <w:ind w:left="660" w:right="320" w:hanging="328"/>
        <w:spacing w:after="0" w:line="287" w:lineRule="auto"/>
        <w:tabs>
          <w:tab w:leader="none" w:pos="649" w:val="left"/>
        </w:tabs>
        <w:numPr>
          <w:ilvl w:val="0"/>
          <w:numId w:val="199"/>
        </w:numPr>
        <w:rPr>
          <w:rFonts w:ascii="Arial" w:cs="Arial" w:eastAsia="Arial" w:hAnsi="Arial"/>
          <w:sz w:val="16"/>
          <w:szCs w:val="16"/>
          <w:color w:val="auto"/>
        </w:rPr>
      </w:pPr>
      <w:r>
        <w:rPr>
          <w:rFonts w:ascii="Arial" w:cs="Arial" w:eastAsia="Arial" w:hAnsi="Arial"/>
          <w:sz w:val="18"/>
          <w:szCs w:val="18"/>
          <w:color w:val="auto"/>
        </w:rPr>
        <w:t>avoid volatile, artificial inflation or deflation of awards due to unusual items during any year in the performance period, and, where relevant, the previous (comparator) year</w:t>
      </w:r>
    </w:p>
    <w:p>
      <w:pPr>
        <w:spacing w:after="0" w:line="98" w:lineRule="exact"/>
        <w:rPr>
          <w:rFonts w:ascii="Arial" w:cs="Arial" w:eastAsia="Arial" w:hAnsi="Arial"/>
          <w:sz w:val="16"/>
          <w:szCs w:val="16"/>
          <w:color w:val="auto"/>
        </w:rPr>
      </w:pPr>
    </w:p>
    <w:p>
      <w:pPr>
        <w:ind w:left="660" w:right="420" w:hanging="328"/>
        <w:spacing w:after="0" w:line="287" w:lineRule="auto"/>
        <w:tabs>
          <w:tab w:leader="none" w:pos="649" w:val="left"/>
        </w:tabs>
        <w:numPr>
          <w:ilvl w:val="0"/>
          <w:numId w:val="199"/>
        </w:numPr>
        <w:rPr>
          <w:rFonts w:ascii="Arial" w:cs="Arial" w:eastAsia="Arial" w:hAnsi="Arial"/>
          <w:sz w:val="16"/>
          <w:szCs w:val="16"/>
          <w:color w:val="auto"/>
        </w:rPr>
      </w:pPr>
      <w:r>
        <w:rPr>
          <w:rFonts w:ascii="Arial" w:cs="Arial" w:eastAsia="Arial" w:hAnsi="Arial"/>
          <w:sz w:val="18"/>
          <w:szCs w:val="18"/>
          <w:color w:val="auto"/>
        </w:rPr>
        <w:t>eliminate certain counterproductive short-term incentives—for example, incentives to refrain from acquiring new technologies, to defer disposing of underutilized assets, or to defer settling legacy legal proceedings to protect current bonus payments</w:t>
      </w:r>
    </w:p>
    <w:p>
      <w:pPr>
        <w:spacing w:after="0" w:line="98" w:lineRule="exact"/>
        <w:rPr>
          <w:rFonts w:ascii="Arial" w:cs="Arial" w:eastAsia="Arial" w:hAnsi="Arial"/>
          <w:sz w:val="16"/>
          <w:szCs w:val="16"/>
          <w:color w:val="auto"/>
        </w:rPr>
      </w:pPr>
    </w:p>
    <w:p>
      <w:pPr>
        <w:ind w:left="640" w:hanging="308"/>
        <w:spacing w:after="0"/>
        <w:tabs>
          <w:tab w:leader="none" w:pos="640" w:val="left"/>
        </w:tabs>
        <w:numPr>
          <w:ilvl w:val="0"/>
          <w:numId w:val="199"/>
        </w:numPr>
        <w:rPr>
          <w:rFonts w:ascii="Arial" w:cs="Arial" w:eastAsia="Arial" w:hAnsi="Arial"/>
          <w:sz w:val="16"/>
          <w:szCs w:val="16"/>
          <w:color w:val="auto"/>
        </w:rPr>
      </w:pPr>
      <w:r>
        <w:rPr>
          <w:rFonts w:ascii="Arial" w:cs="Arial" w:eastAsia="Arial" w:hAnsi="Arial"/>
          <w:sz w:val="18"/>
          <w:szCs w:val="18"/>
          <w:color w:val="auto"/>
        </w:rPr>
        <w:t>facilitate comparisons with peer companies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ensure the integrity of the adjustments, the Talent and Compensation Committee reviews and approves adjustment guidelines at least annually. These guidelines are generally consistent with the company guidelines for reporting non-GAAP financial measures to the investment community, which are reviewed by the Audit Committee. The adjustments apply equally to income and expense items. The Talent and Compensation Committee reviews all adjustments and retains downward discretion (i.e., discretion to reduce compensation below the amounts that are yielded by the adjustment guidelines).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Adjustments for 2025 Bonus Plan</w:t>
      </w:r>
    </w:p>
    <w:p>
      <w:pPr>
        <w:spacing w:after="0" w:line="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For 2025 bonus calculations, the Talent and Compensation Committee made the following adjustments to reported EPS consistent with our external reporting of non-GAAP financial measures:</w:t>
      </w:r>
    </w:p>
    <w:p>
      <w:pPr>
        <w:spacing w:after="0" w:line="99" w:lineRule="exact"/>
        <w:rPr>
          <w:sz w:val="20"/>
          <w:szCs w:val="20"/>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Eliminated the impact of amortization of intangible assets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Eliminated the impact of asset impairments, restructuring, and other special charges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0"/>
        </w:numPr>
        <w:rPr>
          <w:rFonts w:ascii="Arial" w:cs="Arial" w:eastAsia="Arial" w:hAnsi="Arial"/>
          <w:sz w:val="16"/>
          <w:szCs w:val="16"/>
          <w:color w:val="auto"/>
        </w:rPr>
      </w:pPr>
      <w:r>
        <w:rPr>
          <w:rFonts w:ascii="Arial" w:cs="Arial" w:eastAsia="Arial" w:hAnsi="Arial"/>
          <w:sz w:val="18"/>
          <w:szCs w:val="18"/>
          <w:color w:val="auto"/>
        </w:rPr>
        <w:t>Eliminated the impact of net gains and losses on investments in equity securities</w:t>
      </w:r>
    </w:p>
    <w:p>
      <w:pPr>
        <w:spacing w:after="0" w:line="171" w:lineRule="exact"/>
        <w:rPr>
          <w:rFonts w:ascii="Arial" w:cs="Arial" w:eastAsia="Arial" w:hAnsi="Arial"/>
          <w:sz w:val="16"/>
          <w:szCs w:val="16"/>
          <w:color w:val="auto"/>
        </w:rPr>
      </w:pPr>
    </w:p>
    <w:p>
      <w:pPr>
        <w:ind w:left="660" w:right="260" w:hanging="328"/>
        <w:spacing w:after="0" w:line="287" w:lineRule="auto"/>
        <w:tabs>
          <w:tab w:leader="none" w:pos="649" w:val="left"/>
        </w:tabs>
        <w:numPr>
          <w:ilvl w:val="0"/>
          <w:numId w:val="200"/>
        </w:numPr>
        <w:rPr>
          <w:rFonts w:ascii="Arial" w:cs="Arial" w:eastAsia="Arial" w:hAnsi="Arial"/>
          <w:sz w:val="16"/>
          <w:szCs w:val="16"/>
          <w:color w:val="auto"/>
        </w:rPr>
      </w:pPr>
      <w:r>
        <w:rPr>
          <w:rFonts w:ascii="Arial" w:cs="Arial" w:eastAsia="Arial" w:hAnsi="Arial"/>
          <w:sz w:val="18"/>
          <w:szCs w:val="18"/>
          <w:color w:val="auto"/>
        </w:rPr>
        <w:t>Eliminated the estimated impact of U.S. tax law change related to adjusting the tax provision for prior periods and remeasuring the deferred tax assets and liabilities.</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to the adjustments consistent with our reporting of non-GAAP financial measures, the Talent and Compensation Committee made the following adjustments:</w:t>
      </w:r>
    </w:p>
    <w:p>
      <w:pPr>
        <w:spacing w:after="0" w:line="99" w:lineRule="exact"/>
        <w:rPr>
          <w:sz w:val="20"/>
          <w:szCs w:val="20"/>
          <w:color w:val="auto"/>
        </w:rPr>
      </w:pPr>
    </w:p>
    <w:p>
      <w:pPr>
        <w:ind w:left="640" w:hanging="308"/>
        <w:spacing w:after="0"/>
        <w:tabs>
          <w:tab w:leader="none" w:pos="640" w:val="left"/>
        </w:tabs>
        <w:numPr>
          <w:ilvl w:val="0"/>
          <w:numId w:val="201"/>
        </w:numPr>
        <w:rPr>
          <w:rFonts w:ascii="Arial" w:cs="Arial" w:eastAsia="Arial" w:hAnsi="Arial"/>
          <w:sz w:val="16"/>
          <w:szCs w:val="16"/>
          <w:color w:val="auto"/>
        </w:rPr>
      </w:pPr>
      <w:r>
        <w:rPr>
          <w:rFonts w:ascii="Arial" w:cs="Arial" w:eastAsia="Arial" w:hAnsi="Arial"/>
          <w:sz w:val="18"/>
          <w:szCs w:val="18"/>
          <w:color w:val="auto"/>
        </w:rPr>
        <w:t>Eliminated the impact of acquired in-process research and development (IPR&amp;D) charges</w:t>
      </w:r>
    </w:p>
    <w:p>
      <w:pPr>
        <w:spacing w:after="0" w:line="171" w:lineRule="exact"/>
        <w:rPr>
          <w:rFonts w:ascii="Arial" w:cs="Arial" w:eastAsia="Arial" w:hAnsi="Arial"/>
          <w:sz w:val="16"/>
          <w:szCs w:val="16"/>
          <w:color w:val="auto"/>
        </w:rPr>
      </w:pPr>
    </w:p>
    <w:p>
      <w:pPr>
        <w:ind w:left="660" w:right="420" w:hanging="328"/>
        <w:spacing w:after="0" w:line="287" w:lineRule="auto"/>
        <w:tabs>
          <w:tab w:leader="none" w:pos="649" w:val="left"/>
        </w:tabs>
        <w:numPr>
          <w:ilvl w:val="0"/>
          <w:numId w:val="201"/>
        </w:numPr>
        <w:rPr>
          <w:rFonts w:ascii="Arial" w:cs="Arial" w:eastAsia="Arial" w:hAnsi="Arial"/>
          <w:sz w:val="16"/>
          <w:szCs w:val="16"/>
          <w:color w:val="auto"/>
        </w:rPr>
      </w:pPr>
      <w:r>
        <w:rPr>
          <w:rFonts w:ascii="Arial" w:cs="Arial" w:eastAsia="Arial" w:hAnsi="Arial"/>
          <w:sz w:val="18"/>
          <w:szCs w:val="18"/>
          <w:color w:val="auto"/>
        </w:rPr>
        <w:t>Eliminated the revenue and EPS impacts of business development transactions to divest certain products, which were not in the company’s 2025 bonus targets for revenue and EPS</w:t>
      </w:r>
    </w:p>
    <w:p>
      <w:pPr>
        <w:spacing w:after="0" w:line="98" w:lineRule="exact"/>
        <w:rPr>
          <w:rFonts w:ascii="Arial" w:cs="Arial" w:eastAsia="Arial" w:hAnsi="Arial"/>
          <w:sz w:val="16"/>
          <w:szCs w:val="16"/>
          <w:color w:val="auto"/>
        </w:rPr>
      </w:pPr>
    </w:p>
    <w:p>
      <w:pPr>
        <w:ind w:left="660" w:right="220" w:hanging="328"/>
        <w:spacing w:after="0" w:line="287" w:lineRule="auto"/>
        <w:tabs>
          <w:tab w:leader="none" w:pos="649" w:val="left"/>
        </w:tabs>
        <w:numPr>
          <w:ilvl w:val="0"/>
          <w:numId w:val="201"/>
        </w:numPr>
        <w:rPr>
          <w:rFonts w:ascii="Arial" w:cs="Arial" w:eastAsia="Arial" w:hAnsi="Arial"/>
          <w:sz w:val="16"/>
          <w:szCs w:val="16"/>
          <w:color w:val="auto"/>
        </w:rPr>
      </w:pPr>
      <w:r>
        <w:rPr>
          <w:rFonts w:ascii="Arial" w:cs="Arial" w:eastAsia="Arial" w:hAnsi="Arial"/>
          <w:sz w:val="18"/>
          <w:szCs w:val="18"/>
          <w:color w:val="auto"/>
        </w:rPr>
        <w:t>Eliminated the estimated impact of U.S. tax law change related to adjusting the tax provision for the remaining 2025 periods, which was not included in the company’s 2025 bonus target for EPS.</w:t>
      </w:r>
    </w:p>
    <w:p>
      <w:pPr>
        <w:spacing w:after="0" w:line="98" w:lineRule="exact"/>
        <w:rPr>
          <w:rFonts w:ascii="Arial" w:cs="Arial" w:eastAsia="Arial" w:hAnsi="Arial"/>
          <w:sz w:val="16"/>
          <w:szCs w:val="16"/>
          <w:color w:val="auto"/>
        </w:rPr>
      </w:pPr>
    </w:p>
    <w:p>
      <w:pPr>
        <w:ind w:left="660" w:right="100" w:hanging="328"/>
        <w:spacing w:after="0" w:line="287" w:lineRule="auto"/>
        <w:tabs>
          <w:tab w:leader="none" w:pos="649" w:val="left"/>
        </w:tabs>
        <w:numPr>
          <w:ilvl w:val="0"/>
          <w:numId w:val="201"/>
        </w:numPr>
        <w:rPr>
          <w:rFonts w:ascii="Arial" w:cs="Arial" w:eastAsia="Arial" w:hAnsi="Arial"/>
          <w:sz w:val="16"/>
          <w:szCs w:val="16"/>
          <w:color w:val="auto"/>
        </w:rPr>
      </w:pPr>
      <w:r>
        <w:rPr>
          <w:rFonts w:ascii="Arial" w:cs="Arial" w:eastAsia="Arial" w:hAnsi="Arial"/>
          <w:sz w:val="18"/>
          <w:szCs w:val="18"/>
          <w:color w:val="auto"/>
        </w:rPr>
        <w:t>Eliminated the impact of the difference between actual foreign exchange rates and the foreign exchange rates that were assumed in the company’s 2025 bonus targets for revenue and EPS.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adjustments to our reported revenue is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2025</w:t>
            </w:r>
          </w:p>
        </w:tc>
      </w:tr>
      <w:tr>
        <w:trPr>
          <w:trHeight w:val="29"/>
        </w:trPr>
        <w:tc>
          <w:tcPr>
            <w:tcW w:w="68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Key product revenue</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$43,658.2</w:t>
            </w:r>
          </w:p>
        </w:tc>
      </w:tr>
      <w:tr>
        <w:trPr>
          <w:trHeight w:val="279"/>
        </w:trPr>
        <w:tc>
          <w:tcPr>
            <w:tcW w:w="6820" w:type="dxa"/>
            <w:vAlign w:val="bottom"/>
          </w:tcPr>
          <w:p>
            <w:pPr>
              <w:ind w:left="20"/>
              <w:spacing w:after="0"/>
              <w:rPr>
                <w:sz w:val="20"/>
                <w:szCs w:val="20"/>
                <w:color w:val="auto"/>
              </w:rPr>
            </w:pPr>
            <w:r>
              <w:rPr>
                <w:rFonts w:ascii="Arial" w:cs="Arial" w:eastAsia="Arial" w:hAnsi="Arial"/>
                <w:sz w:val="14"/>
                <w:szCs w:val="14"/>
                <w:color w:val="auto"/>
              </w:rPr>
              <w:t>Foreign exchange rate impact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(346.8)</w:t>
            </w:r>
          </w:p>
        </w:tc>
      </w:tr>
      <w:tr>
        <w:trPr>
          <w:trHeight w:val="241"/>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Adjusted key product revenue</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$43,311.4</w:t>
            </w:r>
          </w:p>
        </w:tc>
      </w:tr>
    </w:tbl>
    <w:p>
      <w:pPr>
        <w:spacing w:after="0" w:line="200" w:lineRule="exact"/>
        <w:rPr>
          <w:sz w:val="20"/>
          <w:szCs w:val="20"/>
          <w:color w:val="auto"/>
        </w:rPr>
      </w:pPr>
    </w:p>
    <w:p>
      <w:pPr>
        <w:sectPr>
          <w:pgSz w:w="11900" w:h="16838" w:orient="portrait"/>
          <w:cols w:equalWidth="0" w:num="1">
            <w:col w:w="11240"/>
          </w:cols>
          <w:pgMar w:left="320" w:top="1135" w:right="3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color w:val="auto"/>
        </w:rPr>
        <w:t>A reconciliation of adjustments to our reported EPS is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2025</w:t>
            </w:r>
          </w:p>
        </w:tc>
      </w:tr>
      <w:tr>
        <w:trPr>
          <w:trHeight w:val="22"/>
        </w:trPr>
        <w:tc>
          <w:tcPr>
            <w:tcW w:w="69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1"/>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EPS as reported</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$22.95</w:t>
            </w:r>
          </w:p>
        </w:tc>
      </w:tr>
      <w:tr>
        <w:trPr>
          <w:trHeight w:val="223"/>
        </w:trPr>
        <w:tc>
          <w:tcPr>
            <w:tcW w:w="6980" w:type="dxa"/>
            <w:vAlign w:val="bottom"/>
          </w:tcPr>
          <w:p>
            <w:pPr>
              <w:ind w:left="20"/>
              <w:spacing w:after="0"/>
              <w:rPr>
                <w:sz w:val="20"/>
                <w:szCs w:val="20"/>
                <w:color w:val="auto"/>
              </w:rPr>
            </w:pPr>
            <w:r>
              <w:rPr>
                <w:rFonts w:ascii="Arial" w:cs="Arial" w:eastAsia="Arial" w:hAnsi="Arial"/>
                <w:sz w:val="14"/>
                <w:szCs w:val="14"/>
                <w:color w:val="auto"/>
              </w:rPr>
              <w:t>Amortization of intangible assets</w:t>
            </w:r>
          </w:p>
        </w:tc>
        <w:tc>
          <w:tcPr>
            <w:tcW w:w="1880" w:type="dxa"/>
            <w:vAlign w:val="bottom"/>
          </w:tcPr>
          <w:p>
            <w:pPr>
              <w:jc w:val="right"/>
              <w:spacing w:after="0"/>
              <w:rPr>
                <w:sz w:val="20"/>
                <w:szCs w:val="20"/>
                <w:color w:val="auto"/>
              </w:rPr>
            </w:pPr>
            <w:r>
              <w:rPr>
                <w:rFonts w:ascii="Arial" w:cs="Arial" w:eastAsia="Arial" w:hAnsi="Arial"/>
                <w:sz w:val="14"/>
                <w:szCs w:val="14"/>
                <w:color w:val="auto"/>
              </w:rPr>
              <w:t>0.43</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Asset impairments, restructuring, and other special charges</w:t>
            </w:r>
          </w:p>
        </w:tc>
        <w:tc>
          <w:tcPr>
            <w:tcW w:w="1880" w:type="dxa"/>
            <w:vAlign w:val="bottom"/>
          </w:tcPr>
          <w:p>
            <w:pPr>
              <w:jc w:val="right"/>
              <w:spacing w:after="0"/>
              <w:rPr>
                <w:sz w:val="20"/>
                <w:szCs w:val="20"/>
                <w:color w:val="auto"/>
              </w:rPr>
            </w:pPr>
            <w:r>
              <w:rPr>
                <w:rFonts w:ascii="Arial" w:cs="Arial" w:eastAsia="Arial" w:hAnsi="Arial"/>
                <w:sz w:val="14"/>
                <w:szCs w:val="14"/>
                <w:color w:val="auto"/>
              </w:rPr>
              <w:t>0.46</w:t>
            </w:r>
          </w:p>
        </w:tc>
      </w:tr>
      <w:tr>
        <w:trPr>
          <w:trHeight w:val="230"/>
        </w:trPr>
        <w:tc>
          <w:tcPr>
            <w:tcW w:w="6980" w:type="dxa"/>
            <w:vAlign w:val="bottom"/>
          </w:tcPr>
          <w:p>
            <w:pPr>
              <w:ind w:left="20"/>
              <w:spacing w:after="0"/>
              <w:rPr>
                <w:sz w:val="20"/>
                <w:szCs w:val="20"/>
                <w:color w:val="auto"/>
              </w:rPr>
            </w:pPr>
            <w:r>
              <w:rPr>
                <w:rFonts w:ascii="Arial" w:cs="Arial" w:eastAsia="Arial" w:hAnsi="Arial"/>
                <w:sz w:val="14"/>
                <w:szCs w:val="14"/>
                <w:color w:val="auto"/>
              </w:rPr>
              <w:t>Net losses on investments in equity securities</w:t>
            </w:r>
          </w:p>
        </w:tc>
        <w:tc>
          <w:tcPr>
            <w:tcW w:w="188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U.S. tax law change</w:t>
            </w:r>
          </w:p>
        </w:tc>
        <w:tc>
          <w:tcPr>
            <w:tcW w:w="1880" w:type="dxa"/>
            <w:vAlign w:val="bottom"/>
          </w:tcPr>
          <w:p>
            <w:pPr>
              <w:jc w:val="right"/>
              <w:spacing w:after="0"/>
              <w:rPr>
                <w:sz w:val="20"/>
                <w:szCs w:val="20"/>
                <w:color w:val="auto"/>
              </w:rPr>
            </w:pPr>
            <w:r>
              <w:rPr>
                <w:rFonts w:ascii="Arial" w:cs="Arial" w:eastAsia="Arial" w:hAnsi="Arial"/>
                <w:sz w:val="14"/>
                <w:szCs w:val="14"/>
                <w:color w:val="auto"/>
              </w:rPr>
              <w:t>0.39</w:t>
            </w:r>
          </w:p>
        </w:tc>
      </w:tr>
      <w:tr>
        <w:trPr>
          <w:trHeight w:val="22"/>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Non-GAAP EPS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24.21</w:t>
            </w:r>
          </w:p>
        </w:tc>
      </w:tr>
      <w:tr>
        <w:trPr>
          <w:trHeight w:val="223"/>
        </w:trPr>
        <w:tc>
          <w:tcPr>
            <w:tcW w:w="6980" w:type="dxa"/>
            <w:vAlign w:val="bottom"/>
          </w:tcPr>
          <w:p>
            <w:pPr>
              <w:ind w:left="20"/>
              <w:spacing w:after="0"/>
              <w:rPr>
                <w:sz w:val="20"/>
                <w:szCs w:val="20"/>
                <w:color w:val="auto"/>
              </w:rPr>
            </w:pPr>
            <w:r>
              <w:rPr>
                <w:rFonts w:ascii="Arial" w:cs="Arial" w:eastAsia="Arial" w:hAnsi="Arial"/>
                <w:sz w:val="14"/>
                <w:szCs w:val="14"/>
                <w:color w:val="auto"/>
              </w:rPr>
              <w:t>Acquired IPR&amp;D charges</w:t>
            </w:r>
          </w:p>
        </w:tc>
        <w:tc>
          <w:tcPr>
            <w:tcW w:w="188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Remaining impact of U.S. tax law change</w:t>
            </w:r>
          </w:p>
        </w:tc>
        <w:tc>
          <w:tcPr>
            <w:tcW w:w="1880" w:type="dxa"/>
            <w:vAlign w:val="bottom"/>
          </w:tcPr>
          <w:p>
            <w:pPr>
              <w:jc w:val="right"/>
              <w:spacing w:after="0"/>
              <w:rPr>
                <w:sz w:val="20"/>
                <w:szCs w:val="20"/>
                <w:color w:val="auto"/>
              </w:rPr>
            </w:pPr>
            <w:r>
              <w:rPr>
                <w:rFonts w:ascii="Arial" w:cs="Arial" w:eastAsia="Arial" w:hAnsi="Arial"/>
                <w:sz w:val="14"/>
                <w:szCs w:val="14"/>
                <w:color w:val="auto"/>
              </w:rPr>
              <w:t>0.28</w:t>
            </w:r>
          </w:p>
        </w:tc>
      </w:tr>
      <w:tr>
        <w:trPr>
          <w:trHeight w:val="230"/>
        </w:trPr>
        <w:tc>
          <w:tcPr>
            <w:tcW w:w="6980" w:type="dxa"/>
            <w:vAlign w:val="bottom"/>
          </w:tcPr>
          <w:p>
            <w:pPr>
              <w:ind w:left="20"/>
              <w:spacing w:after="0"/>
              <w:rPr>
                <w:sz w:val="20"/>
                <w:szCs w:val="20"/>
                <w:color w:val="auto"/>
              </w:rPr>
            </w:pPr>
            <w:r>
              <w:rPr>
                <w:rFonts w:ascii="Arial" w:cs="Arial" w:eastAsia="Arial" w:hAnsi="Arial"/>
                <w:sz w:val="14"/>
                <w:szCs w:val="14"/>
                <w:color w:val="auto"/>
              </w:rPr>
              <w:t>Divestitures of products and collaboration amendment revenue</w:t>
            </w:r>
          </w:p>
        </w:tc>
        <w:tc>
          <w:tcPr>
            <w:tcW w:w="1880" w:type="dxa"/>
            <w:vAlign w:val="bottom"/>
          </w:tcPr>
          <w:p>
            <w:pPr>
              <w:jc w:val="right"/>
              <w:spacing w:after="0"/>
              <w:rPr>
                <w:sz w:val="20"/>
                <w:szCs w:val="20"/>
                <w:color w:val="auto"/>
              </w:rPr>
            </w:pPr>
            <w:r>
              <w:rPr>
                <w:rFonts w:ascii="Arial" w:cs="Arial" w:eastAsia="Arial" w:hAnsi="Arial"/>
                <w:sz w:val="14"/>
                <w:szCs w:val="14"/>
                <w:color w:val="auto"/>
              </w:rPr>
              <w:t>(0.11)</w:t>
            </w:r>
          </w:p>
        </w:tc>
      </w:tr>
      <w:tr>
        <w:trPr>
          <w:trHeight w:val="229"/>
        </w:trPr>
        <w:tc>
          <w:tcPr>
            <w:tcW w:w="6980" w:type="dxa"/>
            <w:vAlign w:val="bottom"/>
          </w:tcPr>
          <w:p>
            <w:pPr>
              <w:ind w:left="20"/>
              <w:spacing w:after="0"/>
              <w:rPr>
                <w:sz w:val="20"/>
                <w:szCs w:val="20"/>
                <w:color w:val="auto"/>
              </w:rPr>
            </w:pPr>
            <w:r>
              <w:rPr>
                <w:rFonts w:ascii="Arial" w:cs="Arial" w:eastAsia="Arial" w:hAnsi="Arial"/>
                <w:sz w:val="14"/>
                <w:szCs w:val="14"/>
                <w:color w:val="auto"/>
              </w:rPr>
              <w:t>Foreign exchange rate impact</w:t>
            </w:r>
          </w:p>
        </w:tc>
        <w:tc>
          <w:tcPr>
            <w:tcW w:w="1880" w:type="dxa"/>
            <w:vAlign w:val="bottom"/>
          </w:tcPr>
          <w:p>
            <w:pPr>
              <w:jc w:val="right"/>
              <w:spacing w:after="0"/>
              <w:rPr>
                <w:sz w:val="20"/>
                <w:szCs w:val="20"/>
                <w:color w:val="auto"/>
              </w:rPr>
            </w:pPr>
            <w:r>
              <w:rPr>
                <w:rFonts w:ascii="Arial" w:cs="Arial" w:eastAsia="Arial" w:hAnsi="Arial"/>
                <w:sz w:val="14"/>
                <w:szCs w:val="14"/>
                <w:color w:val="auto"/>
              </w:rPr>
              <w:t>(0.40)</w:t>
            </w:r>
          </w:p>
        </w:tc>
      </w:tr>
      <w:tr>
        <w:trPr>
          <w:trHeight w:val="22"/>
        </w:trPr>
        <w:tc>
          <w:tcPr>
            <w:tcW w:w="69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08"/>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Adjusted non-GAAP EPS for purposes of annual cash bonus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$27.06</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391" w:lineRule="exact"/>
        <w:rPr>
          <w:sz w:val="20"/>
          <w:szCs w:val="20"/>
          <w:color w:val="auto"/>
        </w:rPr>
      </w:pPr>
    </w:p>
    <w:p>
      <w:pPr>
        <w:spacing w:after="0"/>
        <w:rPr>
          <w:sz w:val="20"/>
          <w:szCs w:val="20"/>
          <w:color w:val="auto"/>
        </w:rPr>
      </w:pPr>
      <w:r>
        <w:rPr>
          <w:rFonts w:ascii="Arial" w:cs="Arial" w:eastAsia="Arial" w:hAnsi="Arial"/>
          <w:sz w:val="25"/>
          <w:szCs w:val="25"/>
          <w:b w:val="1"/>
          <w:bCs w:val="1"/>
          <w:color w:val="0F3A85"/>
        </w:rPr>
        <w:t>Adjustments for 2023-2024 Performance Award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Award program ended on December 31, 2024. For the 2023-2024 performance award payout calculations, the Talent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made the following adjustments to reported EPS consistent with our reporting of non-GAAP financial measures:</w:t>
      </w:r>
    </w:p>
    <w:p>
      <w:pPr>
        <w:spacing w:after="0" w:line="153" w:lineRule="exact"/>
        <w:rPr>
          <w:sz w:val="20"/>
          <w:szCs w:val="20"/>
          <w:color w:val="auto"/>
        </w:rPr>
      </w:pPr>
    </w:p>
    <w:p>
      <w:pPr>
        <w:ind w:left="640" w:hanging="308"/>
        <w:spacing w:after="0"/>
        <w:tabs>
          <w:tab w:leader="none" w:pos="640" w:val="left"/>
        </w:tabs>
        <w:numPr>
          <w:ilvl w:val="0"/>
          <w:numId w:val="202"/>
        </w:numPr>
        <w:rPr>
          <w:rFonts w:ascii="Arial" w:cs="Arial" w:eastAsia="Arial" w:hAnsi="Arial"/>
          <w:sz w:val="16"/>
          <w:szCs w:val="16"/>
          <w:color w:val="auto"/>
        </w:rPr>
      </w:pPr>
      <w:r>
        <w:rPr>
          <w:rFonts w:ascii="Arial" w:cs="Arial" w:eastAsia="Arial" w:hAnsi="Arial"/>
          <w:sz w:val="18"/>
          <w:szCs w:val="18"/>
          <w:color w:val="auto"/>
        </w:rPr>
        <w:t>2024 and 2023: Eliminated the impact of amortization of intangible assets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2"/>
        </w:numPr>
        <w:rPr>
          <w:rFonts w:ascii="Arial" w:cs="Arial" w:eastAsia="Arial" w:hAnsi="Arial"/>
          <w:sz w:val="16"/>
          <w:szCs w:val="16"/>
          <w:color w:val="auto"/>
        </w:rPr>
      </w:pPr>
      <w:r>
        <w:rPr>
          <w:rFonts w:ascii="Arial" w:cs="Arial" w:eastAsia="Arial" w:hAnsi="Arial"/>
          <w:sz w:val="18"/>
          <w:szCs w:val="18"/>
          <w:color w:val="auto"/>
        </w:rPr>
        <w:t>2024 and 2023: Eliminated the impact of asset impairments, restructuring, and other special charges</w:t>
      </w:r>
    </w:p>
    <w:p>
      <w:pPr>
        <w:spacing w:after="0" w:line="171" w:lineRule="exact"/>
        <w:rPr>
          <w:rFonts w:ascii="Arial" w:cs="Arial" w:eastAsia="Arial" w:hAnsi="Arial"/>
          <w:sz w:val="16"/>
          <w:szCs w:val="16"/>
          <w:color w:val="auto"/>
        </w:rPr>
      </w:pPr>
    </w:p>
    <w:p>
      <w:pPr>
        <w:ind w:left="640" w:hanging="308"/>
        <w:spacing w:after="0"/>
        <w:tabs>
          <w:tab w:leader="none" w:pos="640" w:val="left"/>
        </w:tabs>
        <w:numPr>
          <w:ilvl w:val="0"/>
          <w:numId w:val="202"/>
        </w:numPr>
        <w:rPr>
          <w:rFonts w:ascii="Arial" w:cs="Arial" w:eastAsia="Arial" w:hAnsi="Arial"/>
          <w:sz w:val="16"/>
          <w:szCs w:val="16"/>
          <w:color w:val="auto"/>
        </w:rPr>
      </w:pPr>
      <w:r>
        <w:rPr>
          <w:rFonts w:ascii="Arial" w:cs="Arial" w:eastAsia="Arial" w:hAnsi="Arial"/>
          <w:sz w:val="18"/>
          <w:szCs w:val="18"/>
          <w:color w:val="auto"/>
        </w:rPr>
        <w:t>2024 and 2023: Eliminated the impact of net gains and losses on investments in equity securities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to the adjustments consistent with our reporting of non-GAAP financial measures, the Talent and Compensation Committee made the following adjustment:</w:t>
      </w:r>
    </w:p>
    <w:p>
      <w:pPr>
        <w:spacing w:after="0" w:line="99" w:lineRule="exact"/>
        <w:rPr>
          <w:sz w:val="20"/>
          <w:szCs w:val="20"/>
          <w:color w:val="auto"/>
        </w:rPr>
      </w:pPr>
    </w:p>
    <w:p>
      <w:pPr>
        <w:ind w:right="4100" w:firstLine="332"/>
        <w:spacing w:after="0" w:line="464" w:lineRule="auto"/>
        <w:tabs>
          <w:tab w:leader="none" w:pos="637" w:val="left"/>
        </w:tabs>
        <w:numPr>
          <w:ilvl w:val="0"/>
          <w:numId w:val="203"/>
        </w:numPr>
        <w:rPr>
          <w:rFonts w:ascii="Arial" w:cs="Arial" w:eastAsia="Arial" w:hAnsi="Arial"/>
          <w:sz w:val="16"/>
          <w:szCs w:val="16"/>
          <w:color w:val="auto"/>
        </w:rPr>
      </w:pPr>
      <w:r>
        <w:rPr>
          <w:rFonts w:ascii="Arial" w:cs="Arial" w:eastAsia="Arial" w:hAnsi="Arial"/>
          <w:sz w:val="18"/>
          <w:szCs w:val="18"/>
          <w:color w:val="auto"/>
        </w:rPr>
        <w:t>2024 and 2023: Eliminated the impact of charges recognized for acquired IPR&amp;D A reconciliation of adjustments to our reported 2024 and 2023 EPS is below:</w:t>
      </w:r>
    </w:p>
    <w:tbl>
      <w:tblPr>
        <w:tblLayout w:type="fixed"/>
        <w:tblInd w:w="0" w:type="dxa"/>
        <w:tblCellMar>
          <w:top w:w="0" w:type="dxa"/>
          <w:left w:w="0" w:type="dxa"/>
          <w:bottom w:w="0" w:type="dxa"/>
          <w:right w:w="0" w:type="dxa"/>
        </w:tblCellMar>
      </w:tblPr>
      <w:tr>
        <w:trPr>
          <w:trHeight w:val="337"/>
        </w:trPr>
        <w:tc>
          <w:tcPr>
            <w:tcW w:w="3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219"/>
        </w:trPr>
        <w:tc>
          <w:tcPr>
            <w:tcW w:w="3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1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2024 vs. 2023</w:t>
            </w:r>
          </w:p>
        </w:tc>
      </w:tr>
      <w:tr>
        <w:trPr>
          <w:trHeight w:val="228"/>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EPS as reported</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$11.71</w:t>
            </w:r>
          </w:p>
        </w:tc>
        <w:tc>
          <w:tcPr>
            <w:tcW w:w="9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$5.80</w:t>
            </w:r>
          </w:p>
        </w:tc>
        <w:tc>
          <w:tcPr>
            <w:tcW w:w="116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101.9 %</w:t>
            </w:r>
          </w:p>
        </w:tc>
      </w:tr>
      <w:tr>
        <w:trPr>
          <w:trHeight w:val="250"/>
        </w:trPr>
        <w:tc>
          <w:tcPr>
            <w:tcW w:w="3840" w:type="dxa"/>
            <w:vAlign w:val="bottom"/>
          </w:tcPr>
          <w:p>
            <w:pPr>
              <w:ind w:left="320"/>
              <w:spacing w:after="0"/>
              <w:rPr>
                <w:sz w:val="20"/>
                <w:szCs w:val="20"/>
                <w:color w:val="auto"/>
              </w:rPr>
            </w:pPr>
            <w:r>
              <w:rPr>
                <w:rFonts w:ascii="Arial" w:cs="Arial" w:eastAsia="Arial" w:hAnsi="Arial"/>
                <w:sz w:val="14"/>
                <w:szCs w:val="14"/>
                <w:color w:val="auto"/>
              </w:rPr>
              <w:t>Amortization of intangible assets</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0.49</w:t>
            </w:r>
          </w:p>
        </w:tc>
        <w:tc>
          <w:tcPr>
            <w:tcW w:w="9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0.45</w:t>
            </w:r>
          </w:p>
        </w:tc>
        <w:tc>
          <w:tcPr>
            <w:tcW w:w="1160" w:type="dxa"/>
            <w:vAlign w:val="bottom"/>
            <w:tcBorders>
              <w:right w:val="single" w:sz="8" w:color="auto"/>
            </w:tcBorders>
          </w:tcPr>
          <w:p>
            <w:pPr>
              <w:spacing w:after="0"/>
              <w:rPr>
                <w:sz w:val="21"/>
                <w:szCs w:val="21"/>
                <w:color w:val="auto"/>
              </w:rPr>
            </w:pPr>
          </w:p>
        </w:tc>
      </w:tr>
      <w:tr>
        <w:trPr>
          <w:trHeight w:val="215"/>
        </w:trPr>
        <w:tc>
          <w:tcPr>
            <w:tcW w:w="3840" w:type="dxa"/>
            <w:vAlign w:val="bottom"/>
          </w:tcPr>
          <w:p>
            <w:pPr>
              <w:ind w:left="320"/>
              <w:spacing w:after="0"/>
              <w:rPr>
                <w:sz w:val="20"/>
                <w:szCs w:val="20"/>
                <w:color w:val="auto"/>
              </w:rPr>
            </w:pPr>
            <w:r>
              <w:rPr>
                <w:rFonts w:ascii="Arial" w:cs="Arial" w:eastAsia="Arial" w:hAnsi="Arial"/>
                <w:sz w:val="14"/>
                <w:szCs w:val="14"/>
                <w:color w:val="auto"/>
              </w:rPr>
              <w:t>Asset impairment, restructuring, and other</w:t>
            </w:r>
          </w:p>
        </w:tc>
        <w:tc>
          <w:tcPr>
            <w:tcW w:w="10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r>
      <w:tr>
        <w:trPr>
          <w:trHeight w:val="204"/>
        </w:trPr>
        <w:tc>
          <w:tcPr>
            <w:tcW w:w="3840" w:type="dxa"/>
            <w:vAlign w:val="bottom"/>
          </w:tcPr>
          <w:p>
            <w:pPr>
              <w:ind w:left="320"/>
              <w:spacing w:after="0"/>
              <w:rPr>
                <w:sz w:val="20"/>
                <w:szCs w:val="20"/>
                <w:color w:val="auto"/>
              </w:rPr>
            </w:pPr>
            <w:r>
              <w:rPr>
                <w:rFonts w:ascii="Arial" w:cs="Arial" w:eastAsia="Arial" w:hAnsi="Arial"/>
                <w:sz w:val="14"/>
                <w:szCs w:val="14"/>
                <w:color w:val="auto"/>
              </w:rPr>
              <w:t>special charges</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0.75</w:t>
            </w:r>
          </w:p>
        </w:tc>
        <w:tc>
          <w:tcPr>
            <w:tcW w:w="9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0.06</w:t>
            </w:r>
          </w:p>
        </w:tc>
        <w:tc>
          <w:tcPr>
            <w:tcW w:w="1160" w:type="dxa"/>
            <w:vAlign w:val="bottom"/>
            <w:tcBorders>
              <w:right w:val="single" w:sz="8" w:color="auto"/>
            </w:tcBorders>
          </w:tcPr>
          <w:p>
            <w:pPr>
              <w:spacing w:after="0"/>
              <w:rPr>
                <w:sz w:val="17"/>
                <w:szCs w:val="17"/>
                <w:color w:val="auto"/>
              </w:rPr>
            </w:pPr>
          </w:p>
        </w:tc>
      </w:tr>
      <w:tr>
        <w:trPr>
          <w:trHeight w:val="256"/>
        </w:trPr>
        <w:tc>
          <w:tcPr>
            <w:tcW w:w="3840" w:type="dxa"/>
            <w:vAlign w:val="bottom"/>
          </w:tcPr>
          <w:p>
            <w:pPr>
              <w:ind w:left="320"/>
              <w:spacing w:after="0"/>
              <w:rPr>
                <w:sz w:val="20"/>
                <w:szCs w:val="20"/>
                <w:color w:val="auto"/>
              </w:rPr>
            </w:pPr>
            <w:r>
              <w:rPr>
                <w:rFonts w:ascii="Arial" w:cs="Arial" w:eastAsia="Arial" w:hAnsi="Arial"/>
                <w:sz w:val="14"/>
                <w:szCs w:val="14"/>
                <w:color w:val="auto"/>
              </w:rPr>
              <w:t>Net losses on investments in equity securities</w:t>
            </w: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0.04</w:t>
            </w:r>
          </w:p>
        </w:tc>
        <w:tc>
          <w:tcPr>
            <w:tcW w:w="9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0.02</w:t>
            </w:r>
          </w:p>
        </w:tc>
        <w:tc>
          <w:tcPr>
            <w:tcW w:w="1160" w:type="dxa"/>
            <w:vAlign w:val="bottom"/>
            <w:tcBorders>
              <w:right w:val="single" w:sz="8" w:color="auto"/>
            </w:tcBorders>
          </w:tcPr>
          <w:p>
            <w:pPr>
              <w:spacing w:after="0"/>
              <w:rPr>
                <w:sz w:val="22"/>
                <w:szCs w:val="22"/>
                <w:color w:val="auto"/>
              </w:rPr>
            </w:pPr>
          </w:p>
        </w:tc>
      </w:tr>
      <w:tr>
        <w:trPr>
          <w:trHeight w:val="22"/>
        </w:trPr>
        <w:tc>
          <w:tcPr>
            <w:tcW w:w="3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r>
      <w:tr>
        <w:trPr>
          <w:trHeight w:val="221"/>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Non-GAAP EPS</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12.99</w:t>
            </w:r>
          </w:p>
        </w:tc>
        <w:tc>
          <w:tcPr>
            <w:tcW w:w="9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6.32</w:t>
            </w:r>
          </w:p>
        </w:tc>
        <w:tc>
          <w:tcPr>
            <w:tcW w:w="1160" w:type="dxa"/>
            <w:vAlign w:val="bottom"/>
            <w:tcBorders>
              <w:right w:val="single" w:sz="8" w:color="auto"/>
            </w:tcBorders>
          </w:tcPr>
          <w:p>
            <w:pPr>
              <w:spacing w:after="0"/>
              <w:rPr>
                <w:sz w:val="19"/>
                <w:szCs w:val="19"/>
                <w:color w:val="auto"/>
              </w:rPr>
            </w:pPr>
          </w:p>
        </w:tc>
      </w:tr>
      <w:tr>
        <w:trPr>
          <w:trHeight w:val="265"/>
        </w:trPr>
        <w:tc>
          <w:tcPr>
            <w:tcW w:w="3840" w:type="dxa"/>
            <w:vAlign w:val="bottom"/>
          </w:tcPr>
          <w:p>
            <w:pPr>
              <w:ind w:left="320"/>
              <w:spacing w:after="0"/>
              <w:rPr>
                <w:sz w:val="20"/>
                <w:szCs w:val="20"/>
                <w:color w:val="auto"/>
              </w:rPr>
            </w:pPr>
            <w:r>
              <w:rPr>
                <w:rFonts w:ascii="Arial" w:cs="Arial" w:eastAsia="Arial" w:hAnsi="Arial"/>
                <w:sz w:val="14"/>
                <w:szCs w:val="14"/>
                <w:color w:val="auto"/>
              </w:rPr>
              <w:t>Acquired IPR&amp;D charges</w:t>
            </w: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3.52</w:t>
            </w:r>
          </w:p>
        </w:tc>
        <w:tc>
          <w:tcPr>
            <w:tcW w:w="90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4.10</w:t>
            </w:r>
          </w:p>
        </w:tc>
        <w:tc>
          <w:tcPr>
            <w:tcW w:w="1160" w:type="dxa"/>
            <w:vAlign w:val="bottom"/>
            <w:tcBorders>
              <w:right w:val="single" w:sz="8" w:color="auto"/>
            </w:tcBorders>
          </w:tcPr>
          <w:p>
            <w:pPr>
              <w:spacing w:after="0"/>
              <w:rPr>
                <w:sz w:val="23"/>
                <w:szCs w:val="23"/>
                <w:color w:val="auto"/>
              </w:rPr>
            </w:pPr>
          </w:p>
        </w:tc>
      </w:tr>
      <w:tr>
        <w:trPr>
          <w:trHeight w:val="193"/>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Adjusted Non-GAAP EPS for purposes of performance</w:t>
            </w:r>
          </w:p>
        </w:tc>
        <w:tc>
          <w:tcPr>
            <w:tcW w:w="10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r>
      <w:tr>
        <w:trPr>
          <w:trHeight w:val="205"/>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awards</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$16.51</w:t>
            </w:r>
          </w:p>
        </w:tc>
        <w:tc>
          <w:tcPr>
            <w:tcW w:w="90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$10.42</w:t>
            </w:r>
          </w:p>
        </w:tc>
        <w:tc>
          <w:tcPr>
            <w:tcW w:w="116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58.4%</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3" w:name="page94"/>
    <w:bookmarkEnd w:id="93"/>
    <w:p>
      <w:pPr>
        <w:ind w:right="1040"/>
        <w:spacing w:after="0" w:line="276" w:lineRule="auto"/>
        <w:rPr>
          <w:sz w:val="20"/>
          <w:szCs w:val="20"/>
          <w:color w:val="auto"/>
        </w:rPr>
      </w:pPr>
      <w:r>
        <w:rPr>
          <w:rFonts w:ascii="Arial" w:cs="Arial" w:eastAsia="Arial" w:hAnsi="Arial"/>
          <w:sz w:val="32"/>
          <w:szCs w:val="32"/>
          <w:b w:val="1"/>
          <w:bCs w:val="1"/>
          <w:color w:val="D52B1E"/>
        </w:rPr>
        <w:t>Appendix B - Proposed Amendments to the Company’s Articles of Incorporation</w:t>
      </w:r>
    </w:p>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Proposed changes to the company’s articles of incorporation are shown below related to Items 4 and 5. The changes shown to Article 9(b) will be effective if Item 4, “Proposal to Amend the Company’s Articles of Incorporation to Eliminate the Classified Board Structure,” receives the vote of at least 80 percent of the outstanding shares. The changes to Articles 9(c), 9(d), and 13 will be effective if Item 5,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 w:cs="Arial" w:eastAsia="Arial" w:hAnsi="Arial"/>
          <w:sz w:val="18"/>
          <w:szCs w:val="18"/>
          <w:color w:val="D52B1E"/>
        </w:rPr>
        <w:t>lilly.com/about/leadership/governance</w:t>
      </w:r>
      <w:r>
        <w:rPr>
          <w:rFonts w:ascii="Arial" w:cs="Arial" w:eastAsia="Arial" w:hAnsi="Arial"/>
          <w:sz w:val="18"/>
          <w:szCs w:val="18"/>
          <w:color w:val="auto"/>
        </w:rPr>
        <w:t>.</w:t>
      </w:r>
    </w:p>
    <w:p>
      <w:pPr>
        <w:spacing w:after="0" w:line="371" w:lineRule="exact"/>
        <w:rPr>
          <w:sz w:val="20"/>
          <w:szCs w:val="20"/>
          <w:color w:val="auto"/>
        </w:rPr>
      </w:pPr>
    </w:p>
    <w:p>
      <w:pPr>
        <w:ind w:left="660" w:right="20" w:hanging="4"/>
        <w:spacing w:after="0" w:line="253" w:lineRule="auto"/>
        <w:tabs>
          <w:tab w:leader="none" w:pos="8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spacing w:after="0" w:line="128" w:lineRule="exact"/>
        <w:rPr>
          <w:rFonts w:ascii="Arial" w:cs="Arial" w:eastAsia="Arial" w:hAnsi="Arial"/>
          <w:sz w:val="18"/>
          <w:szCs w:val="18"/>
          <w:color w:val="auto"/>
        </w:rPr>
      </w:pPr>
    </w:p>
    <w:p>
      <w:pPr>
        <w:ind w:left="660" w:right="160" w:firstLine="644"/>
        <w:spacing w:after="0" w:line="262" w:lineRule="auto"/>
        <w:tabs>
          <w:tab w:leader="none" w:pos="172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number of directors of the Corporation, exclusive of directors who may be elected by the holders of any one or more series of Preferred Stock pursuant to Article 7(b) (the “</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shall not be less than nine, the exact number to be fixed from time to time solely by resolution of the Board of Directors, acting by not less than a majority of the directors then in office.</w:t>
      </w:r>
    </w:p>
    <w:p>
      <w:pPr>
        <w:spacing w:after="0" w:line="122" w:lineRule="exact"/>
        <w:rPr>
          <w:rFonts w:ascii="Arial" w:cs="Arial" w:eastAsia="Arial" w:hAnsi="Arial"/>
          <w:sz w:val="18"/>
          <w:szCs w:val="18"/>
          <w:color w:val="auto"/>
        </w:rPr>
      </w:pPr>
    </w:p>
    <w:p>
      <w:pPr>
        <w:ind w:left="660" w:firstLine="644"/>
        <w:spacing w:after="0" w:line="253" w:lineRule="auto"/>
        <w:tabs>
          <w:tab w:leader="none" w:pos="1728"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Prior to the 2027 annual meeting of directors, T</w:t>
      </w:r>
      <w:r>
        <w:rPr>
          <w:rFonts w:ascii="Arial" w:cs="Arial" w:eastAsia="Arial" w:hAnsi="Arial"/>
          <w:sz w:val="18"/>
          <w:szCs w:val="18"/>
          <w:color w:val="auto"/>
          <w:strike w:val="1"/>
        </w:rPr>
        <w:t>t</w:t>
      </w:r>
      <w:r>
        <w:rPr>
          <w:rFonts w:ascii="Arial" w:cs="Arial" w:eastAsia="Arial" w:hAnsi="Arial"/>
          <w:sz w:val="18"/>
          <w:szCs w:val="18"/>
          <w:color w:val="auto"/>
        </w:rPr>
        <w:t xml:space="preserve">he Board of Directors (exclusive of Preferred Stock Directors) shall be divided into three classes, with the term of office of one class expiring each year. </w:t>
      </w:r>
      <w:r>
        <w:rPr>
          <w:rFonts w:ascii="Arial" w:cs="Arial" w:eastAsia="Arial" w:hAnsi="Arial"/>
          <w:sz w:val="18"/>
          <w:szCs w:val="18"/>
          <w:color w:val="auto"/>
          <w:strike w:val="1"/>
        </w:rPr>
        <w:t>At the annual meeting of shareholders in 1985, five</w:t>
      </w:r>
      <w:r>
        <w:rPr>
          <w:rFonts w:ascii="Arial" w:cs="Arial" w:eastAsia="Arial" w:hAnsi="Arial"/>
          <w:sz w:val="18"/>
          <w:szCs w:val="18"/>
          <w:color w:val="auto"/>
        </w:rPr>
        <w:t xml:space="preserve"> </w:t>
      </w:r>
      <w:r>
        <w:rPr>
          <w:rFonts w:ascii="Arial" w:cs="Arial" w:eastAsia="Arial" w:hAnsi="Arial"/>
          <w:sz w:val="18"/>
          <w:szCs w:val="18"/>
          <w:color w:val="auto"/>
          <w:strike w:val="1"/>
        </w:rPr>
        <w:t>directors of the first class 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Commencing with the annual meeting of shareholders in 1986</w:t>
      </w:r>
      <w:r>
        <w:rPr>
          <w:rFonts w:ascii="Arial" w:cs="Arial" w:eastAsia="Arial" w:hAnsi="Arial"/>
          <w:sz w:val="18"/>
          <w:szCs w:val="18"/>
          <w:u w:val="single" w:color="auto"/>
          <w:color w:val="auto"/>
          <w:strike w:val="1"/>
        </w:rPr>
        <w:t>2027</w:t>
      </w:r>
      <w:r>
        <w:rPr>
          <w:rFonts w:ascii="Arial" w:cs="Arial" w:eastAsia="Arial" w:hAnsi="Arial"/>
          <w:sz w:val="18"/>
          <w:szCs w:val="18"/>
          <w:color w:val="auto"/>
          <w:strike w:val="1"/>
        </w:rPr>
        <w:t>, each class of directors whose term shall then expire shall be elected to hold office for a three</w:t>
      </w:r>
      <w:r>
        <w:rPr>
          <w:rFonts w:ascii="Arial" w:cs="Arial" w:eastAsia="Arial" w:hAnsi="Arial"/>
          <w:sz w:val="18"/>
          <w:szCs w:val="18"/>
          <w:u w:val="single" w:color="auto"/>
          <w:color w:val="auto"/>
          <w:strike w:val="1"/>
        </w:rPr>
        <w:t>one</w:t>
      </w:r>
      <w:r>
        <w:rPr>
          <w:rFonts w:ascii="Arial" w:cs="Arial" w:eastAsia="Arial" w:hAnsi="Arial"/>
          <w:sz w:val="18"/>
          <w:szCs w:val="18"/>
          <w:color w:val="auto"/>
          <w:strike w:val="1"/>
        </w:rPr>
        <w:t xml:space="preserve">-year term </w:t>
      </w:r>
      <w:r>
        <w:rPr>
          <w:rFonts w:ascii="Arial" w:cs="Arial" w:eastAsia="Arial" w:hAnsi="Arial"/>
          <w:sz w:val="18"/>
          <w:szCs w:val="18"/>
          <w:u w:val="single" w:color="auto"/>
          <w:color w:val="auto"/>
          <w:strike w:val="1"/>
        </w:rPr>
        <w:t>expiring at the next</w:t>
      </w:r>
      <w:r>
        <w:rPr>
          <w:rFonts w:ascii="Arial" w:cs="Arial" w:eastAsia="Arial" w:hAnsi="Arial"/>
          <w:sz w:val="18"/>
          <w:szCs w:val="18"/>
          <w:color w:val="auto"/>
          <w:strike w:val="1"/>
        </w:rPr>
        <w:t xml:space="preserve"> </w:t>
      </w:r>
      <w:r>
        <w:rPr>
          <w:rFonts w:ascii="Arial" w:cs="Arial" w:eastAsia="Arial" w:hAnsi="Arial"/>
          <w:sz w:val="18"/>
          <w:szCs w:val="18"/>
          <w:u w:val="single" w:color="auto"/>
          <w:color w:val="auto"/>
          <w:strike w:val="1"/>
        </w:rPr>
        <w:t>annual meeting of shareholders</w:t>
      </w:r>
      <w:r>
        <w:rPr>
          <w:rFonts w:ascii="Arial" w:cs="Arial" w:eastAsia="Arial" w:hAnsi="Arial"/>
          <w:sz w:val="18"/>
          <w:szCs w:val="18"/>
          <w:color w:val="auto"/>
          <w:strike w:val="1"/>
        </w:rPr>
        <w:t xml:space="preserve">. In the case of any vacancy on the Board of Directors, including a vacancy created by an increase in the number of </w:t>
      </w:r>
      <w:r>
        <w:rPr>
          <w:rFonts w:ascii="Arial" w:cs="Arial" w:eastAsia="Arial" w:hAnsi="Arial"/>
          <w:sz w:val="18"/>
          <w:szCs w:val="18"/>
          <w:u w:val="single" w:color="auto"/>
          <w:color w:val="auto"/>
          <w:strike w:val="1"/>
        </w:rPr>
        <w:t>D</w:t>
      </w:r>
      <w:r>
        <w:rPr>
          <w:rFonts w:ascii="Arial" w:cs="Arial" w:eastAsia="Arial" w:hAnsi="Arial"/>
          <w:sz w:val="18"/>
          <w:szCs w:val="18"/>
          <w:color w:val="auto"/>
          <w:strike w:val="1"/>
        </w:rPr>
        <w:t xml:space="preserve">directors, the vacancy shall be filled by election of the Board of Directors with the director so elected to serve for the remainder of the term of the director being replaced or, in the case of an additional director, for the remainder of the term of the class to which the director has been assigned </w:t>
      </w:r>
      <w:r>
        <w:rPr>
          <w:rFonts w:ascii="Arial" w:cs="Arial" w:eastAsia="Arial" w:hAnsi="Arial"/>
          <w:sz w:val="18"/>
          <w:szCs w:val="18"/>
          <w:u w:val="single" w:color="auto"/>
          <w:color w:val="auto"/>
          <w:strike w:val="1"/>
        </w:rPr>
        <w:t>until the next annual meeting of shareholders</w:t>
      </w:r>
      <w:r>
        <w:rPr>
          <w:rFonts w:ascii="Arial" w:cs="Arial" w:eastAsia="Arial" w:hAnsi="Arial"/>
          <w:sz w:val="18"/>
          <w:szCs w:val="18"/>
          <w:color w:val="auto"/>
          <w:strike w:val="1"/>
        </w:rPr>
        <w:t>. All directors shall continue in office until the election and qualification of their respective successors in office. When the number of directors is changed, any newly created directorships or any decrease in directorships shall be so assigned among the classes by a majority of the directors then in office, though less than a quorum, as to make all classes as nearly equal in number as possible. No decrease in the number of directors shall have the effect of shortening the term of any incumbent director. Election of directors need not be by written ballot unless the By-laws so provide.</w:t>
      </w:r>
    </w:p>
    <w:p>
      <w:pPr>
        <w:spacing w:after="0" w:line="129" w:lineRule="exact"/>
        <w:rPr>
          <w:rFonts w:ascii="Arial" w:cs="Arial" w:eastAsia="Arial" w:hAnsi="Arial"/>
          <w:sz w:val="18"/>
          <w:szCs w:val="18"/>
          <w:color w:val="auto"/>
        </w:rPr>
      </w:pPr>
    </w:p>
    <w:p>
      <w:pPr>
        <w:ind w:left="660" w:right="240" w:firstLine="644"/>
        <w:spacing w:after="0" w:line="268" w:lineRule="auto"/>
        <w:tabs>
          <w:tab w:leader="none" w:pos="170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Any director or directors (exclusive of Preferred Stock Directors) may be removed from office at any time, but only for cause and only by the affirmative vote of at least </w:t>
      </w:r>
      <w:r>
        <w:rPr>
          <w:rFonts w:ascii="Arial" w:cs="Arial" w:eastAsia="Arial" w:hAnsi="Arial"/>
          <w:sz w:val="18"/>
          <w:szCs w:val="18"/>
          <w:color w:val="auto"/>
          <w:strike w:val="1"/>
        </w:rPr>
        <w:t>80%</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w:t>
      </w:r>
      <w:r>
        <w:rPr>
          <w:rFonts w:ascii="Arial" w:cs="Arial" w:eastAsia="Arial" w:hAnsi="Arial"/>
          <w:sz w:val="18"/>
          <w:szCs w:val="18"/>
          <w:color w:val="auto"/>
          <w:strike w:val="1"/>
        </w:rPr>
        <w:t>entitled to be</w:t>
      </w:r>
      <w:r>
        <w:rPr>
          <w:rFonts w:ascii="Arial" w:cs="Arial" w:eastAsia="Arial" w:hAnsi="Arial"/>
          <w:sz w:val="18"/>
          <w:szCs w:val="18"/>
          <w:color w:val="auto"/>
        </w:rPr>
        <w:t xml:space="preserve"> cast by holders of all the outstanding shares of Voting Stock (as defined in Article 13 hereof), voting together as a single class.</w:t>
      </w:r>
    </w:p>
    <w:p>
      <w:pPr>
        <w:spacing w:after="0" w:line="116" w:lineRule="exact"/>
        <w:rPr>
          <w:rFonts w:ascii="Arial" w:cs="Arial" w:eastAsia="Arial" w:hAnsi="Arial"/>
          <w:sz w:val="18"/>
          <w:szCs w:val="18"/>
          <w:color w:val="auto"/>
        </w:rPr>
      </w:pPr>
    </w:p>
    <w:p>
      <w:pPr>
        <w:ind w:left="660" w:right="20" w:firstLine="644"/>
        <w:spacing w:after="0" w:line="262" w:lineRule="auto"/>
        <w:tabs>
          <w:tab w:leader="none" w:pos="1728" w:val="left"/>
        </w:tabs>
        <w:numPr>
          <w:ilvl w:val="1"/>
          <w:numId w:val="204"/>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-878205</wp:posOffset>
            </wp:positionV>
            <wp:extent cx="3175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4"/>
        <w:spacing w:after="0" w:line="247" w:lineRule="auto"/>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 13 are satisfied.</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94" w:name="page95"/>
    <w:bookmarkEnd w:id="94"/>
    <w:p>
      <w:pPr>
        <w:ind w:left="600" w:hanging="416"/>
        <w:spacing w:after="0"/>
        <w:tabs>
          <w:tab w:leader="none" w:pos="6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actions or transactions within the scope of this Article 13 are as follows:</w:t>
      </w:r>
    </w:p>
    <w:p>
      <w:pPr>
        <w:spacing w:after="0" w:line="171" w:lineRule="exact"/>
        <w:rPr>
          <w:rFonts w:ascii="Arial" w:cs="Arial" w:eastAsia="Arial" w:hAnsi="Arial"/>
          <w:sz w:val="18"/>
          <w:szCs w:val="18"/>
          <w:color w:val="auto"/>
        </w:rPr>
      </w:pPr>
    </w:p>
    <w:p>
      <w:pPr>
        <w:ind w:left="180" w:right="460" w:firstLine="652"/>
        <w:spacing w:after="0" w:line="287" w:lineRule="auto"/>
        <w:tabs>
          <w:tab w:leader="none" w:pos="118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any merger or consolidation of </w:t>
      </w:r>
      <w:r>
        <w:rPr>
          <w:rFonts w:ascii="Arial" w:cs="Arial" w:eastAsia="Arial" w:hAnsi="Arial"/>
          <w:sz w:val="18"/>
          <w:szCs w:val="18"/>
          <w:color w:val="auto"/>
          <w:strike w:val="1"/>
        </w:rPr>
        <w:t>the Corporation or</w:t>
      </w:r>
      <w:r>
        <w:rPr>
          <w:rFonts w:ascii="Arial" w:cs="Arial" w:eastAsia="Arial" w:hAnsi="Arial"/>
          <w:sz w:val="18"/>
          <w:szCs w:val="18"/>
          <w:color w:val="auto"/>
        </w:rPr>
        <w:t xml:space="preserve"> any of </w:t>
      </w:r>
      <w:r>
        <w:rPr>
          <w:rFonts w:ascii="Arial" w:cs="Arial" w:eastAsia="Arial" w:hAnsi="Arial"/>
          <w:sz w:val="18"/>
          <w:szCs w:val="18"/>
          <w:color w:val="auto"/>
          <w:strike w:val="1"/>
        </w:rPr>
        <w:t>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Corporation’s</w:t>
      </w:r>
      <w:r>
        <w:rPr>
          <w:rFonts w:ascii="Arial" w:cs="Arial" w:eastAsia="Arial" w:hAnsi="Arial"/>
          <w:sz w:val="18"/>
          <w:szCs w:val="18"/>
          <w:color w:val="auto"/>
        </w:rPr>
        <w:t xml:space="preserve"> subsidiaries into or with such Related Person;</w:t>
      </w:r>
    </w:p>
    <w:p>
      <w:pPr>
        <w:spacing w:after="0" w:line="98" w:lineRule="exact"/>
        <w:rPr>
          <w:rFonts w:ascii="Arial" w:cs="Arial" w:eastAsia="Arial" w:hAnsi="Arial"/>
          <w:sz w:val="18"/>
          <w:szCs w:val="18"/>
          <w:color w:val="auto"/>
        </w:rPr>
      </w:pPr>
    </w:p>
    <w:p>
      <w:pPr>
        <w:ind w:left="180" w:right="140" w:firstLine="652"/>
        <w:spacing w:after="0" w:line="287" w:lineRule="auto"/>
        <w:tabs>
          <w:tab w:leader="none" w:pos="122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xml:space="preserve">any sale, lease, exchange, or other disposition of all or any substantial part of the assets of </w:t>
      </w:r>
      <w:r>
        <w:rPr>
          <w:rFonts w:ascii="Arial" w:cs="Arial" w:eastAsia="Arial" w:hAnsi="Arial"/>
          <w:sz w:val="18"/>
          <w:szCs w:val="18"/>
          <w:color w:val="auto"/>
          <w:strike w:val="1"/>
        </w:rPr>
        <w:t>the Corporation</w:t>
      </w:r>
      <w:r>
        <w:rPr>
          <w:rFonts w:ascii="Arial" w:cs="Arial" w:eastAsia="Arial" w:hAnsi="Arial"/>
          <w:sz w:val="18"/>
          <w:szCs w:val="18"/>
          <w:color w:val="auto"/>
        </w:rPr>
        <w:t xml:space="preserve"> or any of i</w:t>
      </w:r>
      <w:r>
        <w:rPr>
          <w:rFonts w:ascii="Arial" w:cs="Arial" w:eastAsia="Arial" w:hAnsi="Arial"/>
          <w:sz w:val="18"/>
          <w:szCs w:val="18"/>
          <w:color w:val="auto"/>
          <w:strike w:val="1"/>
        </w:rPr>
        <w:t>ts</w:t>
      </w:r>
      <w:r>
        <w:rPr>
          <w:rFonts w:ascii="Arial" w:cs="Arial" w:eastAsia="Arial" w:hAnsi="Arial"/>
          <w:sz w:val="18"/>
          <w:szCs w:val="18"/>
          <w:u w:val="single" w:color="auto"/>
          <w:color w:val="auto"/>
        </w:rPr>
        <w:t>the Corporation’s</w:t>
      </w:r>
      <w:r>
        <w:rPr>
          <w:rFonts w:ascii="Arial" w:cs="Arial" w:eastAsia="Arial" w:hAnsi="Arial"/>
          <w:sz w:val="18"/>
          <w:szCs w:val="18"/>
          <w:color w:val="auto"/>
        </w:rPr>
        <w:t xml:space="preserve"> majority-owned subsidiaries to or with such Related Person;</w:t>
      </w:r>
    </w:p>
    <w:p>
      <w:pPr>
        <w:spacing w:after="0" w:line="98" w:lineRule="exact"/>
        <w:rPr>
          <w:rFonts w:ascii="Arial" w:cs="Arial" w:eastAsia="Arial" w:hAnsi="Arial"/>
          <w:sz w:val="18"/>
          <w:szCs w:val="18"/>
          <w:color w:val="auto"/>
        </w:rPr>
      </w:pPr>
    </w:p>
    <w:p>
      <w:pPr>
        <w:ind w:left="180" w:right="440" w:firstLine="652"/>
        <w:spacing w:after="0" w:line="268" w:lineRule="auto"/>
        <w:tabs>
          <w:tab w:leader="none" w:pos="1268"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issuance or delivery of any Voting Stock (as hereinafter defined) or of voting securities of any of the Corporation’s majority-owned subsidiaries to such Related Person in exchange for cash, other assets or securities, or a combination thereof;</w:t>
      </w:r>
    </w:p>
    <w:p>
      <w:pPr>
        <w:spacing w:after="0" w:line="116" w:lineRule="exact"/>
        <w:rPr>
          <w:rFonts w:ascii="Arial" w:cs="Arial" w:eastAsia="Arial" w:hAnsi="Arial"/>
          <w:sz w:val="18"/>
          <w:szCs w:val="18"/>
          <w:color w:val="auto"/>
        </w:rPr>
      </w:pPr>
    </w:p>
    <w:p>
      <w:pPr>
        <w:ind w:left="1340" w:hanging="508"/>
        <w:spacing w:after="0"/>
        <w:tabs>
          <w:tab w:leader="none" w:pos="1340" w:val="left"/>
        </w:tabs>
        <w:numPr>
          <w:ilvl w:val="1"/>
          <w:numId w:val="206"/>
        </w:numPr>
        <w:rPr>
          <w:rFonts w:ascii="Arial" w:cs="Arial" w:eastAsia="Arial" w:hAnsi="Arial"/>
          <w:sz w:val="18"/>
          <w:szCs w:val="18"/>
          <w:color w:val="auto"/>
          <w:strike w:val="1"/>
        </w:rPr>
      </w:pPr>
      <w:r>
        <w:rPr>
          <w:rFonts w:ascii="Arial" w:cs="Arial" w:eastAsia="Arial" w:hAnsi="Arial"/>
          <w:sz w:val="18"/>
          <w:szCs w:val="18"/>
          <w:color w:val="auto"/>
          <w:strike w:val="1"/>
        </w:rPr>
        <w:t>any voluntary dissolution or liquidation of the Corporation;</w:t>
      </w:r>
    </w:p>
    <w:p>
      <w:pPr>
        <w:spacing w:after="0" w:line="171" w:lineRule="exact"/>
        <w:rPr>
          <w:sz w:val="20"/>
          <w:szCs w:val="20"/>
          <w:color w:val="auto"/>
        </w:rPr>
      </w:pPr>
    </w:p>
    <w:p>
      <w:pPr>
        <w:jc w:val="both"/>
        <w:ind w:left="180"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w:t>
      </w:r>
      <w:r>
        <w:rPr>
          <w:rFonts w:ascii="Arial" w:cs="Arial" w:eastAsia="Arial" w:hAnsi="Arial"/>
          <w:sz w:val="18"/>
          <w:szCs w:val="18"/>
          <w:color w:val="auto"/>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spacing w:after="0" w:line="125" w:lineRule="exact"/>
        <w:rPr>
          <w:sz w:val="20"/>
          <w:szCs w:val="20"/>
          <w:color w:val="auto"/>
        </w:rPr>
      </w:pPr>
    </w:p>
    <w:p>
      <w:pPr>
        <w:ind w:left="180" w:right="320" w:firstLine="648"/>
        <w:spacing w:after="0" w:line="287" w:lineRule="auto"/>
        <w:rPr>
          <w:sz w:val="20"/>
          <w:szCs w:val="20"/>
          <w:color w:val="auto"/>
        </w:rPr>
      </w:pPr>
      <w:r>
        <w:rPr>
          <w:rFonts w:ascii="Arial" w:cs="Arial" w:eastAsia="Arial" w:hAnsi="Arial"/>
          <w:sz w:val="18"/>
          <w:szCs w:val="18"/>
          <w:color w:val="auto"/>
        </w:rPr>
        <w:t>(v</w:t>
      </w:r>
      <w:r>
        <w:rPr>
          <w:rFonts w:ascii="Arial" w:cs="Arial" w:eastAsia="Arial" w:hAnsi="Arial"/>
          <w:sz w:val="18"/>
          <w:szCs w:val="18"/>
          <w:color w:val="auto"/>
          <w:strike w:val="1"/>
        </w:rPr>
        <w:t>i</w:t>
      </w:r>
      <w:r>
        <w:rPr>
          <w:rFonts w:ascii="Arial" w:cs="Arial" w:eastAsia="Arial" w:hAnsi="Arial"/>
          <w:sz w:val="18"/>
          <w:szCs w:val="18"/>
          <w:color w:val="auto"/>
        </w:rPr>
        <w:t>) any agreement, contract, or other arrangement providing for any one or more of the actions specified in the foregoing clauses (i) through (iv).</w:t>
      </w:r>
    </w:p>
    <w:p>
      <w:pPr>
        <w:spacing w:after="0" w:line="99" w:lineRule="exact"/>
        <w:rPr>
          <w:sz w:val="20"/>
          <w:szCs w:val="20"/>
          <w:color w:val="auto"/>
        </w:rPr>
      </w:pPr>
    </w:p>
    <w:p>
      <w:pPr>
        <w:ind w:left="-460" w:firstLine="725"/>
        <w:spacing w:after="0" w:line="268" w:lineRule="auto"/>
        <w:tabs>
          <w:tab w:leader="none" w:pos="68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The actions and transactions described in paragraph (a) of this Article 13 shall have been authorized by the affirmative vote of </w:t>
      </w:r>
      <w:r>
        <w:rPr>
          <w:rFonts w:ascii="Arial" w:cs="Arial" w:eastAsia="Arial" w:hAnsi="Arial"/>
          <w:sz w:val="18"/>
          <w:szCs w:val="18"/>
          <w:color w:val="auto"/>
          <w:strike w:val="1"/>
        </w:rPr>
        <w:t>at least 80% of 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a majority</w:t>
      </w:r>
      <w:r>
        <w:rPr>
          <w:rFonts w:ascii="Arial" w:cs="Arial" w:eastAsia="Arial" w:hAnsi="Arial"/>
          <w:sz w:val="18"/>
          <w:szCs w:val="18"/>
          <w:color w:val="auto"/>
        </w:rPr>
        <w:t xml:space="preserve"> of the votes entitled to be cast by holders of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the outstanding shares of Voting Stock, voting together as a single class.</w:t>
      </w:r>
    </w:p>
    <w:p>
      <w:pPr>
        <w:spacing w:after="0" w:line="116" w:lineRule="exact"/>
        <w:rPr>
          <w:rFonts w:ascii="Arial" w:cs="Arial" w:eastAsia="Arial" w:hAnsi="Arial"/>
          <w:sz w:val="18"/>
          <w:szCs w:val="18"/>
          <w:color w:val="auto"/>
        </w:rPr>
      </w:pPr>
    </w:p>
    <w:p>
      <w:pPr>
        <w:ind w:left="-460" w:right="40" w:firstLine="725"/>
        <w:spacing w:after="0" w:line="268" w:lineRule="auto"/>
        <w:tabs>
          <w:tab w:leader="none" w:pos="67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Notwithstanding paragraph (b) of this Article 13, the </w:t>
      </w:r>
      <w:r>
        <w:rPr>
          <w:rFonts w:ascii="Arial" w:cs="Arial" w:eastAsia="Arial" w:hAnsi="Arial"/>
          <w:sz w:val="18"/>
          <w:szCs w:val="18"/>
          <w:color w:val="auto"/>
          <w:strike w:val="1"/>
        </w:rPr>
        <w:t>80% voting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shareholder approval</w:t>
      </w:r>
      <w:r>
        <w:rPr>
          <w:rFonts w:ascii="Arial" w:cs="Arial" w:eastAsia="Arial" w:hAnsi="Arial"/>
          <w:sz w:val="18"/>
          <w:szCs w:val="18"/>
          <w:color w:val="auto"/>
        </w:rPr>
        <w:t xml:space="preserve"> requirement </w:t>
      </w:r>
      <w:r>
        <w:rPr>
          <w:rFonts w:ascii="Arial" w:cs="Arial" w:eastAsia="Arial" w:hAnsi="Arial"/>
          <w:sz w:val="18"/>
          <w:szCs w:val="18"/>
          <w:u w:val="single" w:color="auto"/>
          <w:color w:val="auto"/>
        </w:rPr>
        <w:t>set forth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shall not be applicable if any action or transaction specified in paragraph (a) is approved by the Corporation’s Board of Directors and by a majority of the Continuing Directors (as hereinafter defined).</w:t>
      </w:r>
    </w:p>
    <w:p>
      <w:pPr>
        <w:spacing w:after="0" w:line="116" w:lineRule="exact"/>
        <w:rPr>
          <w:rFonts w:ascii="Arial" w:cs="Arial" w:eastAsia="Arial" w:hAnsi="Arial"/>
          <w:sz w:val="18"/>
          <w:szCs w:val="18"/>
          <w:color w:val="auto"/>
        </w:rPr>
      </w:pPr>
    </w:p>
    <w:p>
      <w:pPr>
        <w:ind w:left="-460" w:right="1120" w:firstLine="725"/>
        <w:spacing w:after="0" w:line="287" w:lineRule="auto"/>
        <w:tabs>
          <w:tab w:leader="none" w:pos="68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Unless approved by a majority of the Continuing Directors, after becoming a Related Person and prior to consummation of such action or transaction:</w:t>
      </w:r>
    </w:p>
    <w:p>
      <w:pPr>
        <w:spacing w:after="0" w:line="98" w:lineRule="exact"/>
        <w:rPr>
          <w:rFonts w:ascii="Arial" w:cs="Arial" w:eastAsia="Arial" w:hAnsi="Arial"/>
          <w:sz w:val="18"/>
          <w:szCs w:val="18"/>
          <w:color w:val="auto"/>
        </w:rPr>
      </w:pPr>
    </w:p>
    <w:p>
      <w:pPr>
        <w:ind w:left="180" w:right="160" w:firstLine="652"/>
        <w:spacing w:after="0" w:line="259" w:lineRule="auto"/>
        <w:tabs>
          <w:tab w:leader="none" w:pos="1188"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spacing w:after="0" w:line="125" w:lineRule="exact"/>
        <w:rPr>
          <w:rFonts w:ascii="Arial" w:cs="Arial" w:eastAsia="Arial" w:hAnsi="Arial"/>
          <w:sz w:val="18"/>
          <w:szCs w:val="18"/>
          <w:color w:val="auto"/>
        </w:rPr>
      </w:pPr>
    </w:p>
    <w:p>
      <w:pPr>
        <w:ind w:left="180" w:right="60" w:firstLine="652"/>
        <w:spacing w:after="0" w:line="259" w:lineRule="auto"/>
        <w:tabs>
          <w:tab w:leader="none" w:pos="1228" w:val="left"/>
        </w:tabs>
        <w:numPr>
          <w:ilvl w:val="2"/>
          <w:numId w:val="207"/>
        </w:numPr>
        <w:rPr>
          <w:rFonts w:ascii="Arial" w:cs="Arial" w:eastAsia="Arial" w:hAnsi="Arial"/>
          <w:sz w:val="18"/>
          <w:szCs w:val="18"/>
          <w:color w:val="auto"/>
        </w:rPr>
      </w:pPr>
      <w:r>
        <w:rPr>
          <w:rFonts w:ascii="Arial" w:cs="Arial" w:eastAsia="Arial" w:hAnsi="Arial"/>
          <w:sz w:val="18"/>
          <w:szCs w:val="18"/>
          <w:color w:val="auto"/>
        </w:rPr>
        <w:t>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spacing w:after="0" w:line="125" w:lineRule="exact"/>
        <w:rPr>
          <w:rFonts w:ascii="Arial" w:cs="Arial" w:eastAsia="Arial" w:hAnsi="Arial"/>
          <w:sz w:val="18"/>
          <w:szCs w:val="18"/>
          <w:color w:val="auto"/>
        </w:rPr>
      </w:pPr>
    </w:p>
    <w:p>
      <w:pPr>
        <w:ind w:left="180" w:right="200" w:firstLine="652"/>
        <w:spacing w:after="0" w:line="259" w:lineRule="auto"/>
        <w:tabs>
          <w:tab w:leader="none" w:pos="1268" w:val="left"/>
        </w:tabs>
        <w:numPr>
          <w:ilvl w:val="2"/>
          <w:numId w:val="207"/>
        </w:numPr>
        <w:rPr>
          <w:rFonts w:ascii="Arial" w:cs="Arial" w:eastAsia="Arial" w:hAnsi="Arial"/>
          <w:sz w:val="18"/>
          <w:szCs w:val="18"/>
          <w:color w:val="auto"/>
        </w:rPr>
      </w:pPr>
      <w:r>
        <w:rPr>
          <w:rFonts w:ascii="Arial" w:cs="Arial" w:eastAsia="Arial" w:hAnsi="Arial"/>
          <w:sz w:val="18"/>
          <w:szCs w:val="18"/>
          <w:color w:val="auto"/>
        </w:rPr>
        <w:t>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spacing w:after="0" w:line="125" w:lineRule="exact"/>
        <w:rPr>
          <w:rFonts w:ascii="Arial" w:cs="Arial" w:eastAsia="Arial" w:hAnsi="Arial"/>
          <w:sz w:val="18"/>
          <w:szCs w:val="18"/>
          <w:color w:val="auto"/>
        </w:rPr>
      </w:pPr>
    </w:p>
    <w:p>
      <w:pPr>
        <w:ind w:left="-460" w:right="40" w:firstLine="644"/>
        <w:spacing w:after="0" w:line="287" w:lineRule="auto"/>
        <w:tabs>
          <w:tab w:leader="none" w:pos="59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proxy statement responsive to the requirements of the Securities Exchange Act of 1934, as amended, whether or not the Corporation is then subject to such requirements, shall be mailed</w:t>
      </w:r>
    </w:p>
    <w:p>
      <w:pPr>
        <w:spacing w:after="0" w:line="200" w:lineRule="exact"/>
        <w:rPr>
          <w:sz w:val="20"/>
          <w:szCs w:val="20"/>
          <w:color w:val="auto"/>
        </w:rPr>
      </w:pPr>
    </w:p>
    <w:p>
      <w:pPr>
        <w:spacing w:after="0" w:line="2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142240</wp:posOffset>
            </wp:positionV>
            <wp:extent cx="7157720" cy="4254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755" w:right="359" w:bottom="1440" w:gutter="0" w:footer="0" w:header="0"/>
        </w:sectPr>
      </w:pPr>
    </w:p>
    <w:bookmarkStart w:id="95" w:name="page96"/>
    <w:bookmarkEnd w:id="95"/>
    <w:p>
      <w:pPr>
        <w:spacing w:after="0" w:line="256" w:lineRule="auto"/>
        <w:rPr>
          <w:sz w:val="20"/>
          <w:szCs w:val="20"/>
          <w:color w:val="auto"/>
        </w:rPr>
      </w:pPr>
      <w:r>
        <w:rPr>
          <w:rFonts w:ascii="Arial" w:cs="Arial" w:eastAsia="Arial" w:hAnsi="Arial"/>
          <w:sz w:val="18"/>
          <w:szCs w:val="18"/>
          <w:color w:val="auto"/>
        </w:rPr>
        <w:t>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spacing w:after="0" w:line="129" w:lineRule="exact"/>
        <w:rPr>
          <w:sz w:val="20"/>
          <w:szCs w:val="20"/>
          <w:color w:val="auto"/>
        </w:rPr>
      </w:pPr>
    </w:p>
    <w:p>
      <w:pPr>
        <w:ind w:left="1020" w:hanging="376"/>
        <w:spacing w:after="0"/>
        <w:tabs>
          <w:tab w:leader="none" w:pos="10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the purpose of this Article 13:</w:t>
      </w:r>
    </w:p>
    <w:p>
      <w:pPr>
        <w:spacing w:after="0" w:line="171" w:lineRule="exact"/>
        <w:rPr>
          <w:rFonts w:ascii="Arial" w:cs="Arial" w:eastAsia="Arial" w:hAnsi="Arial"/>
          <w:sz w:val="18"/>
          <w:szCs w:val="18"/>
          <w:color w:val="auto"/>
        </w:rPr>
      </w:pPr>
    </w:p>
    <w:p>
      <w:pPr>
        <w:ind w:left="640" w:right="20" w:firstLine="652"/>
        <w:spacing w:after="0" w:line="255" w:lineRule="auto"/>
        <w:tabs>
          <w:tab w:leader="none" w:pos="164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Related Person</w:t>
      </w:r>
      <w:r>
        <w:rPr>
          <w:rFonts w:ascii="Arial" w:cs="Arial" w:eastAsia="Arial" w:hAnsi="Arial"/>
          <w:sz w:val="18"/>
          <w:szCs w:val="18"/>
          <w:color w:val="auto"/>
        </w:rPr>
        <w:t xml:space="preserve">” 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 w:cs="Arial" w:eastAsia="Arial" w:hAnsi="Arial"/>
          <w:sz w:val="18"/>
          <w:szCs w:val="18"/>
          <w:u w:val="single" w:color="auto"/>
          <w:color w:val="auto"/>
        </w:rPr>
        <w:t>further provided</w:t>
      </w:r>
      <w:r>
        <w:rPr>
          <w:rFonts w:ascii="Arial" w:cs="Arial" w:eastAsia="Arial" w:hAnsi="Arial"/>
          <w:sz w:val="18"/>
          <w:szCs w:val="18"/>
          <w:color w:val="auto"/>
        </w:rPr>
        <w:t>, that no corporation, person, or entity shall be deemed to be a Related Person solely by reason of being an Affiliate or Associate of Lilly Endowment, Inc.;</w:t>
      </w:r>
    </w:p>
    <w:p>
      <w:pPr>
        <w:spacing w:after="0" w:line="130" w:lineRule="exact"/>
        <w:rPr>
          <w:rFonts w:ascii="Arial" w:cs="Arial" w:eastAsia="Arial" w:hAnsi="Arial"/>
          <w:sz w:val="18"/>
          <w:szCs w:val="18"/>
          <w:color w:val="auto"/>
        </w:rPr>
      </w:pPr>
    </w:p>
    <w:p>
      <w:pPr>
        <w:ind w:left="640" w:right="420" w:firstLine="652"/>
        <w:spacing w:after="0" w:line="287" w:lineRule="auto"/>
        <w:tabs>
          <w:tab w:leader="none" w:pos="168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Related Person shall be deemed to own or control, directly or indirectly, any outstanding shares of Voting Stock owned by it or any Affiliate or Associate of record or beneficially, including, without limitation, shares</w:t>
      </w:r>
    </w:p>
    <w:p>
      <w:pPr>
        <w:spacing w:after="0" w:line="98" w:lineRule="exact"/>
        <w:rPr>
          <w:rFonts w:ascii="Arial" w:cs="Arial" w:eastAsia="Arial" w:hAnsi="Arial"/>
          <w:sz w:val="18"/>
          <w:szCs w:val="18"/>
          <w:color w:val="auto"/>
        </w:rPr>
      </w:pPr>
    </w:p>
    <w:p>
      <w:pPr>
        <w:ind w:left="1300" w:right="520" w:firstLine="640"/>
        <w:spacing w:after="0" w:line="287" w:lineRule="auto"/>
        <w:tabs>
          <w:tab w:leader="none" w:pos="2298" w:val="left"/>
        </w:tabs>
        <w:numPr>
          <w:ilvl w:val="2"/>
          <w:numId w:val="209"/>
        </w:numPr>
        <w:rPr>
          <w:rFonts w:ascii="Arial" w:cs="Arial" w:eastAsia="Arial" w:hAnsi="Arial"/>
          <w:sz w:val="18"/>
          <w:szCs w:val="18"/>
          <w:color w:val="auto"/>
        </w:rPr>
      </w:pPr>
      <w:r>
        <w:rPr>
          <w:rFonts w:ascii="Arial" w:cs="Arial" w:eastAsia="Arial" w:hAnsi="Arial"/>
          <w:sz w:val="18"/>
          <w:szCs w:val="18"/>
          <w:color w:val="auto"/>
        </w:rPr>
        <w:t>which it has the right to acquire pursuant to any agreement, or upon exercise of conversion rights, warrants, or options, or otherwise; or</w:t>
      </w:r>
    </w:p>
    <w:p>
      <w:pPr>
        <w:spacing w:after="0" w:line="98" w:lineRule="exact"/>
        <w:rPr>
          <w:rFonts w:ascii="Arial" w:cs="Arial" w:eastAsia="Arial" w:hAnsi="Arial"/>
          <w:sz w:val="18"/>
          <w:szCs w:val="18"/>
          <w:color w:val="auto"/>
        </w:rPr>
      </w:pPr>
    </w:p>
    <w:p>
      <w:pPr>
        <w:jc w:val="both"/>
        <w:ind w:left="1300" w:right="60" w:firstLine="640"/>
        <w:spacing w:after="0" w:line="262" w:lineRule="auto"/>
        <w:tabs>
          <w:tab w:leader="none" w:pos="2298" w:val="left"/>
        </w:tabs>
        <w:numPr>
          <w:ilvl w:val="2"/>
          <w:numId w:val="209"/>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spacing w:after="0" w:line="122" w:lineRule="exact"/>
        <w:rPr>
          <w:rFonts w:ascii="Arial" w:cs="Arial" w:eastAsia="Arial" w:hAnsi="Arial"/>
          <w:sz w:val="18"/>
          <w:szCs w:val="18"/>
          <w:color w:val="auto"/>
        </w:rPr>
      </w:pPr>
    </w:p>
    <w:p>
      <w:pPr>
        <w:ind w:left="640" w:right="100" w:firstLine="652"/>
        <w:spacing w:after="0" w:line="287" w:lineRule="auto"/>
        <w:tabs>
          <w:tab w:leader="none" w:pos="172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Voting Stock</w:t>
      </w:r>
      <w:r>
        <w:rPr>
          <w:rFonts w:ascii="Arial" w:cs="Arial" w:eastAsia="Arial" w:hAnsi="Arial"/>
          <w:sz w:val="18"/>
          <w:szCs w:val="18"/>
          <w:color w:val="auto"/>
        </w:rPr>
        <w:t>” shall mean all shares of any class of capital stock of the Corporation which are entitled to vote generally in the election of directors;</w:t>
      </w:r>
    </w:p>
    <w:p>
      <w:pPr>
        <w:spacing w:after="0" w:line="98" w:lineRule="exact"/>
        <w:rPr>
          <w:rFonts w:ascii="Arial" w:cs="Arial" w:eastAsia="Arial" w:hAnsi="Arial"/>
          <w:sz w:val="18"/>
          <w:szCs w:val="18"/>
          <w:color w:val="auto"/>
        </w:rPr>
      </w:pPr>
    </w:p>
    <w:p>
      <w:pPr>
        <w:ind w:left="640" w:right="140" w:firstLine="652"/>
        <w:spacing w:after="0" w:line="259" w:lineRule="auto"/>
        <w:tabs>
          <w:tab w:leader="none" w:pos="173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Continuing Director</w:t>
      </w:r>
      <w:r>
        <w:rPr>
          <w:rFonts w:ascii="Arial" w:cs="Arial" w:eastAsia="Arial" w:hAnsi="Arial"/>
          <w:sz w:val="18"/>
          <w:szCs w:val="18"/>
          <w:color w:val="auto"/>
        </w:rPr>
        <w:t>” 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spacing w:after="0" w:line="125" w:lineRule="exact"/>
        <w:rPr>
          <w:rFonts w:ascii="Arial" w:cs="Arial" w:eastAsia="Arial" w:hAnsi="Arial"/>
          <w:sz w:val="18"/>
          <w:szCs w:val="18"/>
          <w:color w:val="auto"/>
        </w:rPr>
      </w:pPr>
    </w:p>
    <w:p>
      <w:pPr>
        <w:ind w:left="640" w:right="160" w:firstLine="652"/>
        <w:spacing w:after="0" w:line="287" w:lineRule="auto"/>
        <w:tabs>
          <w:tab w:leader="none" w:pos="169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Remaining Public Shareholders</w:t>
      </w:r>
      <w:r>
        <w:rPr>
          <w:rFonts w:ascii="Arial" w:cs="Arial" w:eastAsia="Arial" w:hAnsi="Arial"/>
          <w:sz w:val="18"/>
          <w:szCs w:val="18"/>
          <w:color w:val="auto"/>
        </w:rPr>
        <w:t>” shall mean the holders of the Corporation’s capital stock other than the Related Person.</w:t>
      </w:r>
    </w:p>
    <w:p>
      <w:pPr>
        <w:spacing w:after="0" w:line="98" w:lineRule="exact"/>
        <w:rPr>
          <w:rFonts w:ascii="Arial" w:cs="Arial" w:eastAsia="Arial" w:hAnsi="Arial"/>
          <w:sz w:val="18"/>
          <w:szCs w:val="18"/>
          <w:color w:val="auto"/>
        </w:rPr>
      </w:pPr>
    </w:p>
    <w:p>
      <w:pPr>
        <w:ind w:right="20" w:firstLine="644"/>
        <w:spacing w:after="0" w:line="259" w:lineRule="auto"/>
        <w:tabs>
          <w:tab w:leader="none" w:pos="105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spacing w:after="0" w:line="125" w:lineRule="exact"/>
        <w:rPr>
          <w:rFonts w:ascii="Arial" w:cs="Arial" w:eastAsia="Arial" w:hAnsi="Arial"/>
          <w:sz w:val="18"/>
          <w:szCs w:val="18"/>
          <w:color w:val="auto"/>
        </w:rPr>
      </w:pPr>
    </w:p>
    <w:p>
      <w:pPr>
        <w:ind w:right="60" w:firstLine="644"/>
        <w:spacing w:after="0" w:line="287" w:lineRule="auto"/>
        <w:tabs>
          <w:tab w:leader="none" w:pos="106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Nothing contained in this Article 13 shall be construed to relieve any Related Person or any Affiliate or Associate of any Related Person from any fiduciary obligation imposed by law.</w:t>
      </w:r>
    </w:p>
    <w:p>
      <w:pPr>
        <w:spacing w:after="0" w:line="98" w:lineRule="exact"/>
        <w:rPr>
          <w:rFonts w:ascii="Arial" w:cs="Arial" w:eastAsia="Arial" w:hAnsi="Arial"/>
          <w:sz w:val="18"/>
          <w:szCs w:val="18"/>
          <w:color w:val="auto"/>
        </w:rPr>
      </w:pPr>
    </w:p>
    <w:p>
      <w:pPr>
        <w:ind w:left="1000" w:hanging="356"/>
        <w:spacing w:after="0"/>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fact that any action or transaction complies with the provisions of this Article 13 shall</w:t>
      </w:r>
    </w:p>
    <w:p>
      <w:pPr>
        <w:spacing w:after="0" w:line="200" w:lineRule="exact"/>
        <w:rPr>
          <w:sz w:val="20"/>
          <w:szCs w:val="20"/>
          <w:color w:val="auto"/>
        </w:rPr>
      </w:pPr>
    </w:p>
    <w:p>
      <w:pPr>
        <w:spacing w:after="0" w:line="29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142240</wp:posOffset>
            </wp:positionV>
            <wp:extent cx="7157720" cy="4254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769" w:right="339" w:bottom="1440" w:gutter="0" w:footer="0" w:header="0"/>
        </w:sectPr>
      </w:pPr>
    </w:p>
    <w:bookmarkStart w:id="96" w:name="page97"/>
    <w:bookmarkEnd w:id="96"/>
    <w:p>
      <w:pPr>
        <w:ind w:right="20"/>
        <w:spacing w:after="0" w:line="255" w:lineRule="auto"/>
        <w:rPr>
          <w:sz w:val="20"/>
          <w:szCs w:val="20"/>
          <w:color w:val="auto"/>
        </w:rPr>
      </w:pPr>
      <w:r>
        <w:rPr>
          <w:rFonts w:ascii="Arial" w:cs="Arial" w:eastAsia="Arial" w:hAnsi="Arial"/>
          <w:sz w:val="18"/>
          <w:szCs w:val="18"/>
          <w:color w:val="auto"/>
        </w:rPr>
        <w:t>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spacing w:after="0" w:line="127" w:lineRule="exact"/>
        <w:rPr>
          <w:sz w:val="20"/>
          <w:szCs w:val="20"/>
          <w:color w:val="auto"/>
        </w:rPr>
      </w:pPr>
    </w:p>
    <w:p>
      <w:pPr>
        <w:ind w:firstLine="644"/>
        <w:spacing w:after="0" w:line="259" w:lineRule="auto"/>
        <w:tabs>
          <w:tab w:leader="none" w:pos="1007" w:val="left"/>
        </w:tabs>
        <w:numPr>
          <w:ilvl w:val="0"/>
          <w:numId w:val="210"/>
        </w:numPr>
        <w:rPr>
          <w:rFonts w:ascii="Arial" w:cs="Arial" w:eastAsia="Arial" w:hAnsi="Arial"/>
          <w:sz w:val="18"/>
          <w:szCs w:val="18"/>
          <w:color w:val="auto"/>
          <w:strike w:val="1"/>
        </w:rPr>
      </w:pPr>
      <w:r>
        <w:rPr>
          <w:rFonts w:ascii="Arial" w:cs="Arial" w:eastAsia="Arial" w:hAnsi="Arial"/>
          <w:sz w:val="18"/>
          <w:szCs w:val="18"/>
          <w:color w:val="auto"/>
          <w:strike w:val="1"/>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142240</wp:posOffset>
            </wp:positionV>
            <wp:extent cx="7157720" cy="4254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980" w:top="769" w:right="35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18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18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18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157720" cy="4254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5760720" cy="744982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PC-4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3299938"/>
    <w:multiLevelType w:val="hybridMultilevel"/>
    <w:lvl w:ilvl="0">
      <w:lvlJc w:val="left"/>
      <w:lvlText w:val="x"/>
      <w:numFmt w:val="bullet"/>
      <w:start w:val="1"/>
    </w:lvl>
  </w:abstractNum>
  <w:abstractNum w:abstractNumId="1">
    <w:nsid w:val="1FBFE8E0"/>
    <w:multiLevelType w:val="hybridMultilevel"/>
    <w:lvl w:ilvl="0">
      <w:lvlJc w:val="left"/>
      <w:lvlText w:val="o"/>
      <w:numFmt w:val="bullet"/>
      <w:start w:val="1"/>
    </w:lvl>
  </w:abstractNum>
  <w:abstractNum w:abstractNumId="2">
    <w:nsid w:val="5092CA79"/>
    <w:multiLevelType w:val="hybridMultilevel"/>
    <w:lvl w:ilvl="0">
      <w:lvlJc w:val="left"/>
      <w:lvlText w:val="x"/>
      <w:numFmt w:val="bullet"/>
      <w:start w:val="1"/>
    </w:lvl>
  </w:abstractNum>
  <w:abstractNum w:abstractNumId="3">
    <w:nsid w:val="1D545C4D"/>
    <w:multiLevelType w:val="hybridMultilevel"/>
    <w:lvl w:ilvl="0">
      <w:lvlJc w:val="left"/>
      <w:lvlText w:val="o"/>
      <w:numFmt w:val="bullet"/>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ü"/>
      <w:numFmt w:val="bullet"/>
      <w:start w:val="1"/>
    </w:lvl>
  </w:abstractNum>
  <w:abstractNum w:abstractNumId="11">
    <w:nsid w:val="53584BCB"/>
    <w:multiLevelType w:val="hybridMultilevel"/>
    <w:lvl w:ilvl="0">
      <w:lvlJc w:val="left"/>
      <w:lvlText w:val="ü"/>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endash "/>
      <w:numFmt w:val="bullet"/>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endash "/>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endash "/>
      <w:numFmt w:val="bullet"/>
      <w:start w:val="1"/>
    </w:lvl>
  </w:abstractNum>
  <w:abstractNum w:abstractNumId="20">
    <w:nsid w:val="78DF6A55"/>
    <w:multiLevelType w:val="hybridMultilevel"/>
    <w:lvl w:ilvl="0">
      <w:lvlJc w:val="left"/>
      <w:lvlText w:val="\endash "/>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lvl w:ilvl="1">
      <w:lvlJc w:val="left"/>
      <w:lvlText w:val="\endash "/>
      <w:numFmt w:val="bullet"/>
      <w:start w:val="1"/>
    </w:lvl>
  </w:abstractNum>
  <w:abstractNum w:abstractNumId="24">
    <w:nsid w:val="379E21B5"/>
    <w:multiLevelType w:val="hybridMultilevel"/>
    <w:lvl w:ilvl="0">
      <w:lvlJc w:val="left"/>
      <w:lvlText w:val="\endash "/>
      <w:numFmt w:val="bullet"/>
      <w:start w:val="1"/>
    </w:lvl>
  </w:abstractNum>
  <w:abstractNum w:abstractNumId="25">
    <w:nsid w:val="69E373"/>
    <w:multiLevelType w:val="hybridMultilevel"/>
    <w:lvl w:ilvl="0">
      <w:lvlJc w:val="left"/>
      <w:lvlText w:val="\endash "/>
      <w:numFmt w:val="bullet"/>
      <w:start w:val="1"/>
    </w:lvl>
  </w:abstractNum>
  <w:abstractNum w:abstractNumId="26">
    <w:nsid w:val="2C27173B"/>
    <w:multiLevelType w:val="hybridMultilevel"/>
    <w:lvl w:ilvl="0">
      <w:lvlJc w:val="left"/>
      <w:lvlText w:val="\endash "/>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endash "/>
      <w:numFmt w:val="bullet"/>
      <w:start w:val="1"/>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lvl w:ilvl="3">
      <w:lvlJc w:val="left"/>
      <w:lvlText w:val="•"/>
      <w:numFmt w:val="bullet"/>
      <w:start w:val="1"/>
    </w:lvl>
  </w:abstractNum>
  <w:abstractNum w:abstractNumId="33">
    <w:nsid w:val="2708C9AF"/>
    <w:multiLevelType w:val="hybridMultilevel"/>
    <w:lvl w:ilvl="0">
      <w:lvlJc w:val="left"/>
      <w:lvlText w:val="•"/>
      <w:numFmt w:val="bullet"/>
      <w:start w:val="1"/>
    </w:lvl>
  </w:abstractNum>
  <w:abstractNum w:abstractNumId="34">
    <w:nsid w:val="5B25ACE2"/>
    <w:multiLevelType w:val="hybridMultilevel"/>
    <w:lvl w:ilvl="0">
      <w:lvlJc w:val="left"/>
      <w:lvlText w:val="\endash "/>
      <w:numFmt w:val="bullet"/>
      <w:start w:val="1"/>
    </w:lvl>
  </w:abstractNum>
  <w:abstractNum w:abstractNumId="35">
    <w:nsid w:val="175DFCF0"/>
    <w:multiLevelType w:val="hybridMultilevel"/>
    <w:lvl w:ilvl="0">
      <w:lvlJc w:val="left"/>
      <w:lvlText w:val="\endash "/>
      <w:numFmt w:val="bullet"/>
      <w:start w:val="1"/>
    </w:lvl>
  </w:abstractNum>
  <w:abstractNum w:abstractNumId="36">
    <w:nsid w:val="4F97E3E4"/>
    <w:multiLevelType w:val="hybridMultilevel"/>
    <w:lvl w:ilvl="0">
      <w:lvlJc w:val="left"/>
      <w:lvlText w:val="•"/>
      <w:numFmt w:val="bullet"/>
      <w:start w:val="1"/>
    </w:lvl>
  </w:abstractNum>
  <w:abstractNum w:abstractNumId="37">
    <w:nsid w:val="53B0A9E"/>
    <w:multiLevelType w:val="hybridMultilevel"/>
    <w:lvl w:ilvl="0">
      <w:lvlJc w:val="left"/>
      <w:lvlText w:val="•"/>
      <w:numFmt w:val="bullet"/>
      <w:start w:val="1"/>
    </w:lvl>
    <w:lvl w:ilvl="1">
      <w:lvlJc w:val="left"/>
      <w:lvlText w:val="\endash "/>
      <w:numFmt w:val="bullet"/>
      <w:start w:val="1"/>
    </w:lvl>
    <w:lvl w:ilvl="2">
      <w:lvlJc w:val="left"/>
      <w:lvlText w:val="\endash "/>
      <w:numFmt w:val="bullet"/>
      <w:start w:val="1"/>
    </w:lvl>
  </w:abstractNum>
  <w:abstractNum w:abstractNumId="38">
    <w:nsid w:val="34FD6B4F"/>
    <w:multiLevelType w:val="hybridMultilevel"/>
    <w:lvl w:ilvl="0">
      <w:lvlJc w:val="left"/>
      <w:lvlText w:val="•"/>
      <w:numFmt w:val="bullet"/>
      <w:start w:val="1"/>
    </w:lvl>
  </w:abstractNum>
  <w:abstractNum w:abstractNumId="39">
    <w:nsid w:val="5915FF32"/>
    <w:multiLevelType w:val="hybridMultilevel"/>
    <w:lvl w:ilvl="0">
      <w:lvlJc w:val="left"/>
      <w:lvlText w:val="\endash "/>
      <w:numFmt w:val="bullet"/>
      <w:start w:val="1"/>
    </w:lvl>
  </w:abstractNum>
  <w:abstractNum w:abstractNumId="40">
    <w:nsid w:val="56438D15"/>
    <w:multiLevelType w:val="hybridMultilevel"/>
    <w:lvl w:ilvl="0">
      <w:lvlJc w:val="left"/>
      <w:lvlText w:val="\endash "/>
      <w:numFmt w:val="bullet"/>
      <w:start w:val="1"/>
    </w:lvl>
  </w:abstractNum>
  <w:abstractNum w:abstractNumId="41">
    <w:nsid w:val="519E3149"/>
    <w:multiLevelType w:val="hybridMultilevel"/>
    <w:lvl w:ilvl="0">
      <w:lvlJc w:val="left"/>
      <w:lvlText w:val="•"/>
      <w:numFmt w:val="bullet"/>
      <w:start w:val="1"/>
    </w:lvl>
  </w:abstractNum>
  <w:abstractNum w:abstractNumId="42">
    <w:nsid w:val="2C6E4AFD"/>
    <w:multiLevelType w:val="hybridMultilevel"/>
    <w:lvl w:ilvl="0">
      <w:lvlJc w:val="left"/>
      <w:lvlText w:val="\endash "/>
      <w:numFmt w:val="bullet"/>
      <w:start w:val="1"/>
    </w:lvl>
  </w:abstractNum>
  <w:abstractNum w:abstractNumId="43">
    <w:nsid w:val="17A1B582"/>
    <w:multiLevelType w:val="hybridMultilevel"/>
    <w:lvl w:ilvl="0">
      <w:lvlJc w:val="left"/>
      <w:lvlText w:val="•"/>
      <w:numFmt w:val="bullet"/>
      <w:start w:val="1"/>
    </w:lvl>
  </w:abstractNum>
  <w:abstractNum w:abstractNumId="44">
    <w:nsid w:val="4DF72E4E"/>
    <w:multiLevelType w:val="hybridMultilevel"/>
    <w:lvl w:ilvl="0">
      <w:lvlJc w:val="left"/>
      <w:lvlText w:val="•"/>
      <w:numFmt w:val="bullet"/>
      <w:start w:val="1"/>
    </w:lvl>
    <w:lvl w:ilvl="1">
      <w:lvlJc w:val="left"/>
      <w:lvlText w:val="\endash "/>
      <w:numFmt w:val="bullet"/>
      <w:start w:val="1"/>
    </w:lvl>
  </w:abstractNum>
  <w:abstractNum w:abstractNumId="45">
    <w:nsid w:val="5046B5A9"/>
    <w:multiLevelType w:val="hybridMultilevel"/>
    <w:lvl w:ilvl="0">
      <w:lvlJc w:val="left"/>
      <w:lvlText w:val="•"/>
      <w:numFmt w:val="bullet"/>
      <w:start w:val="1"/>
    </w:lvl>
  </w:abstractNum>
  <w:abstractNum w:abstractNumId="46">
    <w:nsid w:val="5D888A08"/>
    <w:multiLevelType w:val="hybridMultilevel"/>
    <w:lvl w:ilvl="0">
      <w:lvlJc w:val="left"/>
      <w:lvlText w:val="\endash "/>
      <w:numFmt w:val="bullet"/>
      <w:start w:val="1"/>
    </w:lvl>
  </w:abstractNum>
  <w:abstractNum w:abstractNumId="47">
    <w:nsid w:val="2A082C70"/>
    <w:multiLevelType w:val="hybridMultilevel"/>
    <w:lvl w:ilvl="0">
      <w:lvlJc w:val="left"/>
      <w:lvlText w:val="\endash "/>
      <w:numFmt w:val="bullet"/>
      <w:start w:val="1"/>
    </w:lvl>
  </w:abstractNum>
  <w:abstractNum w:abstractNumId="48">
    <w:nsid w:val="5EC6AFD4"/>
    <w:multiLevelType w:val="hybridMultilevel"/>
    <w:lvl w:ilvl="0">
      <w:lvlJc w:val="left"/>
      <w:lvlText w:val="•"/>
      <w:numFmt w:val="bullet"/>
      <w:start w:val="1"/>
    </w:lvl>
  </w:abstractNum>
  <w:abstractNum w:abstractNumId="49">
    <w:nsid w:val="19E21BB2"/>
    <w:multiLevelType w:val="hybridMultilevel"/>
    <w:lvl w:ilvl="0">
      <w:lvlJc w:val="left"/>
      <w:lvlText w:val="•"/>
      <w:numFmt w:val="bullet"/>
      <w:start w:val="1"/>
    </w:lvl>
  </w:abstractNum>
  <w:abstractNum w:abstractNumId="50">
    <w:nsid w:val="75E0858A"/>
    <w:multiLevelType w:val="hybridMultilevel"/>
    <w:lvl w:ilvl="0">
      <w:lvlJc w:val="left"/>
      <w:lvlText w:val="•"/>
      <w:numFmt w:val="bullet"/>
      <w:start w:val="1"/>
    </w:lvl>
    <w:lvl w:ilvl="1">
      <w:lvlJc w:val="left"/>
      <w:lvlText w:val="\endash "/>
      <w:numFmt w:val="bullet"/>
      <w:start w:val="1"/>
    </w:lvl>
  </w:abstractNum>
  <w:abstractNum w:abstractNumId="51">
    <w:nsid w:val="57A61A29"/>
    <w:multiLevelType w:val="hybridMultilevel"/>
    <w:lvl w:ilvl="0">
      <w:lvlJc w:val="left"/>
      <w:lvlText w:val="\endash "/>
      <w:numFmt w:val="bullet"/>
      <w:start w:val="1"/>
    </w:lvl>
  </w:abstractNum>
  <w:abstractNum w:abstractNumId="52">
    <w:nsid w:val="5399C654"/>
    <w:multiLevelType w:val="hybridMultilevel"/>
    <w:lvl w:ilvl="0">
      <w:lvlJc w:val="left"/>
      <w:lvlText w:val="\endash "/>
      <w:numFmt w:val="bullet"/>
      <w:start w:val="1"/>
    </w:lvl>
  </w:abstractNum>
  <w:abstractNum w:abstractNumId="53">
    <w:nsid w:val="20EE1348"/>
    <w:multiLevelType w:val="hybridMultilevel"/>
    <w:lvl w:ilvl="0">
      <w:lvlJc w:val="left"/>
      <w:lvlText w:val="\endash "/>
      <w:numFmt w:val="bullet"/>
      <w:start w:val="1"/>
    </w:lvl>
  </w:abstractNum>
  <w:abstractNum w:abstractNumId="54">
    <w:nsid w:val="4427069A"/>
    <w:multiLevelType w:val="hybridMultilevel"/>
    <w:lvl w:ilvl="0">
      <w:lvlJc w:val="left"/>
      <w:lvlText w:val="•"/>
      <w:numFmt w:val="bullet"/>
      <w:start w:val="1"/>
    </w:lvl>
  </w:abstractNum>
  <w:abstractNum w:abstractNumId="55">
    <w:nsid w:val="B37E80A"/>
    <w:multiLevelType w:val="hybridMultilevel"/>
    <w:lvl w:ilvl="0">
      <w:lvlJc w:val="left"/>
      <w:lvlText w:val="•"/>
      <w:numFmt w:val="bullet"/>
      <w:start w:val="1"/>
    </w:lvl>
  </w:abstractNum>
  <w:abstractNum w:abstractNumId="56">
    <w:nsid w:val="2157F6BC"/>
    <w:multiLevelType w:val="hybridMultilevel"/>
    <w:lvl w:ilvl="0">
      <w:lvlJc w:val="left"/>
      <w:lvlText w:val="•"/>
      <w:numFmt w:val="bullet"/>
      <w:start w:val="1"/>
    </w:lvl>
  </w:abstractNum>
  <w:abstractNum w:abstractNumId="57">
    <w:nsid w:val="704E1DD5"/>
    <w:multiLevelType w:val="hybridMultilevel"/>
    <w:lvl w:ilvl="0">
      <w:lvlJc w:val="left"/>
      <w:lvlText w:val="\endash "/>
      <w:numFmt w:val="bullet"/>
      <w:start w:val="1"/>
    </w:lvl>
  </w:abstractNum>
  <w:abstractNum w:abstractNumId="58">
    <w:nsid w:val="57D2F10E"/>
    <w:multiLevelType w:val="hybridMultilevel"/>
    <w:lvl w:ilvl="0">
      <w:lvlJc w:val="left"/>
      <w:lvlText w:val="\endash "/>
      <w:numFmt w:val="bullet"/>
      <w:start w:val="1"/>
    </w:lvl>
  </w:abstractNum>
  <w:abstractNum w:abstractNumId="59">
    <w:nsid w:val="BFFAE18"/>
    <w:multiLevelType w:val="hybridMultilevel"/>
    <w:lvl w:ilvl="0">
      <w:lvlJc w:val="left"/>
      <w:lvlText w:val="\endash "/>
      <w:numFmt w:val="bullet"/>
      <w:start w:val="1"/>
    </w:lvl>
  </w:abstractNum>
  <w:abstractNum w:abstractNumId="60">
    <w:nsid w:val="E3E47A8"/>
    <w:multiLevelType w:val="hybridMultilevel"/>
    <w:lvl w:ilvl="0">
      <w:lvlJc w:val="left"/>
      <w:lvlText w:val="•"/>
      <w:numFmt w:val="bullet"/>
      <w:start w:val="1"/>
    </w:lvl>
  </w:abstractNum>
  <w:abstractNum w:abstractNumId="61">
    <w:nsid w:val="2E48F044"/>
    <w:multiLevelType w:val="hybridMultilevel"/>
    <w:lvl w:ilvl="0">
      <w:lvlJc w:val="left"/>
      <w:lvlText w:val="•"/>
      <w:numFmt w:val="bullet"/>
      <w:start w:val="1"/>
    </w:lvl>
  </w:abstractNum>
  <w:abstractNum w:abstractNumId="62">
    <w:nsid w:val="49D0FEAC"/>
    <w:multiLevelType w:val="hybridMultilevel"/>
    <w:lvl w:ilvl="0">
      <w:lvlJc w:val="left"/>
      <w:lvlText w:val="•"/>
      <w:numFmt w:val="bullet"/>
      <w:start w:val="1"/>
    </w:lvl>
  </w:abstractNum>
  <w:abstractNum w:abstractNumId="63">
    <w:nsid w:val="4BEE5A5B"/>
    <w:multiLevelType w:val="hybridMultilevel"/>
    <w:lvl w:ilvl="0">
      <w:lvlJc w:val="left"/>
      <w:lvlText w:val="\endash "/>
      <w:numFmt w:val="bullet"/>
      <w:start w:val="1"/>
    </w:lvl>
  </w:abstractNum>
  <w:abstractNum w:abstractNumId="64">
    <w:nsid w:val="5551B9F3"/>
    <w:multiLevelType w:val="hybridMultilevel"/>
    <w:lvl w:ilvl="0">
      <w:lvlJc w:val="left"/>
      <w:lvlText w:val="\endash "/>
      <w:numFmt w:val="bullet"/>
      <w:start w:val="1"/>
    </w:lvl>
  </w:abstractNum>
  <w:abstractNum w:abstractNumId="65">
    <w:nsid w:val="24F6AB8E"/>
    <w:multiLevelType w:val="hybridMultilevel"/>
    <w:lvl w:ilvl="0">
      <w:lvlJc w:val="left"/>
      <w:lvlText w:val="\endash "/>
      <w:numFmt w:val="bullet"/>
      <w:start w:val="1"/>
    </w:lvl>
  </w:abstractNum>
  <w:abstractNum w:abstractNumId="66">
    <w:nsid w:val="634C574C"/>
    <w:multiLevelType w:val="hybridMultilevel"/>
    <w:lvl w:ilvl="0">
      <w:lvlJc w:val="left"/>
      <w:lvlText w:val="•"/>
      <w:numFmt w:val="bullet"/>
      <w:start w:val="1"/>
    </w:lvl>
  </w:abstractNum>
  <w:abstractNum w:abstractNumId="67">
    <w:nsid w:val="24E99DD7"/>
    <w:multiLevelType w:val="hybridMultilevel"/>
    <w:lvl w:ilvl="0">
      <w:lvlJc w:val="left"/>
      <w:lvlText w:val="•"/>
      <w:numFmt w:val="bullet"/>
      <w:start w:val="1"/>
    </w:lvl>
  </w:abstractNum>
  <w:abstractNum w:abstractNumId="68">
    <w:nsid w:val="2A31B62D"/>
    <w:multiLevelType w:val="hybridMultilevel"/>
    <w:lvl w:ilvl="0">
      <w:lvlJc w:val="left"/>
      <w:lvlText w:val="•"/>
      <w:numFmt w:val="bullet"/>
      <w:start w:val="1"/>
    </w:lvl>
  </w:abstractNum>
  <w:abstractNum w:abstractNumId="69">
    <w:nsid w:val="1849C29B"/>
    <w:multiLevelType w:val="hybridMultilevel"/>
    <w:lvl w:ilvl="0">
      <w:lvlJc w:val="left"/>
      <w:lvlText w:val="\endash "/>
      <w:numFmt w:val="bullet"/>
      <w:start w:val="1"/>
    </w:lvl>
  </w:abstractNum>
  <w:abstractNum w:abstractNumId="70">
    <w:nsid w:val="7DFF9D09"/>
    <w:multiLevelType w:val="hybridMultilevel"/>
    <w:lvl w:ilvl="0">
      <w:lvlJc w:val="left"/>
      <w:lvlText w:val="\endash "/>
      <w:numFmt w:val="bullet"/>
      <w:start w:val="1"/>
    </w:lvl>
  </w:abstractNum>
  <w:abstractNum w:abstractNumId="71">
    <w:nsid w:val="754342"/>
    <w:multiLevelType w:val="hybridMultilevel"/>
    <w:lvl w:ilvl="0">
      <w:lvlJc w:val="left"/>
      <w:lvlText w:val="•"/>
      <w:numFmt w:val="bullet"/>
      <w:start w:val="1"/>
    </w:lvl>
  </w:abstractNum>
  <w:abstractNum w:abstractNumId="72">
    <w:nsid w:val="69E7F3E5"/>
    <w:multiLevelType w:val="hybridMultilevel"/>
    <w:lvl w:ilvl="0">
      <w:lvlJc w:val="left"/>
      <w:lvlText w:val="•"/>
      <w:numFmt w:val="bullet"/>
      <w:start w:val="1"/>
    </w:lvl>
  </w:abstractNum>
  <w:abstractNum w:abstractNumId="73">
    <w:nsid w:val="2A6DE806"/>
    <w:multiLevelType w:val="hybridMultilevel"/>
    <w:lvl w:ilvl="0">
      <w:lvlJc w:val="left"/>
      <w:lvlText w:val="•"/>
      <w:numFmt w:val="bullet"/>
      <w:start w:val="1"/>
    </w:lvl>
  </w:abstractNum>
  <w:abstractNum w:abstractNumId="74">
    <w:nsid w:val="1816F8C4"/>
    <w:multiLevelType w:val="hybridMultilevel"/>
    <w:lvl w:ilvl="0">
      <w:lvlJc w:val="left"/>
      <w:lvlText w:val="\endash "/>
      <w:numFmt w:val="bullet"/>
      <w:start w:val="1"/>
    </w:lvl>
  </w:abstractNum>
  <w:abstractNum w:abstractNumId="75">
    <w:nsid w:val="37DF2233"/>
    <w:multiLevelType w:val="hybridMultilevel"/>
    <w:lvl w:ilvl="0">
      <w:lvlJc w:val="left"/>
      <w:lvlText w:val="\endash "/>
      <w:numFmt w:val="bullet"/>
      <w:start w:val="1"/>
    </w:lvl>
  </w:abstractNum>
  <w:abstractNum w:abstractNumId="76">
    <w:nsid w:val="7AB49DAF"/>
    <w:multiLevelType w:val="hybridMultilevel"/>
    <w:lvl w:ilvl="0">
      <w:lvlJc w:val="left"/>
      <w:lvlText w:val="\endash "/>
      <w:numFmt w:val="bullet"/>
      <w:start w:val="1"/>
    </w:lvl>
  </w:abstractNum>
  <w:abstractNum w:abstractNumId="77">
    <w:nsid w:val="759F82CD"/>
    <w:multiLevelType w:val="hybridMultilevel"/>
    <w:lvl w:ilvl="0">
      <w:lvlJc w:val="left"/>
      <w:lvlText w:val="•"/>
      <w:numFmt w:val="bullet"/>
      <w:start w:val="1"/>
    </w:lvl>
  </w:abstractNum>
  <w:abstractNum w:abstractNumId="78">
    <w:nsid w:val="61E74EA3"/>
    <w:multiLevelType w:val="hybridMultilevel"/>
    <w:lvl w:ilvl="0">
      <w:lvlJc w:val="left"/>
      <w:lvlText w:val="•"/>
      <w:numFmt w:val="bullet"/>
      <w:start w:val="1"/>
    </w:lvl>
    <w:lvl w:ilvl="1">
      <w:lvlJc w:val="left"/>
      <w:lvlText w:val="\endash "/>
      <w:numFmt w:val="bullet"/>
      <w:start w:val="1"/>
    </w:lvl>
  </w:abstractNum>
  <w:abstractNum w:abstractNumId="79">
    <w:nsid w:val="597B4D84"/>
    <w:multiLevelType w:val="hybridMultilevel"/>
    <w:lvl w:ilvl="0">
      <w:lvlJc w:val="left"/>
      <w:lvlText w:val="•"/>
      <w:numFmt w:val="bullet"/>
      <w:start w:val="1"/>
    </w:lvl>
  </w:abstractNum>
  <w:abstractNum w:abstractNumId="80">
    <w:nsid w:val="F819E7F"/>
    <w:multiLevelType w:val="hybridMultilevel"/>
    <w:lvl w:ilvl="0">
      <w:lvlJc w:val="left"/>
      <w:lvlText w:val="%1."/>
      <w:numFmt w:val="decimal"/>
      <w:start w:val="1"/>
    </w:lvl>
  </w:abstractNum>
  <w:abstractNum w:abstractNumId="81">
    <w:nsid w:val="57C7D42D"/>
    <w:multiLevelType w:val="hybridMultilevel"/>
    <w:lvl w:ilvl="0">
      <w:lvlJc w:val="left"/>
      <w:lvlText w:val="ü"/>
      <w:numFmt w:val="bullet"/>
      <w:start w:val="1"/>
    </w:lvl>
  </w:abstractNum>
  <w:abstractNum w:abstractNumId="82">
    <w:nsid w:val="312167AD"/>
    <w:multiLevelType w:val="hybridMultilevel"/>
    <w:lvl w:ilvl="0">
      <w:lvlJc w:val="left"/>
      <w:lvlText w:val="1"/>
      <w:numFmt w:val="bullet"/>
      <w:start w:val="1"/>
    </w:lvl>
  </w:abstractNum>
  <w:abstractNum w:abstractNumId="83">
    <w:nsid w:val="631B64D4"/>
    <w:multiLevelType w:val="hybridMultilevel"/>
    <w:lvl w:ilvl="0">
      <w:lvlJc w:val="left"/>
      <w:lvlText w:val="2"/>
      <w:numFmt w:val="bullet"/>
      <w:start w:val="1"/>
    </w:lvl>
  </w:abstractNum>
  <w:abstractNum w:abstractNumId="84">
    <w:nsid w:val="78B5E776"/>
    <w:multiLevelType w:val="hybridMultilevel"/>
    <w:lvl w:ilvl="0">
      <w:lvlJc w:val="left"/>
      <w:lvlText w:val="3"/>
      <w:numFmt w:val="bullet"/>
      <w:start w:val="1"/>
    </w:lvl>
  </w:abstractNum>
  <w:abstractNum w:abstractNumId="85">
    <w:nsid w:val="75486E47"/>
    <w:multiLevelType w:val="hybridMultilevel"/>
    <w:lvl w:ilvl="0">
      <w:lvlJc w:val="left"/>
      <w:lvlText w:val="4"/>
      <w:numFmt w:val="bullet"/>
      <w:start w:val="1"/>
    </w:lvl>
  </w:abstractNum>
  <w:abstractNum w:abstractNumId="86">
    <w:nsid w:val="6E534CDE"/>
    <w:multiLevelType w:val="hybridMultilevel"/>
    <w:lvl w:ilvl="0">
      <w:lvlJc w:val="left"/>
      <w:lvlText w:val="•"/>
      <w:numFmt w:val="bullet"/>
      <w:start w:val="1"/>
    </w:lvl>
  </w:abstractNum>
  <w:abstractNum w:abstractNumId="87">
    <w:nsid w:val="1A0DDE32"/>
    <w:multiLevelType w:val="hybridMultilevel"/>
    <w:lvl w:ilvl="0">
      <w:lvlJc w:val="left"/>
      <w:lvlText w:val="1"/>
      <w:numFmt w:val="bullet"/>
      <w:start w:val="1"/>
    </w:lvl>
  </w:abstractNum>
  <w:abstractNum w:abstractNumId="88">
    <w:nsid w:val="65968C1C"/>
    <w:multiLevelType w:val="hybridMultilevel"/>
    <w:lvl w:ilvl="0">
      <w:lvlJc w:val="left"/>
      <w:lvlText w:val="2"/>
      <w:numFmt w:val="bullet"/>
      <w:start w:val="1"/>
    </w:lvl>
  </w:abstractNum>
  <w:abstractNum w:abstractNumId="89">
    <w:nsid w:val="46263DEC"/>
    <w:multiLevelType w:val="hybridMultilevel"/>
    <w:lvl w:ilvl="0">
      <w:lvlJc w:val="left"/>
      <w:lvlText w:val="3"/>
      <w:numFmt w:val="bullet"/>
      <w:start w:val="1"/>
    </w:lvl>
  </w:abstractNum>
  <w:abstractNum w:abstractNumId="90">
    <w:nsid w:val="260D8C4A"/>
    <w:multiLevelType w:val="hybridMultilevel"/>
    <w:lvl w:ilvl="0">
      <w:lvlJc w:val="left"/>
      <w:lvlText w:val="•"/>
      <w:numFmt w:val="bullet"/>
      <w:start w:val="1"/>
    </w:lvl>
  </w:abstractNum>
  <w:abstractNum w:abstractNumId="91">
    <w:nsid w:val="73D4D3C4"/>
    <w:multiLevelType w:val="hybridMultilevel"/>
    <w:lvl w:ilvl="0">
      <w:lvlJc w:val="left"/>
      <w:lvlText w:val="•"/>
      <w:numFmt w:val="bullet"/>
      <w:start w:val="1"/>
    </w:lvl>
  </w:abstractNum>
  <w:abstractNum w:abstractNumId="92">
    <w:nsid w:val="746F2E30"/>
    <w:multiLevelType w:val="hybridMultilevel"/>
    <w:lvl w:ilvl="0">
      <w:lvlJc w:val="left"/>
      <w:lvlText w:val="•"/>
      <w:numFmt w:val="bullet"/>
      <w:start w:val="1"/>
    </w:lvl>
  </w:abstractNum>
  <w:abstractNum w:abstractNumId="93">
    <w:nsid w:val="6FDE8AF6"/>
    <w:multiLevelType w:val="hybridMultilevel"/>
    <w:lvl w:ilvl="0">
      <w:lvlJc w:val="left"/>
      <w:lvlText w:val="•"/>
      <w:numFmt w:val="bullet"/>
      <w:start w:val="1"/>
    </w:lvl>
  </w:abstractNum>
  <w:abstractNum w:abstractNumId="94">
    <w:nsid w:val="3FC32E20"/>
    <w:multiLevelType w:val="hybridMultilevel"/>
    <w:lvl w:ilvl="0">
      <w:lvlJc w:val="left"/>
      <w:lvlText w:val="•"/>
      <w:numFmt w:val="bullet"/>
      <w:start w:val="1"/>
    </w:lvl>
  </w:abstractNum>
  <w:abstractNum w:abstractNumId="95">
    <w:nsid w:val="49C0E823"/>
    <w:multiLevelType w:val="hybridMultilevel"/>
    <w:lvl w:ilvl="0">
      <w:lvlJc w:val="left"/>
      <w:lvlText w:val="*"/>
      <w:numFmt w:val="bullet"/>
      <w:start w:val="1"/>
    </w:lvl>
    <w:lvl w:ilvl="1">
      <w:lvlJc w:val="left"/>
      <w:lvlText w:val="•"/>
      <w:numFmt w:val="bullet"/>
      <w:start w:val="1"/>
    </w:lvl>
  </w:abstractNum>
  <w:abstractNum w:abstractNumId="96">
    <w:nsid w:val="14D53685"/>
    <w:multiLevelType w:val="hybridMultilevel"/>
    <w:lvl w:ilvl="0">
      <w:lvlJc w:val="left"/>
      <w:lvlText w:val="•"/>
      <w:numFmt w:val="bullet"/>
      <w:start w:val="1"/>
    </w:lvl>
  </w:abstractNum>
  <w:abstractNum w:abstractNumId="97">
    <w:nsid w:val="230F856C"/>
    <w:multiLevelType w:val="hybridMultilevel"/>
    <w:lvl w:ilvl="0">
      <w:lvlJc w:val="left"/>
      <w:lvlText w:val="•"/>
      <w:numFmt w:val="bullet"/>
      <w:start w:val="1"/>
    </w:lvl>
  </w:abstractNum>
  <w:abstractNum w:abstractNumId="98">
    <w:nsid w:val="6EAA85FB"/>
    <w:multiLevelType w:val="hybridMultilevel"/>
    <w:lvl w:ilvl="0">
      <w:lvlJc w:val="left"/>
      <w:lvlText w:val="•"/>
      <w:numFmt w:val="bullet"/>
      <w:start w:val="1"/>
    </w:lvl>
  </w:abstractNum>
  <w:abstractNum w:abstractNumId="99">
    <w:nsid w:val="3F06ECB2"/>
    <w:multiLevelType w:val="hybridMultilevel"/>
    <w:lvl w:ilvl="0">
      <w:lvlJc w:val="left"/>
      <w:lvlText w:val="•"/>
      <w:numFmt w:val="bullet"/>
      <w:start w:val="1"/>
    </w:lvl>
  </w:abstractNum>
  <w:abstractNum w:abstractNumId="100">
    <w:nsid w:val="3B594807"/>
    <w:multiLevelType w:val="hybridMultilevel"/>
    <w:lvl w:ilvl="0">
      <w:lvlJc w:val="left"/>
      <w:lvlText w:val="•"/>
      <w:numFmt w:val="bullet"/>
      <w:start w:val="1"/>
    </w:lvl>
  </w:abstractNum>
  <w:abstractNum w:abstractNumId="101">
    <w:nsid w:val="6CAA2304"/>
    <w:multiLevelType w:val="hybridMultilevel"/>
    <w:lvl w:ilvl="0">
      <w:lvlJc w:val="left"/>
      <w:lvlText w:val="•"/>
      <w:numFmt w:val="bullet"/>
      <w:start w:val="1"/>
    </w:lvl>
  </w:abstractNum>
  <w:abstractNum w:abstractNumId="102">
    <w:nsid w:val="3F7C2FF4"/>
    <w:multiLevelType w:val="hybridMultilevel"/>
    <w:lvl w:ilvl="0">
      <w:lvlJc w:val="left"/>
      <w:lvlText w:val="•"/>
      <w:numFmt w:val="bullet"/>
      <w:start w:val="1"/>
    </w:lvl>
  </w:abstractNum>
  <w:abstractNum w:abstractNumId="103">
    <w:nsid w:val="25413BEC"/>
    <w:multiLevelType w:val="hybridMultilevel"/>
    <w:lvl w:ilvl="0">
      <w:lvlJc w:val="left"/>
      <w:lvlText w:val="•"/>
      <w:numFmt w:val="bullet"/>
      <w:start w:val="1"/>
    </w:lvl>
  </w:abstractNum>
  <w:abstractNum w:abstractNumId="104">
    <w:nsid w:val="17180B0B"/>
    <w:multiLevelType w:val="hybridMultilevel"/>
    <w:lvl w:ilvl="0">
      <w:lvlJc w:val="left"/>
      <w:lvlText w:val="•"/>
      <w:numFmt w:val="bullet"/>
      <w:start w:val="1"/>
    </w:lvl>
  </w:abstractNum>
  <w:abstractNum w:abstractNumId="105">
    <w:nsid w:val="579328B9"/>
    <w:multiLevelType w:val="hybridMultilevel"/>
    <w:lvl w:ilvl="0">
      <w:lvlJc w:val="left"/>
      <w:lvlText w:val="•"/>
      <w:numFmt w:val="bullet"/>
      <w:start w:val="1"/>
    </w:lvl>
  </w:abstractNum>
  <w:abstractNum w:abstractNumId="106">
    <w:nsid w:val="5D205E20"/>
    <w:multiLevelType w:val="hybridMultilevel"/>
    <w:lvl w:ilvl="0">
      <w:lvlJc w:val="left"/>
      <w:lvlText w:val="•"/>
      <w:numFmt w:val="bullet"/>
      <w:start w:val="1"/>
    </w:lvl>
  </w:abstractNum>
  <w:abstractNum w:abstractNumId="107">
    <w:nsid w:val="11CCA8BA"/>
    <w:multiLevelType w:val="hybridMultilevel"/>
    <w:lvl w:ilvl="0">
      <w:lvlJc w:val="left"/>
      <w:lvlText w:val="•"/>
      <w:numFmt w:val="bullet"/>
      <w:start w:val="1"/>
    </w:lvl>
  </w:abstractNum>
  <w:abstractNum w:abstractNumId="108">
    <w:nsid w:val="4D32AB86"/>
    <w:multiLevelType w:val="hybridMultilevel"/>
    <w:lvl w:ilvl="0">
      <w:lvlJc w:val="left"/>
      <w:lvlText w:val="1"/>
      <w:numFmt w:val="bullet"/>
      <w:start w:val="1"/>
    </w:lvl>
  </w:abstractNum>
  <w:abstractNum w:abstractNumId="109">
    <w:nsid w:val="3F07ACC3"/>
    <w:multiLevelType w:val="hybridMultilevel"/>
    <w:lvl w:ilvl="0">
      <w:lvlJc w:val="left"/>
      <w:lvlText w:val="2"/>
      <w:numFmt w:val="bullet"/>
      <w:start w:val="1"/>
    </w:lvl>
  </w:abstractNum>
  <w:abstractNum w:abstractNumId="110">
    <w:nsid w:val="6B47F63E"/>
    <w:multiLevelType w:val="hybridMultilevel"/>
    <w:lvl w:ilvl="0">
      <w:lvlJc w:val="left"/>
      <w:lvlText w:val="3"/>
      <w:numFmt w:val="bullet"/>
      <w:start w:val="1"/>
    </w:lvl>
  </w:abstractNum>
  <w:abstractNum w:abstractNumId="111">
    <w:nsid w:val="5CB44A05"/>
    <w:multiLevelType w:val="hybridMultilevel"/>
    <w:lvl w:ilvl="0">
      <w:lvlJc w:val="left"/>
      <w:lvlText w:val="4"/>
      <w:numFmt w:val="bullet"/>
      <w:start w:val="1"/>
    </w:lvl>
  </w:abstractNum>
  <w:abstractNum w:abstractNumId="112">
    <w:nsid w:val="16CF80F1"/>
    <w:multiLevelType w:val="hybridMultilevel"/>
    <w:lvl w:ilvl="0">
      <w:lvlJc w:val="left"/>
      <w:lvlText w:val="5"/>
      <w:numFmt w:val="bullet"/>
      <w:start w:val="1"/>
    </w:lvl>
  </w:abstractNum>
  <w:abstractNum w:abstractNumId="113">
    <w:nsid w:val="1C695DEC"/>
    <w:multiLevelType w:val="hybridMultilevel"/>
    <w:lvl w:ilvl="0">
      <w:lvlJc w:val="left"/>
      <w:lvlText w:val="1"/>
      <w:numFmt w:val="bullet"/>
      <w:start w:val="1"/>
    </w:lvl>
  </w:abstractNum>
  <w:abstractNum w:abstractNumId="114">
    <w:nsid w:val="3FCFAED9"/>
    <w:multiLevelType w:val="hybridMultilevel"/>
    <w:lvl w:ilvl="0">
      <w:lvlJc w:val="left"/>
      <w:lvlText w:val="2"/>
      <w:numFmt w:val="bullet"/>
      <w:start w:val="1"/>
    </w:lvl>
  </w:abstractNum>
  <w:abstractNum w:abstractNumId="115">
    <w:nsid w:val="F856867"/>
    <w:multiLevelType w:val="hybridMultilevel"/>
    <w:lvl w:ilvl="0">
      <w:lvlJc w:val="left"/>
      <w:lvlText w:val="3"/>
      <w:numFmt w:val="bullet"/>
      <w:start w:val="1"/>
    </w:lvl>
  </w:abstractNum>
  <w:abstractNum w:abstractNumId="116">
    <w:nsid w:val="11B1CC33"/>
    <w:multiLevelType w:val="hybridMultilevel"/>
    <w:lvl w:ilvl="0">
      <w:lvlJc w:val="left"/>
      <w:lvlText w:val="4"/>
      <w:numFmt w:val="bullet"/>
      <w:start w:val="1"/>
    </w:lvl>
  </w:abstractNum>
  <w:abstractNum w:abstractNumId="117">
    <w:nsid w:val="2E22FBB7"/>
    <w:multiLevelType w:val="hybridMultilevel"/>
    <w:lvl w:ilvl="0">
      <w:lvlJc w:val="left"/>
      <w:lvlText w:val="•"/>
      <w:numFmt w:val="bullet"/>
      <w:start w:val="1"/>
    </w:lvl>
  </w:abstractNum>
  <w:abstractNum w:abstractNumId="118">
    <w:nsid w:val="29934699"/>
    <w:multiLevelType w:val="hybridMultilevel"/>
    <w:lvl w:ilvl="0">
      <w:lvlJc w:val="left"/>
      <w:lvlText w:val="•"/>
      <w:numFmt w:val="bullet"/>
      <w:start w:val="1"/>
    </w:lvl>
  </w:abstractNum>
  <w:abstractNum w:abstractNumId="119">
    <w:nsid w:val="77485850"/>
    <w:multiLevelType w:val="hybridMultilevel"/>
    <w:lvl w:ilvl="0">
      <w:lvlJc w:val="left"/>
      <w:lvlText w:val="•"/>
      <w:numFmt w:val="bullet"/>
      <w:start w:val="1"/>
    </w:lvl>
  </w:abstractNum>
  <w:abstractNum w:abstractNumId="120">
    <w:nsid w:val="744939A3"/>
    <w:multiLevelType w:val="hybridMultilevel"/>
    <w:lvl w:ilvl="0">
      <w:lvlJc w:val="left"/>
      <w:lvlText w:val="•"/>
      <w:numFmt w:val="bullet"/>
      <w:start w:val="1"/>
    </w:lvl>
    <w:lvl w:ilvl="1">
      <w:lvlJc w:val="left"/>
      <w:lvlText w:val="•"/>
      <w:numFmt w:val="bullet"/>
      <w:start w:val="1"/>
    </w:lvl>
  </w:abstractNum>
  <w:abstractNum w:abstractNumId="121">
    <w:nsid w:val="4FA0D2E3"/>
    <w:multiLevelType w:val="hybridMultilevel"/>
    <w:lvl w:ilvl="0">
      <w:lvlJc w:val="left"/>
      <w:lvlText w:val="•"/>
      <w:numFmt w:val="bullet"/>
      <w:start w:val="1"/>
    </w:lvl>
  </w:abstractNum>
  <w:abstractNum w:abstractNumId="122">
    <w:nsid w:val="6B1D2C14"/>
    <w:multiLevelType w:val="hybridMultilevel"/>
    <w:lvl w:ilvl="0">
      <w:lvlJc w:val="left"/>
      <w:lvlText w:val="•"/>
      <w:numFmt w:val="bullet"/>
      <w:start w:val="1"/>
    </w:lvl>
  </w:abstractNum>
  <w:abstractNum w:abstractNumId="123">
    <w:nsid w:val="68B867D3"/>
    <w:multiLevelType w:val="hybridMultilevel"/>
    <w:lvl w:ilvl="0">
      <w:lvlJc w:val="left"/>
      <w:lvlText w:val="•"/>
      <w:numFmt w:val="bullet"/>
      <w:start w:val="1"/>
    </w:lvl>
  </w:abstractNum>
  <w:abstractNum w:abstractNumId="124">
    <w:nsid w:val="3F7F5DD9"/>
    <w:multiLevelType w:val="hybridMultilevel"/>
    <w:lvl w:ilvl="0">
      <w:lvlJc w:val="left"/>
      <w:lvlText w:val="•"/>
      <w:numFmt w:val="bullet"/>
      <w:start w:val="1"/>
    </w:lvl>
  </w:abstractNum>
  <w:abstractNum w:abstractNumId="125">
    <w:nsid w:val="2AE05A34"/>
    <w:multiLevelType w:val="hybridMultilevel"/>
    <w:lvl w:ilvl="0">
      <w:lvlJc w:val="left"/>
      <w:lvlText w:val="•"/>
      <w:numFmt w:val="bullet"/>
      <w:start w:val="1"/>
    </w:lvl>
  </w:abstractNum>
  <w:abstractNum w:abstractNumId="126">
    <w:nsid w:val="32794FF7"/>
    <w:multiLevelType w:val="hybridMultilevel"/>
    <w:lvl w:ilvl="0">
      <w:lvlJc w:val="left"/>
      <w:lvlText w:val="•"/>
      <w:numFmt w:val="bullet"/>
      <w:start w:val="1"/>
    </w:lvl>
  </w:abstractNum>
  <w:abstractNum w:abstractNumId="127">
    <w:nsid w:val="5454945E"/>
    <w:multiLevelType w:val="hybridMultilevel"/>
    <w:lvl w:ilvl="0">
      <w:lvlJc w:val="left"/>
      <w:lvlText w:val="•"/>
      <w:numFmt w:val="bullet"/>
      <w:start w:val="1"/>
    </w:lvl>
  </w:abstractNum>
  <w:abstractNum w:abstractNumId="128">
    <w:nsid w:val="4DEFDFA0"/>
    <w:multiLevelType w:val="hybridMultilevel"/>
    <w:lvl w:ilvl="0">
      <w:lvlJc w:val="left"/>
      <w:lvlText w:val="•"/>
      <w:numFmt w:val="bullet"/>
      <w:start w:val="1"/>
    </w:lvl>
  </w:abstractNum>
  <w:abstractNum w:abstractNumId="129">
    <w:nsid w:val="2123D5F2"/>
    <w:multiLevelType w:val="hybridMultilevel"/>
    <w:lvl w:ilvl="0">
      <w:lvlJc w:val="left"/>
      <w:lvlText w:val="•"/>
      <w:numFmt w:val="bullet"/>
      <w:start w:val="1"/>
    </w:lvl>
  </w:abstractNum>
  <w:abstractNum w:abstractNumId="130">
    <w:nsid w:val="135B8110"/>
    <w:multiLevelType w:val="hybridMultilevel"/>
    <w:lvl w:ilvl="0">
      <w:lvlJc w:val="left"/>
      <w:lvlText w:val="•"/>
      <w:numFmt w:val="bullet"/>
      <w:start w:val="1"/>
    </w:lvl>
  </w:abstractNum>
  <w:abstractNum w:abstractNumId="131">
    <w:nsid w:val="94927A8"/>
    <w:multiLevelType w:val="hybridMultilevel"/>
    <w:lvl w:ilvl="0">
      <w:lvlJc w:val="left"/>
      <w:lvlText w:val="1"/>
      <w:numFmt w:val="bullet"/>
      <w:start w:val="1"/>
    </w:lvl>
  </w:abstractNum>
  <w:abstractNum w:abstractNumId="132">
    <w:nsid w:val="DCDF8F6"/>
    <w:multiLevelType w:val="hybridMultilevel"/>
    <w:lvl w:ilvl="0">
      <w:lvlJc w:val="left"/>
      <w:lvlText w:val="•"/>
      <w:numFmt w:val="bullet"/>
      <w:start w:val="1"/>
    </w:lvl>
  </w:abstractNum>
  <w:abstractNum w:abstractNumId="133">
    <w:nsid w:val="52D7B105"/>
    <w:multiLevelType w:val="hybridMultilevel"/>
    <w:lvl w:ilvl="0">
      <w:lvlJc w:val="left"/>
      <w:lvlText w:val="1"/>
      <w:numFmt w:val="bullet"/>
      <w:start w:val="1"/>
    </w:lvl>
  </w:abstractNum>
  <w:abstractNum w:abstractNumId="134">
    <w:nsid w:val="2E8A6394"/>
    <w:multiLevelType w:val="hybridMultilevel"/>
    <w:lvl w:ilvl="0">
      <w:lvlJc w:val="left"/>
      <w:lvlText w:val="1"/>
      <w:numFmt w:val="bullet"/>
      <w:start w:val="1"/>
    </w:lvl>
  </w:abstractNum>
  <w:abstractNum w:abstractNumId="135">
    <w:nsid w:val="24E60401"/>
    <w:multiLevelType w:val="hybridMultilevel"/>
    <w:lvl w:ilvl="0">
      <w:lvlJc w:val="left"/>
      <w:lvlText w:val="•"/>
      <w:numFmt w:val="bullet"/>
      <w:start w:val="1"/>
    </w:lvl>
  </w:abstractNum>
  <w:abstractNum w:abstractNumId="136">
    <w:nsid w:val="2A6AD9BE"/>
    <w:multiLevelType w:val="hybridMultilevel"/>
    <w:lvl w:ilvl="0">
      <w:lvlJc w:val="left"/>
      <w:lvlText w:val="•"/>
      <w:numFmt w:val="bullet"/>
      <w:start w:val="1"/>
    </w:lvl>
    <w:lvl w:ilvl="1">
      <w:lvlJc w:val="left"/>
      <w:lvlText w:val="\endash "/>
      <w:numFmt w:val="bullet"/>
      <w:start w:val="1"/>
    </w:lvl>
  </w:abstractNum>
  <w:abstractNum w:abstractNumId="137">
    <w:nsid w:val="BAAC1B4"/>
    <w:multiLevelType w:val="hybridMultilevel"/>
    <w:lvl w:ilvl="0">
      <w:lvlJc w:val="left"/>
      <w:lvlText w:val="1"/>
      <w:numFmt w:val="bullet"/>
      <w:start w:val="1"/>
    </w:lvl>
  </w:abstractNum>
  <w:abstractNum w:abstractNumId="138">
    <w:nsid w:val="36B2ACBC"/>
    <w:multiLevelType w:val="hybridMultilevel"/>
    <w:lvl w:ilvl="0">
      <w:lvlJc w:val="left"/>
      <w:lvlText w:val="2"/>
      <w:numFmt w:val="bullet"/>
      <w:start w:val="1"/>
    </w:lvl>
  </w:abstractNum>
  <w:abstractNum w:abstractNumId="139">
    <w:nsid w:val="779D8544"/>
    <w:multiLevelType w:val="hybridMultilevel"/>
    <w:lvl w:ilvl="0">
      <w:lvlJc w:val="left"/>
      <w:lvlText w:val="3"/>
      <w:numFmt w:val="bullet"/>
      <w:start w:val="1"/>
    </w:lvl>
  </w:abstractNum>
  <w:abstractNum w:abstractNumId="140">
    <w:nsid w:val="4AB26E78"/>
    <w:multiLevelType w:val="hybridMultilevel"/>
    <w:lvl w:ilvl="0">
      <w:lvlJc w:val="left"/>
      <w:lvlText w:val="4"/>
      <w:numFmt w:val="bullet"/>
      <w:start w:val="1"/>
    </w:lvl>
  </w:abstractNum>
  <w:abstractNum w:abstractNumId="141">
    <w:nsid w:val="21FAA2FA"/>
    <w:multiLevelType w:val="hybridMultilevel"/>
    <w:lvl w:ilvl="0">
      <w:lvlJc w:val="left"/>
      <w:lvlText w:val="1"/>
      <w:numFmt w:val="bullet"/>
      <w:start w:val="1"/>
    </w:lvl>
  </w:abstractNum>
  <w:abstractNum w:abstractNumId="142">
    <w:nsid w:val="5451CF49"/>
    <w:multiLevelType w:val="hybridMultilevel"/>
    <w:lvl w:ilvl="0">
      <w:lvlJc w:val="left"/>
      <w:lvlText w:val="2"/>
      <w:numFmt w:val="bullet"/>
      <w:start w:val="1"/>
    </w:lvl>
  </w:abstractNum>
  <w:abstractNum w:abstractNumId="143">
    <w:nsid w:val="6181EF69"/>
    <w:multiLevelType w:val="hybridMultilevel"/>
    <w:lvl w:ilvl="0">
      <w:lvlJc w:val="left"/>
      <w:lvlText w:val="3"/>
      <w:numFmt w:val="bullet"/>
      <w:start w:val="1"/>
    </w:lvl>
  </w:abstractNum>
  <w:abstractNum w:abstractNumId="144">
    <w:nsid w:val="3E6400E6"/>
    <w:multiLevelType w:val="hybridMultilevel"/>
    <w:lvl w:ilvl="0">
      <w:lvlJc w:val="left"/>
      <w:lvlText w:val="4"/>
      <w:numFmt w:val="bullet"/>
      <w:start w:val="1"/>
    </w:lvl>
  </w:abstractNum>
  <w:abstractNum w:abstractNumId="145">
    <w:nsid w:val="14217E23"/>
    <w:multiLevelType w:val="hybridMultilevel"/>
    <w:lvl w:ilvl="0">
      <w:lvlJc w:val="left"/>
      <w:lvlText w:val="1"/>
      <w:numFmt w:val="bullet"/>
      <w:start w:val="1"/>
    </w:lvl>
  </w:abstractNum>
  <w:abstractNum w:abstractNumId="146">
    <w:nsid w:val="710757D0"/>
    <w:multiLevelType w:val="hybridMultilevel"/>
    <w:lvl w:ilvl="0">
      <w:lvlJc w:val="left"/>
      <w:lvlText w:val="2"/>
      <w:numFmt w:val="bullet"/>
      <w:start w:val="1"/>
    </w:lvl>
  </w:abstractNum>
  <w:abstractNum w:abstractNumId="147">
    <w:nsid w:val="5015CD1A"/>
    <w:multiLevelType w:val="hybridMultilevel"/>
    <w:lvl w:ilvl="0">
      <w:lvlJc w:val="left"/>
      <w:lvlText w:val="3"/>
      <w:numFmt w:val="bullet"/>
      <w:start w:val="1"/>
    </w:lvl>
  </w:abstractNum>
  <w:abstractNum w:abstractNumId="148">
    <w:nsid w:val="424479DA"/>
    <w:multiLevelType w:val="hybridMultilevel"/>
    <w:lvl w:ilvl="0">
      <w:lvlJc w:val="left"/>
      <w:lvlText w:val="4"/>
      <w:numFmt w:val="bullet"/>
      <w:start w:val="1"/>
    </w:lvl>
  </w:abstractNum>
  <w:abstractNum w:abstractNumId="149">
    <w:nsid w:val="1A9A9E69"/>
    <w:multiLevelType w:val="hybridMultilevel"/>
    <w:lvl w:ilvl="0">
      <w:lvlJc w:val="left"/>
      <w:lvlText w:val="5"/>
      <w:numFmt w:val="bullet"/>
      <w:start w:val="1"/>
    </w:lvl>
  </w:abstractNum>
  <w:abstractNum w:abstractNumId="150">
    <w:nsid w:val="475E256A"/>
    <w:multiLevelType w:val="hybridMultilevel"/>
    <w:lvl w:ilvl="0">
      <w:lvlJc w:val="left"/>
      <w:lvlText w:val="6"/>
      <w:numFmt w:val="bullet"/>
      <w:start w:val="1"/>
    </w:lvl>
  </w:abstractNum>
  <w:abstractNum w:abstractNumId="151">
    <w:nsid w:val="368DB37E"/>
    <w:multiLevelType w:val="hybridMultilevel"/>
    <w:lvl w:ilvl="0">
      <w:lvlJc w:val="left"/>
      <w:lvlText w:val="1"/>
      <w:numFmt w:val="bullet"/>
      <w:start w:val="1"/>
    </w:lvl>
  </w:abstractNum>
  <w:abstractNum w:abstractNumId="152">
    <w:nsid w:val="6A3B714C"/>
    <w:multiLevelType w:val="hybridMultilevel"/>
    <w:lvl w:ilvl="0">
      <w:lvlJc w:val="left"/>
      <w:lvlText w:val="2"/>
      <w:numFmt w:val="bullet"/>
      <w:start w:val="1"/>
    </w:lvl>
  </w:abstractNum>
  <w:abstractNum w:abstractNumId="153">
    <w:nsid w:val="327B517E"/>
    <w:multiLevelType w:val="hybridMultilevel"/>
    <w:lvl w:ilvl="0">
      <w:lvlJc w:val="left"/>
      <w:lvlText w:val="•"/>
      <w:numFmt w:val="bullet"/>
      <w:start w:val="1"/>
    </w:lvl>
  </w:abstractNum>
  <w:abstractNum w:abstractNumId="154">
    <w:nsid w:val="1F461B51"/>
    <w:multiLevelType w:val="hybridMultilevel"/>
    <w:lvl w:ilvl="0">
      <w:lvlJc w:val="left"/>
      <w:lvlText w:val="1"/>
      <w:numFmt w:val="bullet"/>
      <w:start w:val="1"/>
    </w:lvl>
  </w:abstractNum>
  <w:abstractNum w:abstractNumId="155">
    <w:nsid w:val="29BACF25"/>
    <w:multiLevelType w:val="hybridMultilevel"/>
    <w:lvl w:ilvl="0">
      <w:lvlJc w:val="left"/>
      <w:lvlText w:val="•"/>
      <w:numFmt w:val="bullet"/>
      <w:start w:val="1"/>
    </w:lvl>
  </w:abstractNum>
  <w:abstractNum w:abstractNumId="156">
    <w:nsid w:val="5D5BABB3"/>
    <w:multiLevelType w:val="hybridMultilevel"/>
    <w:lvl w:ilvl="0">
      <w:lvlJc w:val="left"/>
      <w:lvlText w:val="1"/>
      <w:numFmt w:val="bullet"/>
      <w:start w:val="1"/>
    </w:lvl>
  </w:abstractNum>
  <w:abstractNum w:abstractNumId="157">
    <w:nsid w:val="51BF6B48"/>
    <w:multiLevelType w:val="hybridMultilevel"/>
    <w:lvl w:ilvl="0">
      <w:lvlJc w:val="left"/>
      <w:lvlText w:val="2"/>
      <w:numFmt w:val="bullet"/>
      <w:start w:val="1"/>
    </w:lvl>
  </w:abstractNum>
  <w:abstractNum w:abstractNumId="158">
    <w:nsid w:val="7E0F6384"/>
    <w:multiLevelType w:val="hybridMultilevel"/>
    <w:lvl w:ilvl="0">
      <w:lvlJc w:val="left"/>
      <w:lvlText w:val="3"/>
      <w:numFmt w:val="bullet"/>
      <w:start w:val="1"/>
    </w:lvl>
  </w:abstractNum>
  <w:abstractNum w:abstractNumId="159">
    <w:nsid w:val="2B4B8B53"/>
    <w:multiLevelType w:val="hybridMultilevel"/>
    <w:lvl w:ilvl="0">
      <w:lvlJc w:val="left"/>
      <w:lvlText w:val="1"/>
      <w:numFmt w:val="bullet"/>
      <w:start w:val="1"/>
    </w:lvl>
  </w:abstractNum>
  <w:abstractNum w:abstractNumId="160">
    <w:nsid w:val="72E3413A"/>
    <w:multiLevelType w:val="hybridMultilevel"/>
    <w:lvl w:ilvl="0">
      <w:lvlJc w:val="left"/>
      <w:lvlText w:val="2"/>
      <w:numFmt w:val="bullet"/>
      <w:start w:val="1"/>
    </w:lvl>
  </w:abstractNum>
  <w:abstractNum w:abstractNumId="161">
    <w:nsid w:val="116AE494"/>
    <w:multiLevelType w:val="hybridMultilevel"/>
    <w:lvl w:ilvl="0">
      <w:lvlJc w:val="left"/>
      <w:lvlText w:val="•"/>
      <w:numFmt w:val="bullet"/>
      <w:start w:val="1"/>
    </w:lvl>
  </w:abstractNum>
  <w:abstractNum w:abstractNumId="162">
    <w:nsid w:val="3494B2FB"/>
    <w:multiLevelType w:val="hybridMultilevel"/>
    <w:lvl w:ilvl="0">
      <w:lvlJc w:val="left"/>
      <w:lvlText w:val="•"/>
      <w:numFmt w:val="bullet"/>
      <w:start w:val="1"/>
    </w:lvl>
    <w:lvl w:ilvl="1">
      <w:lvlJc w:val="left"/>
      <w:lvlText w:val="\endash "/>
      <w:numFmt w:val="bullet"/>
      <w:start w:val="1"/>
    </w:lvl>
  </w:abstractNum>
  <w:abstractNum w:abstractNumId="163">
    <w:nsid w:val="B13A31"/>
    <w:multiLevelType w:val="hybridMultilevel"/>
    <w:lvl w:ilvl="0">
      <w:lvlJc w:val="left"/>
      <w:lvlText w:val="•"/>
      <w:numFmt w:val="bullet"/>
      <w:start w:val="1"/>
    </w:lvl>
  </w:abstractNum>
  <w:abstractNum w:abstractNumId="164">
    <w:nsid w:val="64429599"/>
    <w:multiLevelType w:val="hybridMultilevel"/>
    <w:lvl w:ilvl="0">
      <w:lvlJc w:val="left"/>
      <w:lvlText w:val="•"/>
      <w:numFmt w:val="bullet"/>
      <w:start w:val="1"/>
    </w:lvl>
  </w:abstractNum>
  <w:abstractNum w:abstractNumId="165">
    <w:nsid w:val="631F1690"/>
    <w:multiLevelType w:val="hybridMultilevel"/>
    <w:lvl w:ilvl="0">
      <w:lvlJc w:val="left"/>
      <w:lvlText w:val="1"/>
      <w:numFmt w:val="bullet"/>
      <w:start w:val="1"/>
    </w:lvl>
  </w:abstractNum>
  <w:abstractNum w:abstractNumId="166">
    <w:nsid w:val="25973E32"/>
    <w:multiLevelType w:val="hybridMultilevel"/>
    <w:lvl w:ilvl="0">
      <w:lvlJc w:val="left"/>
      <w:lvlText w:val="2"/>
      <w:numFmt w:val="bullet"/>
      <w:start w:val="1"/>
    </w:lvl>
  </w:abstractNum>
  <w:abstractNum w:abstractNumId="167">
    <w:nsid w:val="EAD6F57"/>
    <w:multiLevelType w:val="hybridMultilevel"/>
    <w:lvl w:ilvl="0">
      <w:lvlJc w:val="left"/>
      <w:lvlText w:val="3"/>
      <w:numFmt w:val="bullet"/>
      <w:start w:val="1"/>
    </w:lvl>
  </w:abstractNum>
  <w:abstractNum w:abstractNumId="168">
    <w:nsid w:val="6EC9D844"/>
    <w:multiLevelType w:val="hybridMultilevel"/>
    <w:lvl w:ilvl="0">
      <w:lvlJc w:val="left"/>
      <w:lvlText w:val="4"/>
      <w:numFmt w:val="bullet"/>
      <w:start w:val="1"/>
    </w:lvl>
  </w:abstractNum>
  <w:abstractNum w:abstractNumId="169">
    <w:nsid w:val="5C49EAEE"/>
    <w:multiLevelType w:val="hybridMultilevel"/>
    <w:lvl w:ilvl="0">
      <w:lvlJc w:val="left"/>
      <w:lvlText w:val="5"/>
      <w:numFmt w:val="bullet"/>
      <w:start w:val="1"/>
    </w:lvl>
  </w:abstractNum>
  <w:abstractNum w:abstractNumId="170">
    <w:nsid w:val="64AF49B"/>
    <w:multiLevelType w:val="hybridMultilevel"/>
    <w:lvl w:ilvl="0">
      <w:lvlJc w:val="left"/>
      <w:lvlText w:val="6"/>
      <w:numFmt w:val="bullet"/>
      <w:start w:val="1"/>
    </w:lvl>
  </w:abstractNum>
  <w:abstractNum w:abstractNumId="171">
    <w:nsid w:val="397C46BC"/>
    <w:multiLevelType w:val="hybridMultilevel"/>
    <w:lvl w:ilvl="0">
      <w:lvlJc w:val="left"/>
      <w:lvlText w:val="7"/>
      <w:numFmt w:val="bullet"/>
      <w:start w:val="1"/>
    </w:lvl>
    <w:lvl w:ilvl="1">
      <w:lvlJc w:val="left"/>
      <w:lvlText w:val="•"/>
      <w:numFmt w:val="bullet"/>
      <w:start w:val="1"/>
    </w:lvl>
  </w:abstractNum>
  <w:abstractNum w:abstractNumId="172">
    <w:nsid w:val="7E448DE9"/>
    <w:multiLevelType w:val="hybridMultilevel"/>
    <w:lvl w:ilvl="0">
      <w:lvlJc w:val="left"/>
      <w:lvlText w:val="•"/>
      <w:numFmt w:val="bullet"/>
      <w:start w:val="1"/>
    </w:lvl>
  </w:abstractNum>
  <w:abstractNum w:abstractNumId="173">
    <w:nsid w:val="5A9CC3E5"/>
    <w:multiLevelType w:val="hybridMultilevel"/>
    <w:lvl w:ilvl="0">
      <w:lvlJc w:val="left"/>
      <w:lvlText w:val="1"/>
      <w:numFmt w:val="bullet"/>
      <w:start w:val="1"/>
    </w:lvl>
  </w:abstractNum>
  <w:abstractNum w:abstractNumId="174">
    <w:nsid w:val="1AFE3625"/>
    <w:multiLevelType w:val="hybridMultilevel"/>
    <w:lvl w:ilvl="0">
      <w:lvlJc w:val="left"/>
      <w:lvlText w:val="*"/>
      <w:numFmt w:val="bullet"/>
      <w:start w:val="1"/>
    </w:lvl>
  </w:abstractNum>
  <w:abstractNum w:abstractNumId="175">
    <w:nsid w:val="3CA88ECF"/>
    <w:multiLevelType w:val="hybridMultilevel"/>
    <w:lvl w:ilvl="0">
      <w:lvlJc w:val="left"/>
      <w:lvlText w:val="*"/>
      <w:numFmt w:val="bullet"/>
      <w:start w:val="1"/>
    </w:lvl>
  </w:abstractNum>
  <w:abstractNum w:abstractNumId="176">
    <w:nsid w:val="6EBE4208"/>
    <w:multiLevelType w:val="hybridMultilevel"/>
    <w:lvl w:ilvl="0">
      <w:lvlJc w:val="left"/>
      <w:lvlText w:val="*"/>
      <w:numFmt w:val="bullet"/>
      <w:start w:val="1"/>
    </w:lvl>
  </w:abstractNum>
  <w:abstractNum w:abstractNumId="177">
    <w:nsid w:val="C058DF5"/>
    <w:multiLevelType w:val="hybridMultilevel"/>
    <w:lvl w:ilvl="0">
      <w:lvlJc w:val="left"/>
      <w:lvlText w:val="%1."/>
      <w:numFmt w:val="decimal"/>
      <w:start w:val="1"/>
    </w:lvl>
  </w:abstractNum>
  <w:abstractNum w:abstractNumId="178">
    <w:nsid w:val="CBE5BE9"/>
    <w:multiLevelType w:val="hybridMultilevel"/>
    <w:lvl w:ilvl="0">
      <w:lvlJc w:val="left"/>
      <w:lvlText w:val="•"/>
      <w:numFmt w:val="bullet"/>
      <w:start w:val="1"/>
    </w:lvl>
  </w:abstractNum>
  <w:abstractNum w:abstractNumId="179">
    <w:nsid w:val="3102BBE2"/>
    <w:multiLevelType w:val="hybridMultilevel"/>
    <w:lvl w:ilvl="0">
      <w:lvlJc w:val="left"/>
      <w:lvlText w:val="•"/>
      <w:numFmt w:val="bullet"/>
      <w:start w:val="1"/>
    </w:lvl>
  </w:abstractNum>
  <w:abstractNum w:abstractNumId="180">
    <w:nsid w:val="26A02C5E"/>
    <w:multiLevelType w:val="hybridMultilevel"/>
    <w:lvl w:ilvl="0">
      <w:lvlJc w:val="left"/>
      <w:lvlText w:val="•"/>
      <w:numFmt w:val="bullet"/>
      <w:start w:val="1"/>
    </w:lvl>
  </w:abstractNum>
  <w:abstractNum w:abstractNumId="181">
    <w:nsid w:val="541C8153"/>
    <w:multiLevelType w:val="hybridMultilevel"/>
    <w:lvl w:ilvl="0">
      <w:lvlJc w:val="left"/>
      <w:lvlText w:val="•"/>
      <w:numFmt w:val="bullet"/>
      <w:start w:val="1"/>
    </w:lvl>
    <w:lvl w:ilvl="1">
      <w:lvlJc w:val="left"/>
      <w:lvlText w:val="\endash "/>
      <w:numFmt w:val="bullet"/>
      <w:start w:val="1"/>
    </w:lvl>
  </w:abstractNum>
  <w:abstractNum w:abstractNumId="182">
    <w:nsid w:val="67906F60"/>
    <w:multiLevelType w:val="hybridMultilevel"/>
    <w:lvl w:ilvl="0">
      <w:lvlJc w:val="left"/>
      <w:lvlText w:val="•"/>
      <w:numFmt w:val="bullet"/>
      <w:start w:val="1"/>
    </w:lvl>
  </w:abstractNum>
  <w:abstractNum w:abstractNumId="183">
    <w:nsid w:val="10DB9DAA"/>
    <w:multiLevelType w:val="hybridMultilevel"/>
    <w:lvl w:ilvl="0">
      <w:lvlJc w:val="left"/>
      <w:lvlText w:val="•"/>
      <w:numFmt w:val="bullet"/>
      <w:start w:val="1"/>
    </w:lvl>
  </w:abstractNum>
  <w:abstractNum w:abstractNumId="184">
    <w:nsid w:val="697D2D2"/>
    <w:multiLevelType w:val="hybridMultilevel"/>
    <w:lvl w:ilvl="0">
      <w:lvlJc w:val="left"/>
      <w:lvlText w:val="1"/>
      <w:numFmt w:val="bullet"/>
      <w:start w:val="1"/>
    </w:lvl>
  </w:abstractNum>
  <w:abstractNum w:abstractNumId="185">
    <w:nsid w:val="6D68AB2"/>
    <w:multiLevelType w:val="hybridMultilevel"/>
    <w:lvl w:ilvl="0">
      <w:lvlJc w:val="left"/>
      <w:lvlText w:val="ü"/>
      <w:numFmt w:val="bullet"/>
      <w:start w:val="1"/>
    </w:lvl>
  </w:abstractNum>
  <w:abstractNum w:abstractNumId="186">
    <w:nsid w:val="3A966CD0"/>
    <w:multiLevelType w:val="hybridMultilevel"/>
    <w:lvl w:ilvl="0">
      <w:lvlJc w:val="left"/>
      <w:lvlText w:val="%1"/>
      <w:numFmt w:val="decimal"/>
      <w:start w:val="1"/>
    </w:lvl>
    <w:lvl w:ilvl="1">
      <w:lvlJc w:val="left"/>
      <w:lvlText w:val="•"/>
      <w:numFmt w:val="bullet"/>
      <w:start w:val="1"/>
    </w:lvl>
  </w:abstractNum>
  <w:abstractNum w:abstractNumId="187">
    <w:nsid w:val="63F37E85"/>
    <w:multiLevelType w:val="hybridMultilevel"/>
    <w:lvl w:ilvl="0">
      <w:lvlJc w:val="left"/>
      <w:lvlText w:val="2"/>
      <w:numFmt w:val="bullet"/>
      <w:start w:val="1"/>
    </w:lvl>
  </w:abstractNum>
  <w:abstractNum w:abstractNumId="188">
    <w:nsid w:val="5895F5FA"/>
    <w:multiLevelType w:val="hybridMultilevel"/>
    <w:lvl w:ilvl="0">
      <w:lvlJc w:val="left"/>
      <w:lvlText w:val="•"/>
      <w:numFmt w:val="bullet"/>
      <w:start w:val="1"/>
    </w:lvl>
  </w:abstractNum>
  <w:abstractNum w:abstractNumId="189">
    <w:nsid w:val="38A5D054"/>
    <w:multiLevelType w:val="hybridMultilevel"/>
    <w:lvl w:ilvl="0">
      <w:lvlJc w:val="left"/>
      <w:lvlText w:val="•"/>
      <w:numFmt w:val="bullet"/>
      <w:start w:val="1"/>
    </w:lvl>
  </w:abstractNum>
  <w:abstractNum w:abstractNumId="190">
    <w:nsid w:val="F3F09D8"/>
    <w:multiLevelType w:val="hybridMultilevel"/>
    <w:lvl w:ilvl="0">
      <w:lvlJc w:val="left"/>
      <w:lvlText w:val="1"/>
      <w:numFmt w:val="bullet"/>
      <w:start w:val="1"/>
    </w:lvl>
  </w:abstractNum>
  <w:abstractNum w:abstractNumId="191">
    <w:nsid w:val="4B793735"/>
    <w:multiLevelType w:val="hybridMultilevel"/>
    <w:lvl w:ilvl="0">
      <w:lvlJc w:val="left"/>
      <w:lvlText w:val="2"/>
      <w:numFmt w:val="bullet"/>
      <w:start w:val="1"/>
    </w:lvl>
  </w:abstractNum>
  <w:abstractNum w:abstractNumId="192">
    <w:nsid w:val="4A10B4E8"/>
    <w:multiLevelType w:val="hybridMultilevel"/>
    <w:lvl w:ilvl="0">
      <w:lvlJc w:val="left"/>
      <w:lvlText w:val="ü"/>
      <w:numFmt w:val="bullet"/>
      <w:start w:val="1"/>
    </w:lvl>
  </w:abstractNum>
  <w:abstractNum w:abstractNumId="193">
    <w:nsid w:val="43D3BCD4"/>
    <w:multiLevelType w:val="hybridMultilevel"/>
    <w:lvl w:ilvl="0">
      <w:lvlJc w:val="left"/>
      <w:lvlText w:val="•"/>
      <w:numFmt w:val="bullet"/>
      <w:start w:val="1"/>
    </w:lvl>
  </w:abstractNum>
  <w:abstractNum w:abstractNumId="194">
    <w:nsid w:val="4C2A7166"/>
    <w:multiLevelType w:val="hybridMultilevel"/>
    <w:lvl w:ilvl="0">
      <w:lvlJc w:val="left"/>
      <w:lvlText w:val="1"/>
      <w:numFmt w:val="bullet"/>
      <w:start w:val="1"/>
    </w:lvl>
  </w:abstractNum>
  <w:abstractNum w:abstractNumId="195">
    <w:nsid w:val="2E534A82"/>
    <w:multiLevelType w:val="hybridMultilevel"/>
    <w:lvl w:ilvl="0">
      <w:lvlJc w:val="left"/>
      <w:lvlText w:val="•"/>
      <w:numFmt w:val="bullet"/>
      <w:start w:val="1"/>
    </w:lvl>
  </w:abstractNum>
  <w:abstractNum w:abstractNumId="196">
    <w:nsid w:val="26F2D364"/>
    <w:multiLevelType w:val="hybridMultilevel"/>
    <w:lvl w:ilvl="0">
      <w:lvlJc w:val="left"/>
      <w:lvlText w:val="•"/>
      <w:numFmt w:val="bullet"/>
      <w:start w:val="1"/>
    </w:lvl>
  </w:abstractNum>
  <w:abstractNum w:abstractNumId="197">
    <w:nsid w:val="71C1AF98"/>
    <w:multiLevelType w:val="hybridMultilevel"/>
    <w:lvl w:ilvl="0">
      <w:lvlJc w:val="left"/>
      <w:lvlText w:val="•"/>
      <w:numFmt w:val="bullet"/>
      <w:start w:val="1"/>
    </w:lvl>
  </w:abstractNum>
  <w:abstractNum w:abstractNumId="198">
    <w:nsid w:val="3D00B9D9"/>
    <w:multiLevelType w:val="hybridMultilevel"/>
    <w:lvl w:ilvl="0">
      <w:lvlJc w:val="left"/>
      <w:lvlText w:val="•"/>
      <w:numFmt w:val="bullet"/>
      <w:start w:val="1"/>
    </w:lvl>
  </w:abstractNum>
  <w:abstractNum w:abstractNumId="199">
    <w:nsid w:val="15BCABA8"/>
    <w:multiLevelType w:val="hybridMultilevel"/>
    <w:lvl w:ilvl="0">
      <w:lvlJc w:val="left"/>
      <w:lvlText w:val="•"/>
      <w:numFmt w:val="bullet"/>
      <w:start w:val="1"/>
    </w:lvl>
  </w:abstractNum>
  <w:abstractNum w:abstractNumId="200">
    <w:nsid w:val="4E0B9A87"/>
    <w:multiLevelType w:val="hybridMultilevel"/>
    <w:lvl w:ilvl="0">
      <w:lvlJc w:val="left"/>
      <w:lvlText w:val="•"/>
      <w:numFmt w:val="bullet"/>
      <w:start w:val="1"/>
    </w:lvl>
  </w:abstractNum>
  <w:abstractNum w:abstractNumId="201">
    <w:nsid w:val="434BAE75"/>
    <w:multiLevelType w:val="hybridMultilevel"/>
    <w:lvl w:ilvl="0">
      <w:lvlJc w:val="left"/>
      <w:lvlText w:val="•"/>
      <w:numFmt w:val="bullet"/>
      <w:start w:val="1"/>
    </w:lvl>
  </w:abstractNum>
  <w:abstractNum w:abstractNumId="202">
    <w:nsid w:val="4F38F265"/>
    <w:multiLevelType w:val="hybridMultilevel"/>
    <w:lvl w:ilvl="0">
      <w:lvlJc w:val="left"/>
      <w:lvlText w:val="•"/>
      <w:numFmt w:val="bullet"/>
      <w:start w:val="1"/>
    </w:lvl>
  </w:abstractNum>
  <w:abstractNum w:abstractNumId="203">
    <w:nsid w:val="4C502870"/>
    <w:multiLevelType w:val="hybridMultilevel"/>
    <w:lvl w:ilvl="0">
      <w:lvlJc w:val="left"/>
      <w:lvlText w:val="%1."/>
      <w:numFmt w:val="decimal"/>
      <w:start w:val="9"/>
    </w:lvl>
    <w:lvl w:ilvl="1">
      <w:lvlJc w:val="left"/>
      <w:lvlText w:val="(%2)"/>
      <w:numFmt w:val="lowerLetter"/>
      <w:start w:val="1"/>
    </w:lvl>
  </w:abstractNum>
  <w:abstractNum w:abstractNumId="204">
    <w:nsid w:val="1DE8725A"/>
    <w:multiLevelType w:val="hybridMultilevel"/>
    <w:lvl w:ilvl="0">
      <w:lvlJc w:val="left"/>
      <w:lvlText w:val="%1."/>
      <w:numFmt w:val="decimal"/>
      <w:start w:val="13"/>
    </w:lvl>
  </w:abstractNum>
  <w:abstractNum w:abstractNumId="205">
    <w:nsid w:val="6A37288A"/>
    <w:multiLevelType w:val="hybridMultilevel"/>
    <w:lvl w:ilvl="0">
      <w:lvlJc w:val="left"/>
      <w:lvlText w:val="(%1)"/>
      <w:numFmt w:val="lowerLetter"/>
      <w:start w:val="1"/>
    </w:lvl>
    <w:lvl w:ilvl="1">
      <w:lvlJc w:val="left"/>
      <w:lvlText w:val="(%2)"/>
      <w:numFmt w:val="lowerRoman"/>
      <w:start w:val="1"/>
    </w:lvl>
  </w:abstractNum>
  <w:abstractNum w:abstractNumId="206">
    <w:nsid w:val="8F8B73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07">
    <w:nsid w:val="CA6B462"/>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208">
    <w:nsid w:val="763CB680"/>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209">
    <w:nsid w:val="15B71329"/>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jpeg"/><Relationship Id="rId1609" Type="http://schemas.openxmlformats.org/officeDocument/2006/relationships/image" Target="media/image1602.png"/><Relationship Id="rId1610" Type="http://schemas.openxmlformats.org/officeDocument/2006/relationships/image" Target="media/image1603.jpeg"/><Relationship Id="rId1611" Type="http://schemas.openxmlformats.org/officeDocument/2006/relationships/image" Target="media/image1604.jpeg"/><Relationship Id="rId1612" Type="http://schemas.openxmlformats.org/officeDocument/2006/relationships/image" Target="media/image1605.png"/><Relationship Id="rId1613" Type="http://schemas.openxmlformats.org/officeDocument/2006/relationships/image" Target="media/image1606.jpe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jpeg"/><Relationship Id="rId1642" Type="http://schemas.openxmlformats.org/officeDocument/2006/relationships/image" Target="media/image1635.jpeg"/><Relationship Id="rId1643" Type="http://schemas.openxmlformats.org/officeDocument/2006/relationships/image" Target="media/image1636.jpeg"/><Relationship Id="rId1644" Type="http://schemas.openxmlformats.org/officeDocument/2006/relationships/image" Target="media/image1637.jpe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jpeg"/><Relationship Id="rId1661" Type="http://schemas.openxmlformats.org/officeDocument/2006/relationships/image" Target="media/image1654.png"/><Relationship Id="rId1662" Type="http://schemas.openxmlformats.org/officeDocument/2006/relationships/image" Target="media/image1655.jpeg"/><Relationship Id="rId1663" Type="http://schemas.openxmlformats.org/officeDocument/2006/relationships/image" Target="media/image1656.png"/><Relationship Id="rId1664" Type="http://schemas.openxmlformats.org/officeDocument/2006/relationships/image" Target="media/image1657.jpeg"/><Relationship Id="rId1665" Type="http://schemas.openxmlformats.org/officeDocument/2006/relationships/image" Target="media/image1658.png"/><Relationship Id="rId1666" Type="http://schemas.openxmlformats.org/officeDocument/2006/relationships/image" Target="media/image16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2026-03-06T15:52:19Z</dcterms:created>
  <dcterms:modified xsi:type="dcterms:W3CDTF">2026-03-06T15:52:19Z</dcterms:modified>
</cp:coreProperties>
</file>